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D2A8F" w:rsidR="002D54C4" w:rsidP="007C3A19" w:rsidRDefault="00A628CF" w14:paraId="044F6741" w14:textId="26421CE2">
      <w:pPr>
        <w:pStyle w:val="Title2"/>
        <w:keepNext w:val="0"/>
        <w:suppressAutoHyphens/>
        <w:spacing w:after="0"/>
        <w:outlineLvl w:val="0"/>
        <w:rPr>
          <w:rFonts w:ascii="Arial" w:hAnsi="Arial" w:cs="Arial"/>
          <w:b w:val="0"/>
        </w:rPr>
      </w:pPr>
      <w:r w:rsidRPr="007C3A19">
        <w:rPr>
          <w:rFonts w:ascii="Arial" w:hAnsi="Arial" w:cs="Arial"/>
          <w:caps w:val="0"/>
        </w:rPr>
        <w:t xml:space="preserve"> </w:t>
      </w:r>
    </w:p>
    <w:p w:rsidRPr="002D2A8F" w:rsidR="002D54C4" w:rsidP="00C47182" w:rsidRDefault="002D54C4" w14:paraId="7538DDCF" w14:textId="77777777">
      <w:pPr>
        <w:suppressAutoHyphens/>
        <w:spacing w:after="0"/>
        <w:jc w:val="center"/>
        <w:outlineLvl w:val="0"/>
        <w:rPr>
          <w:rFonts w:ascii="Arial" w:hAnsi="Arial" w:cs="Arial"/>
          <w:b/>
        </w:rPr>
      </w:pPr>
    </w:p>
    <w:p w:rsidRPr="002D2A8F" w:rsidR="002D54C4" w:rsidP="00C47182" w:rsidRDefault="002D54C4" w14:paraId="21A24D0E" w14:textId="77777777">
      <w:pPr>
        <w:suppressAutoHyphens/>
        <w:spacing w:after="0"/>
        <w:jc w:val="center"/>
        <w:outlineLvl w:val="0"/>
        <w:rPr>
          <w:rFonts w:ascii="Arial" w:hAnsi="Arial" w:cs="Arial"/>
          <w:b/>
        </w:rPr>
      </w:pPr>
    </w:p>
    <w:p w:rsidRPr="002D2A8F" w:rsidR="002D54C4" w:rsidP="00C47182" w:rsidRDefault="002D54C4" w14:paraId="6A72D97E" w14:textId="77777777">
      <w:pPr>
        <w:suppressAutoHyphens/>
        <w:spacing w:after="0"/>
        <w:jc w:val="center"/>
        <w:outlineLvl w:val="0"/>
        <w:rPr>
          <w:rFonts w:ascii="Arial" w:hAnsi="Arial" w:cs="Arial"/>
          <w:b/>
        </w:rPr>
      </w:pPr>
    </w:p>
    <w:p w:rsidRPr="00EE7128" w:rsidR="002D54C4" w:rsidP="00EE7128" w:rsidRDefault="002D54C4" w14:paraId="530E9495" w14:textId="77777777">
      <w:pPr>
        <w:pStyle w:val="Title2"/>
        <w:keepNext w:val="0"/>
        <w:suppressAutoHyphens/>
        <w:spacing w:after="0"/>
        <w:outlineLvl w:val="0"/>
        <w:rPr>
          <w:rFonts w:ascii="Arial" w:hAnsi="Arial" w:cs="Arial"/>
          <w:caps w:val="0"/>
        </w:rPr>
      </w:pPr>
    </w:p>
    <w:p w:rsidRPr="002D2A8F" w:rsidR="002D54C4" w:rsidP="002D54C4" w:rsidRDefault="002D54C4" w14:paraId="716701DA" w14:textId="77777777">
      <w:pPr>
        <w:pStyle w:val="zGTitle14"/>
        <w:rPr>
          <w:rFonts w:cs="Arial"/>
        </w:rPr>
      </w:pPr>
      <w:r w:rsidRPr="002D2A8F">
        <w:rPr>
          <w:rFonts w:cs="Arial"/>
        </w:rPr>
        <w:t>Pro Forma Power Purchase Agreement for</w:t>
      </w:r>
    </w:p>
    <w:p w:rsidRPr="002D2A8F" w:rsidR="002D54C4" w:rsidP="002D54C4" w:rsidRDefault="002D54C4" w14:paraId="17BEED5A" w14:textId="16B8B64A">
      <w:pPr>
        <w:pStyle w:val="zGTitle14"/>
        <w:rPr>
          <w:rFonts w:cs="Arial"/>
        </w:rPr>
      </w:pPr>
      <w:r w:rsidRPr="002D2A8F">
        <w:rPr>
          <w:rFonts w:cs="Arial"/>
        </w:rPr>
        <w:t>Firm Capacity, Associated Energy, and Ancillary Services from a</w:t>
      </w:r>
    </w:p>
    <w:p w:rsidRPr="002D2A8F" w:rsidR="002D54C4" w:rsidP="002D54C4" w:rsidRDefault="001D6FBE" w14:paraId="12A45191" w14:textId="382D11B9">
      <w:pPr>
        <w:pStyle w:val="zGTitle14"/>
        <w:rPr>
          <w:rFonts w:cs="Arial"/>
        </w:rPr>
      </w:pPr>
      <w:r>
        <w:rPr>
          <w:rFonts w:cs="Arial"/>
        </w:rPr>
        <w:t xml:space="preserve">Battery </w:t>
      </w:r>
      <w:r w:rsidRPr="002D2A8F" w:rsidR="002D54C4">
        <w:rPr>
          <w:rFonts w:cs="Arial"/>
        </w:rPr>
        <w:t>Energy Storage System with</w:t>
      </w:r>
      <w:r w:rsidR="00A26002">
        <w:rPr>
          <w:rFonts w:cs="Arial"/>
        </w:rPr>
        <w:t xml:space="preserve"> a</w:t>
      </w:r>
      <w:r w:rsidRPr="002D2A8F" w:rsidR="002D54C4">
        <w:rPr>
          <w:rFonts w:cs="Arial"/>
        </w:rPr>
        <w:t xml:space="preserve"> Renewable Resource </w:t>
      </w:r>
    </w:p>
    <w:p w:rsidR="004B045D" w:rsidP="002D54C4" w:rsidRDefault="002D54C4" w14:paraId="16F87392" w14:textId="77777777">
      <w:pPr>
        <w:pStyle w:val="zGTitle14"/>
        <w:rPr>
          <w:rFonts w:cs="Arial"/>
        </w:rPr>
      </w:pPr>
      <w:r w:rsidRPr="002D2A8F">
        <w:rPr>
          <w:rFonts w:cs="Arial"/>
        </w:rPr>
        <w:t xml:space="preserve">for </w:t>
      </w:r>
      <w:r w:rsidRPr="000D54D9" w:rsidR="000D54D9">
        <w:rPr>
          <w:rFonts w:cs="Arial"/>
        </w:rPr>
        <w:t xml:space="preserve">2026 All-Source Capacity Request for Proposals for </w:t>
      </w:r>
    </w:p>
    <w:p w:rsidR="002D54C4" w:rsidP="002D54C4" w:rsidRDefault="000D54D9" w14:paraId="44D9E02C" w14:textId="565311C4">
      <w:pPr>
        <w:pStyle w:val="zGTitle14"/>
        <w:rPr>
          <w:rFonts w:cs="Arial"/>
        </w:rPr>
      </w:pPr>
      <w:r w:rsidRPr="000D54D9">
        <w:rPr>
          <w:rFonts w:cs="Arial"/>
        </w:rPr>
        <w:t>Need Years 2032</w:t>
      </w:r>
      <w:r w:rsidR="004B045D">
        <w:rPr>
          <w:rFonts w:cs="Arial"/>
        </w:rPr>
        <w:t>-</w:t>
      </w:r>
      <w:r w:rsidRPr="000D54D9">
        <w:rPr>
          <w:rFonts w:cs="Arial"/>
        </w:rPr>
        <w:t>2033</w:t>
      </w:r>
      <w:r w:rsidRPr="000D54D9" w:rsidDel="002A0ABA">
        <w:rPr>
          <w:rFonts w:cs="Arial"/>
        </w:rPr>
        <w:t xml:space="preserve"> </w:t>
      </w:r>
    </w:p>
    <w:p w:rsidRPr="002D2A8F" w:rsidR="001D6FBE" w:rsidP="002D54C4" w:rsidRDefault="001D6FBE" w14:paraId="149A1AF0" w14:textId="0DF7F388">
      <w:pPr>
        <w:pStyle w:val="zGTitle14"/>
        <w:rPr>
          <w:rFonts w:cs="Arial"/>
        </w:rPr>
      </w:pPr>
      <w:r>
        <w:rPr>
          <w:rFonts w:cs="Arial"/>
        </w:rPr>
        <w:t>at #</w:t>
      </w:r>
      <w:r w:rsidRPr="001D6FBE">
        <w:rPr>
          <w:rFonts w:cs="Arial"/>
          <w:highlight w:val="yellow"/>
        </w:rPr>
        <w:t>FacilityName</w:t>
      </w:r>
      <w:r>
        <w:rPr>
          <w:rFonts w:cs="Arial"/>
        </w:rPr>
        <w:t>#</w:t>
      </w:r>
    </w:p>
    <w:p w:rsidRPr="002D2A8F" w:rsidR="002D54C4" w:rsidP="00DF6E9B" w:rsidRDefault="00DF6E9B" w14:paraId="7579D02C" w14:textId="697FA96C">
      <w:pPr>
        <w:pStyle w:val="zGTitle14"/>
        <w:tabs>
          <w:tab w:val="left" w:pos="720"/>
          <w:tab w:val="left" w:pos="1440"/>
          <w:tab w:val="left" w:pos="2160"/>
          <w:tab w:val="left" w:pos="2880"/>
          <w:tab w:val="left" w:pos="3600"/>
          <w:tab w:val="left" w:pos="4320"/>
          <w:tab w:val="center" w:pos="4824"/>
          <w:tab w:val="left" w:pos="5040"/>
          <w:tab w:val="left" w:pos="5760"/>
          <w:tab w:val="left" w:pos="8895"/>
        </w:tabs>
        <w:jc w:val="left"/>
        <w:rPr>
          <w:rFonts w:cs="Arial"/>
        </w:rPr>
      </w:pPr>
      <w:r>
        <w:rPr>
          <w:rFonts w:cs="Arial"/>
        </w:rPr>
        <w:tab/>
      </w:r>
      <w:r>
        <w:rPr>
          <w:rFonts w:cs="Arial"/>
        </w:rPr>
        <w:tab/>
      </w:r>
      <w:r>
        <w:rPr>
          <w:rFonts w:cs="Arial"/>
        </w:rPr>
        <w:tab/>
      </w:r>
      <w:r>
        <w:rPr>
          <w:rFonts w:cs="Arial"/>
        </w:rPr>
        <w:tab/>
      </w:r>
      <w:r>
        <w:rPr>
          <w:rFonts w:cs="Arial"/>
        </w:rPr>
        <w:tab/>
      </w:r>
      <w:r>
        <w:rPr>
          <w:rFonts w:cs="Arial"/>
        </w:rPr>
        <w:tab/>
      </w:r>
      <w:r w:rsidR="00587C12">
        <w:rPr>
          <w:rFonts w:cs="Arial"/>
        </w:rPr>
        <w:tab/>
      </w:r>
      <w:r w:rsidRPr="002D2A8F" w:rsidR="002D54C4">
        <w:rPr>
          <w:rFonts w:cs="Arial"/>
        </w:rPr>
        <w:t>between</w:t>
      </w:r>
      <w:r w:rsidR="00587C12">
        <w:rPr>
          <w:rFonts w:cs="Arial"/>
        </w:rPr>
        <w:tab/>
      </w:r>
      <w:r>
        <w:rPr>
          <w:rFonts w:cs="Arial"/>
        </w:rPr>
        <w:tab/>
      </w:r>
    </w:p>
    <w:p w:rsidRPr="002D2A8F" w:rsidR="002D54C4" w:rsidP="002D54C4" w:rsidRDefault="002D54C4" w14:paraId="5D34202B" w14:textId="77777777">
      <w:pPr>
        <w:pStyle w:val="zGTitle14"/>
        <w:rPr>
          <w:rFonts w:cs="Arial"/>
        </w:rPr>
      </w:pPr>
      <w:r w:rsidRPr="002D2A8F">
        <w:rPr>
          <w:rFonts w:cs="Arial"/>
        </w:rPr>
        <w:t>Georgia Power Company</w:t>
      </w:r>
    </w:p>
    <w:p w:rsidRPr="002D2A8F" w:rsidR="002D54C4" w:rsidP="002D54C4" w:rsidRDefault="002D54C4" w14:paraId="33C2F8F3" w14:textId="77777777">
      <w:pPr>
        <w:pStyle w:val="zGTitle14"/>
        <w:rPr>
          <w:rFonts w:cs="Arial"/>
        </w:rPr>
      </w:pPr>
      <w:r w:rsidRPr="002D2A8F">
        <w:rPr>
          <w:rFonts w:cs="Arial"/>
        </w:rPr>
        <w:t>and</w:t>
      </w:r>
    </w:p>
    <w:p w:rsidRPr="002D2A8F" w:rsidR="002D54C4" w:rsidP="002D54C4" w:rsidRDefault="002D54C4" w14:paraId="59D54842" w14:textId="77777777">
      <w:pPr>
        <w:pStyle w:val="zGTitle14"/>
        <w:rPr>
          <w:rFonts w:cs="Arial"/>
          <w:i/>
        </w:rPr>
      </w:pPr>
      <w:r w:rsidRPr="002D2A8F">
        <w:rPr>
          <w:rFonts w:cs="Arial"/>
          <w:color w:val="000000" w:themeColor="text1"/>
          <w:highlight w:val="yellow"/>
        </w:rPr>
        <w:t>#SellerLegalName#</w:t>
      </w:r>
      <w:r w:rsidRPr="002D2A8F" w:rsidDel="00843BAF">
        <w:rPr>
          <w:rFonts w:cs="Arial"/>
          <w:bCs/>
          <w:i/>
          <w:caps/>
        </w:rPr>
        <w:t xml:space="preserve"> </w:t>
      </w:r>
    </w:p>
    <w:p w:rsidRPr="002D2A8F" w:rsidR="002D54C4" w:rsidP="002D54C4" w:rsidRDefault="002D54C4" w14:paraId="6641FED7" w14:textId="77777777">
      <w:pPr>
        <w:suppressAutoHyphens/>
        <w:spacing w:after="720"/>
        <w:jc w:val="center"/>
        <w:outlineLvl w:val="0"/>
        <w:rPr>
          <w:rFonts w:ascii="Arial" w:hAnsi="Arial" w:cs="Arial"/>
        </w:rPr>
      </w:pPr>
    </w:p>
    <w:p w:rsidRPr="002D2A8F" w:rsidR="002D54C4" w:rsidP="002D54C4" w:rsidRDefault="002D54C4" w14:paraId="0CDA6968" w14:textId="77777777">
      <w:pPr>
        <w:suppressAutoHyphens/>
        <w:spacing w:after="720"/>
        <w:jc w:val="center"/>
        <w:outlineLvl w:val="0"/>
        <w:rPr>
          <w:rFonts w:ascii="Arial" w:hAnsi="Arial" w:cs="Arial"/>
        </w:rPr>
      </w:pPr>
    </w:p>
    <w:p w:rsidRPr="002D2A8F" w:rsidR="002D54C4" w:rsidP="002D54C4" w:rsidRDefault="002D54C4" w14:paraId="00110293" w14:textId="77777777">
      <w:pPr>
        <w:suppressAutoHyphens/>
        <w:spacing w:after="720"/>
        <w:outlineLvl w:val="0"/>
        <w:rPr>
          <w:rFonts w:ascii="Arial" w:hAnsi="Arial" w:cs="Arial"/>
        </w:rPr>
      </w:pPr>
    </w:p>
    <w:p w:rsidRPr="002D2A8F" w:rsidR="002D54C4" w:rsidP="002D54C4" w:rsidRDefault="002D54C4" w14:paraId="279C7E3F" w14:textId="77777777">
      <w:pPr>
        <w:suppressAutoHyphens/>
        <w:spacing w:after="720"/>
        <w:outlineLvl w:val="0"/>
        <w:rPr>
          <w:rFonts w:ascii="Arial" w:hAnsi="Arial" w:cs="Arial"/>
        </w:rPr>
      </w:pPr>
    </w:p>
    <w:p w:rsidRPr="002D2A8F" w:rsidR="002D54C4" w:rsidP="002D54C4" w:rsidRDefault="002D54C4" w14:paraId="39A3FD3F" w14:textId="77777777">
      <w:pPr>
        <w:suppressAutoHyphens/>
        <w:spacing w:after="720"/>
        <w:outlineLvl w:val="0"/>
        <w:rPr>
          <w:rFonts w:ascii="Arial" w:hAnsi="Arial" w:cs="Arial"/>
        </w:rPr>
      </w:pPr>
    </w:p>
    <w:p w:rsidRPr="002D2A8F" w:rsidR="002D54C4" w:rsidP="002D54C4" w:rsidRDefault="002D54C4" w14:paraId="63373081" w14:textId="77777777">
      <w:pPr>
        <w:suppressAutoHyphens/>
        <w:spacing w:after="720"/>
        <w:outlineLvl w:val="0"/>
        <w:rPr>
          <w:rFonts w:ascii="Arial" w:hAnsi="Arial" w:cs="Arial"/>
        </w:rPr>
      </w:pPr>
    </w:p>
    <w:p w:rsidRPr="002D2A8F" w:rsidR="002D54C4" w:rsidP="002C32D6" w:rsidRDefault="002D54C4" w14:paraId="574C9DCD" w14:textId="77777777">
      <w:pPr>
        <w:suppressAutoHyphens/>
        <w:spacing w:after="720"/>
        <w:jc w:val="both"/>
        <w:outlineLvl w:val="0"/>
        <w:rPr>
          <w:rFonts w:ascii="Arial" w:hAnsi="Arial" w:cs="Arial"/>
          <w:sz w:val="20"/>
          <w:szCs w:val="20"/>
        </w:rPr>
      </w:pPr>
      <w:r w:rsidRPr="002D2A8F">
        <w:rPr>
          <w:rFonts w:ascii="Arial" w:hAnsi="Arial" w:cs="Arial"/>
          <w:i/>
          <w:sz w:val="20"/>
          <w:szCs w:val="20"/>
        </w:rPr>
        <w:t>This agreement contains confidential information for use by Georgia Power Company, Seller, or their Affiliates only; do not disclose, copy, or scan for any other purpose, except to the extent required by law or allowed by contract.</w:t>
      </w:r>
    </w:p>
    <w:p w:rsidRPr="002D2A8F" w:rsidR="002D54C4" w:rsidP="00305396" w:rsidRDefault="002D54C4" w14:paraId="314EB29E" w14:textId="77777777">
      <w:pPr>
        <w:suppressAutoHyphens/>
        <w:spacing w:after="720"/>
        <w:outlineLvl w:val="0"/>
        <w:rPr>
          <w:rFonts w:ascii="Arial" w:hAnsi="Arial" w:cs="Arial"/>
        </w:rPr>
        <w:sectPr w:rsidRPr="002D2A8F" w:rsidR="002D54C4" w:rsidSect="003B614F">
          <w:headerReference w:type="even" r:id="rId8"/>
          <w:headerReference w:type="default" r:id="rId9"/>
          <w:footerReference w:type="even" r:id="rId10"/>
          <w:footerReference w:type="default" r:id="rId11"/>
          <w:headerReference w:type="first" r:id="rId12"/>
          <w:footerReference w:type="first" r:id="rId13"/>
          <w:pgSz w:w="12240" w:h="15840" w:code="1"/>
          <w:pgMar w:top="1296" w:right="1296" w:bottom="1080" w:left="1296" w:header="432" w:footer="576" w:gutter="0"/>
          <w:pgNumType w:start="1"/>
          <w:cols w:space="720"/>
          <w:docGrid w:linePitch="360"/>
        </w:sectPr>
      </w:pPr>
    </w:p>
    <w:p w:rsidRPr="00A155F2" w:rsidR="002D54C4" w:rsidP="002D54C4" w:rsidRDefault="002D54C4" w14:paraId="33271584" w14:textId="77777777">
      <w:pPr>
        <w:pStyle w:val="zGTitle11"/>
        <w:rPr>
          <w:rFonts w:ascii="Arial Bold" w:hAnsi="Arial Bold" w:cs="Arial"/>
          <w:caps/>
          <w:spacing w:val="0"/>
          <w:u w:val="single"/>
        </w:rPr>
      </w:pPr>
      <w:bookmarkStart w:name="_Toc116571546" w:id="17"/>
      <w:bookmarkStart w:name="_Toc83401224" w:id="18"/>
      <w:bookmarkStart w:name="_Toc83401297" w:id="19"/>
      <w:bookmarkStart w:name="_Toc83401370" w:id="20"/>
      <w:bookmarkStart w:name="_Toc83835562" w:id="21"/>
      <w:bookmarkStart w:name="_Toc90465575" w:id="22"/>
      <w:r w:rsidRPr="00A155F2">
        <w:rPr>
          <w:rFonts w:ascii="Arial Bold" w:hAnsi="Arial Bold" w:cs="Arial"/>
          <w:caps/>
          <w:spacing w:val="0"/>
          <w:u w:val="single"/>
        </w:rPr>
        <w:lastRenderedPageBreak/>
        <w:t>Table of Contents</w:t>
      </w:r>
    </w:p>
    <w:sdt>
      <w:sdtPr>
        <w:rPr>
          <w:rFonts w:ascii="Arial" w:hAnsi="Arial"/>
          <w:b w:val="0"/>
          <w:caps w:val="0"/>
          <w:kern w:val="0"/>
        </w:rPr>
        <w:id w:val="-1443527103"/>
        <w:docPartObj>
          <w:docPartGallery w:val="Table of Contents"/>
          <w:docPartUnique/>
        </w:docPartObj>
      </w:sdtPr>
      <w:sdtEndPr>
        <w:rPr>
          <w:b/>
          <w:bCs/>
          <w:caps/>
          <w:kern w:val="14"/>
        </w:rPr>
      </w:sdtEndPr>
      <w:sdtContent>
        <w:p w:rsidR="00D5639B" w:rsidRDefault="00C3776F" w14:paraId="0B664426" w14:textId="1BFF1FC2">
          <w:pPr>
            <w:pStyle w:val="TOC1"/>
            <w:rPr>
              <w:rFonts w:asciiTheme="minorHAnsi" w:hAnsiTheme="minorHAnsi" w:eastAsiaTheme="minorEastAsia" w:cstheme="minorBidi"/>
              <w:b w:val="0"/>
              <w:caps w:val="0"/>
              <w:noProof/>
              <w:kern w:val="2"/>
              <w:sz w:val="24"/>
              <w:szCs w:val="24"/>
              <w14:ligatures w14:val="standardContextual"/>
            </w:rPr>
          </w:pPr>
          <w:r w:rsidRPr="0072211F">
            <w:rPr>
              <w:rFonts w:ascii="Arial" w:hAnsi="Arial"/>
            </w:rPr>
            <w:fldChar w:fldCharType="begin"/>
          </w:r>
          <w:r>
            <w:rPr>
              <w:rFonts w:ascii="Arial" w:hAnsi="Arial"/>
            </w:rPr>
            <w:instrText xml:space="preserve"> TOC \h \z \t "zGTC01,1,zGTC02,2,zGTitleExhibit,1" </w:instrText>
          </w:r>
          <w:r w:rsidRPr="0072211F">
            <w:rPr>
              <w:rFonts w:ascii="Arial" w:hAnsi="Arial"/>
            </w:rPr>
            <w:fldChar w:fldCharType="separate"/>
          </w:r>
          <w:hyperlink w:history="1" w:anchor="_Toc227451342">
            <w:r w:rsidRPr="00F10278" w:rsidR="00D5639B">
              <w:rPr>
                <w:rStyle w:val="Hyperlink"/>
                <w:noProof/>
              </w:rPr>
              <w:t>SCHEDULE OF DEFINED TERMS</w:t>
            </w:r>
            <w:r w:rsidR="00D5639B">
              <w:rPr>
                <w:noProof/>
                <w:webHidden/>
              </w:rPr>
              <w:tab/>
            </w:r>
            <w:r w:rsidR="00D5639B">
              <w:rPr>
                <w:noProof/>
                <w:webHidden/>
              </w:rPr>
              <w:fldChar w:fldCharType="begin"/>
            </w:r>
            <w:r w:rsidR="00D5639B">
              <w:rPr>
                <w:noProof/>
                <w:webHidden/>
              </w:rPr>
              <w:instrText xml:space="preserve"> PAGEREF _Toc227451342 \h </w:instrText>
            </w:r>
            <w:r w:rsidR="00D5639B">
              <w:rPr>
                <w:noProof/>
                <w:webHidden/>
              </w:rPr>
            </w:r>
            <w:r w:rsidR="00D5639B">
              <w:rPr>
                <w:noProof/>
                <w:webHidden/>
              </w:rPr>
              <w:fldChar w:fldCharType="separate"/>
            </w:r>
            <w:r w:rsidR="00D5639B">
              <w:rPr>
                <w:noProof/>
                <w:webHidden/>
              </w:rPr>
              <w:t>7</w:t>
            </w:r>
            <w:r w:rsidR="00D5639B">
              <w:rPr>
                <w:noProof/>
                <w:webHidden/>
              </w:rPr>
              <w:fldChar w:fldCharType="end"/>
            </w:r>
          </w:hyperlink>
        </w:p>
        <w:p w:rsidR="00D5639B" w:rsidRDefault="00D5639B" w14:paraId="6D511F33" w14:textId="275D55CF">
          <w:pPr>
            <w:pStyle w:val="TOC1"/>
            <w:rPr>
              <w:rFonts w:asciiTheme="minorHAnsi" w:hAnsiTheme="minorHAnsi" w:eastAsiaTheme="minorEastAsia" w:cstheme="minorBidi"/>
              <w:b w:val="0"/>
              <w:caps w:val="0"/>
              <w:noProof/>
              <w:kern w:val="2"/>
              <w:sz w:val="24"/>
              <w:szCs w:val="24"/>
              <w14:ligatures w14:val="standardContextual"/>
            </w:rPr>
          </w:pPr>
          <w:hyperlink w:history="1" w:anchor="_Toc227451343">
            <w:r w:rsidRPr="00F10278">
              <w:rPr>
                <w:rStyle w:val="Hyperlink"/>
                <w:rFonts w:cs="Times New Roman"/>
                <w:noProof/>
                <w14:scene3d>
                  <w14:camera w14:prst="orthographicFront"/>
                  <w14:lightRig w14:rig="threePt" w14:dir="t">
                    <w14:rot w14:lat="0" w14:lon="0" w14:rev="0"/>
                  </w14:lightRig>
                </w14:scene3d>
                <w14:props3d w14:extrusionH="0" w14:contourW="0" w14:prstMaterial="warmMatte"/>
              </w:rPr>
              <w:t>Part 1.</w:t>
            </w:r>
            <w:r>
              <w:rPr>
                <w:rFonts w:asciiTheme="minorHAnsi" w:hAnsiTheme="minorHAnsi" w:eastAsiaTheme="minorEastAsia" w:cstheme="minorBidi"/>
                <w:b w:val="0"/>
                <w:caps w:val="0"/>
                <w:noProof/>
                <w:kern w:val="2"/>
                <w:sz w:val="24"/>
                <w:szCs w:val="24"/>
                <w14:ligatures w14:val="standardContextual"/>
              </w:rPr>
              <w:tab/>
            </w:r>
            <w:r w:rsidRPr="00F10278">
              <w:rPr>
                <w:rStyle w:val="Hyperlink"/>
                <w:noProof/>
              </w:rPr>
              <w:t>Term of Agreement</w:t>
            </w:r>
            <w:r>
              <w:rPr>
                <w:noProof/>
                <w:webHidden/>
              </w:rPr>
              <w:tab/>
            </w:r>
            <w:r>
              <w:rPr>
                <w:noProof/>
                <w:webHidden/>
              </w:rPr>
              <w:fldChar w:fldCharType="begin"/>
            </w:r>
            <w:r>
              <w:rPr>
                <w:noProof/>
                <w:webHidden/>
              </w:rPr>
              <w:instrText xml:space="preserve"> PAGEREF _Toc227451343 \h </w:instrText>
            </w:r>
            <w:r>
              <w:rPr>
                <w:noProof/>
                <w:webHidden/>
              </w:rPr>
            </w:r>
            <w:r>
              <w:rPr>
                <w:noProof/>
                <w:webHidden/>
              </w:rPr>
              <w:fldChar w:fldCharType="separate"/>
            </w:r>
            <w:r>
              <w:rPr>
                <w:noProof/>
                <w:webHidden/>
              </w:rPr>
              <w:t>22</w:t>
            </w:r>
            <w:r>
              <w:rPr>
                <w:noProof/>
                <w:webHidden/>
              </w:rPr>
              <w:fldChar w:fldCharType="end"/>
            </w:r>
          </w:hyperlink>
        </w:p>
        <w:p w:rsidR="00D5639B" w:rsidRDefault="00D5639B" w14:paraId="5C26C69C" w14:textId="34893AB1">
          <w:pPr>
            <w:pStyle w:val="TOC2"/>
            <w:rPr>
              <w:rFonts w:asciiTheme="minorHAnsi" w:hAnsiTheme="minorHAnsi" w:eastAsiaTheme="minorEastAsia"/>
              <w:noProof/>
              <w:kern w:val="2"/>
              <w:sz w:val="24"/>
              <w:szCs w:val="24"/>
              <w14:ligatures w14:val="standardContextual"/>
            </w:rPr>
          </w:pPr>
          <w:hyperlink w:history="1" w:anchor="_Toc227451344">
            <w:r w:rsidRPr="00F10278">
              <w:rPr>
                <w:rStyle w:val="Hyperlink"/>
                <w:rFonts w:cs="Arial"/>
                <w:caps/>
                <w:noProof/>
                <w:specVanish/>
              </w:rPr>
              <w:t>1.1</w:t>
            </w:r>
            <w:r>
              <w:rPr>
                <w:rFonts w:asciiTheme="minorHAnsi" w:hAnsiTheme="minorHAnsi" w:eastAsiaTheme="minorEastAsia"/>
                <w:noProof/>
                <w:kern w:val="2"/>
                <w:sz w:val="24"/>
                <w:szCs w:val="24"/>
                <w14:ligatures w14:val="standardContextual"/>
              </w:rPr>
              <w:tab/>
            </w:r>
            <w:r w:rsidRPr="00F10278">
              <w:rPr>
                <w:rStyle w:val="Hyperlink"/>
                <w:rFonts w:cs="Arial"/>
                <w:noProof/>
              </w:rPr>
              <w:t>Term.</w:t>
            </w:r>
            <w:r>
              <w:rPr>
                <w:noProof/>
                <w:webHidden/>
              </w:rPr>
              <w:tab/>
            </w:r>
            <w:r>
              <w:rPr>
                <w:noProof/>
                <w:webHidden/>
              </w:rPr>
              <w:fldChar w:fldCharType="begin"/>
            </w:r>
            <w:r>
              <w:rPr>
                <w:noProof/>
                <w:webHidden/>
              </w:rPr>
              <w:instrText xml:space="preserve"> PAGEREF _Toc227451344 \h </w:instrText>
            </w:r>
            <w:r>
              <w:rPr>
                <w:noProof/>
                <w:webHidden/>
              </w:rPr>
            </w:r>
            <w:r>
              <w:rPr>
                <w:noProof/>
                <w:webHidden/>
              </w:rPr>
              <w:fldChar w:fldCharType="separate"/>
            </w:r>
            <w:r>
              <w:rPr>
                <w:noProof/>
                <w:webHidden/>
              </w:rPr>
              <w:t>22</w:t>
            </w:r>
            <w:r>
              <w:rPr>
                <w:noProof/>
                <w:webHidden/>
              </w:rPr>
              <w:fldChar w:fldCharType="end"/>
            </w:r>
          </w:hyperlink>
        </w:p>
        <w:p w:rsidR="00D5639B" w:rsidRDefault="00D5639B" w14:paraId="569E3BD7" w14:textId="22878AEA">
          <w:pPr>
            <w:pStyle w:val="TOC2"/>
            <w:rPr>
              <w:rFonts w:asciiTheme="minorHAnsi" w:hAnsiTheme="minorHAnsi" w:eastAsiaTheme="minorEastAsia"/>
              <w:noProof/>
              <w:kern w:val="2"/>
              <w:sz w:val="24"/>
              <w:szCs w:val="24"/>
              <w14:ligatures w14:val="standardContextual"/>
            </w:rPr>
          </w:pPr>
          <w:hyperlink w:history="1" w:anchor="_Toc227451345">
            <w:r w:rsidRPr="00F10278">
              <w:rPr>
                <w:rStyle w:val="Hyperlink"/>
                <w:rFonts w:cs="Arial"/>
                <w:caps/>
                <w:noProof/>
                <w:specVanish/>
              </w:rPr>
              <w:t>1.2</w:t>
            </w:r>
            <w:r>
              <w:rPr>
                <w:rFonts w:asciiTheme="minorHAnsi" w:hAnsiTheme="minorHAnsi" w:eastAsiaTheme="minorEastAsia"/>
                <w:noProof/>
                <w:kern w:val="2"/>
                <w:sz w:val="24"/>
                <w:szCs w:val="24"/>
                <w14:ligatures w14:val="standardContextual"/>
              </w:rPr>
              <w:tab/>
            </w:r>
            <w:r w:rsidRPr="00F10278">
              <w:rPr>
                <w:rStyle w:val="Hyperlink"/>
                <w:rFonts w:cs="Arial"/>
                <w:noProof/>
              </w:rPr>
              <w:t>Survival.</w:t>
            </w:r>
            <w:r>
              <w:rPr>
                <w:noProof/>
                <w:webHidden/>
              </w:rPr>
              <w:tab/>
            </w:r>
            <w:r>
              <w:rPr>
                <w:noProof/>
                <w:webHidden/>
              </w:rPr>
              <w:fldChar w:fldCharType="begin"/>
            </w:r>
            <w:r>
              <w:rPr>
                <w:noProof/>
                <w:webHidden/>
              </w:rPr>
              <w:instrText xml:space="preserve"> PAGEREF _Toc227451345 \h </w:instrText>
            </w:r>
            <w:r>
              <w:rPr>
                <w:noProof/>
                <w:webHidden/>
              </w:rPr>
            </w:r>
            <w:r>
              <w:rPr>
                <w:noProof/>
                <w:webHidden/>
              </w:rPr>
              <w:fldChar w:fldCharType="separate"/>
            </w:r>
            <w:r>
              <w:rPr>
                <w:noProof/>
                <w:webHidden/>
              </w:rPr>
              <w:t>22</w:t>
            </w:r>
            <w:r>
              <w:rPr>
                <w:noProof/>
                <w:webHidden/>
              </w:rPr>
              <w:fldChar w:fldCharType="end"/>
            </w:r>
          </w:hyperlink>
        </w:p>
        <w:p w:rsidR="00D5639B" w:rsidRDefault="00D5639B" w14:paraId="0F6A99E6" w14:textId="35EA7434">
          <w:pPr>
            <w:pStyle w:val="TOC2"/>
            <w:rPr>
              <w:rFonts w:asciiTheme="minorHAnsi" w:hAnsiTheme="minorHAnsi" w:eastAsiaTheme="minorEastAsia"/>
              <w:noProof/>
              <w:kern w:val="2"/>
              <w:sz w:val="24"/>
              <w:szCs w:val="24"/>
              <w14:ligatures w14:val="standardContextual"/>
            </w:rPr>
          </w:pPr>
          <w:hyperlink w:history="1" w:anchor="_Toc227451346">
            <w:r w:rsidRPr="00F10278">
              <w:rPr>
                <w:rStyle w:val="Hyperlink"/>
                <w:rFonts w:cs="Arial"/>
                <w:caps/>
                <w:noProof/>
                <w:specVanish/>
              </w:rPr>
              <w:t>1.3</w:t>
            </w:r>
            <w:r>
              <w:rPr>
                <w:rFonts w:asciiTheme="minorHAnsi" w:hAnsiTheme="minorHAnsi" w:eastAsiaTheme="minorEastAsia"/>
                <w:noProof/>
                <w:kern w:val="2"/>
                <w:sz w:val="24"/>
                <w:szCs w:val="24"/>
                <w14:ligatures w14:val="standardContextual"/>
              </w:rPr>
              <w:tab/>
            </w:r>
            <w:r w:rsidRPr="00F10278">
              <w:rPr>
                <w:rStyle w:val="Hyperlink"/>
                <w:rFonts w:cs="Arial"/>
                <w:noProof/>
              </w:rPr>
              <w:t>Conditions Subsequent.</w:t>
            </w:r>
            <w:r>
              <w:rPr>
                <w:noProof/>
                <w:webHidden/>
              </w:rPr>
              <w:tab/>
            </w:r>
            <w:r>
              <w:rPr>
                <w:noProof/>
                <w:webHidden/>
              </w:rPr>
              <w:fldChar w:fldCharType="begin"/>
            </w:r>
            <w:r>
              <w:rPr>
                <w:noProof/>
                <w:webHidden/>
              </w:rPr>
              <w:instrText xml:space="preserve"> PAGEREF _Toc227451346 \h </w:instrText>
            </w:r>
            <w:r>
              <w:rPr>
                <w:noProof/>
                <w:webHidden/>
              </w:rPr>
            </w:r>
            <w:r>
              <w:rPr>
                <w:noProof/>
                <w:webHidden/>
              </w:rPr>
              <w:fldChar w:fldCharType="separate"/>
            </w:r>
            <w:r>
              <w:rPr>
                <w:noProof/>
                <w:webHidden/>
              </w:rPr>
              <w:t>22</w:t>
            </w:r>
            <w:r>
              <w:rPr>
                <w:noProof/>
                <w:webHidden/>
              </w:rPr>
              <w:fldChar w:fldCharType="end"/>
            </w:r>
          </w:hyperlink>
        </w:p>
        <w:p w:rsidR="00D5639B" w:rsidRDefault="00D5639B" w14:paraId="079ECA86" w14:textId="782FDCD4">
          <w:pPr>
            <w:pStyle w:val="TOC1"/>
            <w:rPr>
              <w:rFonts w:asciiTheme="minorHAnsi" w:hAnsiTheme="minorHAnsi" w:eastAsiaTheme="minorEastAsia" w:cstheme="minorBidi"/>
              <w:b w:val="0"/>
              <w:caps w:val="0"/>
              <w:noProof/>
              <w:kern w:val="2"/>
              <w:sz w:val="24"/>
              <w:szCs w:val="24"/>
              <w14:ligatures w14:val="standardContextual"/>
            </w:rPr>
          </w:pPr>
          <w:hyperlink w:history="1" w:anchor="_Toc227451347">
            <w:r w:rsidRPr="00F10278">
              <w:rPr>
                <w:rStyle w:val="Hyperlink"/>
                <w:noProof/>
              </w:rPr>
              <w:t>Part 2</w:t>
            </w:r>
            <w:r>
              <w:rPr>
                <w:rFonts w:asciiTheme="minorHAnsi" w:hAnsiTheme="minorHAnsi" w:eastAsiaTheme="minorEastAsia" w:cstheme="minorBidi"/>
                <w:b w:val="0"/>
                <w:caps w:val="0"/>
                <w:noProof/>
                <w:kern w:val="2"/>
                <w:sz w:val="24"/>
                <w:szCs w:val="24"/>
                <w14:ligatures w14:val="standardContextual"/>
              </w:rPr>
              <w:tab/>
            </w:r>
            <w:r w:rsidRPr="00F10278">
              <w:rPr>
                <w:rStyle w:val="Hyperlink"/>
                <w:noProof/>
              </w:rPr>
              <w:t>Representations, Warranties, and Covenants</w:t>
            </w:r>
            <w:r>
              <w:rPr>
                <w:noProof/>
                <w:webHidden/>
              </w:rPr>
              <w:tab/>
            </w:r>
            <w:r>
              <w:rPr>
                <w:noProof/>
                <w:webHidden/>
              </w:rPr>
              <w:fldChar w:fldCharType="begin"/>
            </w:r>
            <w:r>
              <w:rPr>
                <w:noProof/>
                <w:webHidden/>
              </w:rPr>
              <w:instrText xml:space="preserve"> PAGEREF _Toc227451347 \h </w:instrText>
            </w:r>
            <w:r>
              <w:rPr>
                <w:noProof/>
                <w:webHidden/>
              </w:rPr>
            </w:r>
            <w:r>
              <w:rPr>
                <w:noProof/>
                <w:webHidden/>
              </w:rPr>
              <w:fldChar w:fldCharType="separate"/>
            </w:r>
            <w:r>
              <w:rPr>
                <w:noProof/>
                <w:webHidden/>
              </w:rPr>
              <w:t>25</w:t>
            </w:r>
            <w:r>
              <w:rPr>
                <w:noProof/>
                <w:webHidden/>
              </w:rPr>
              <w:fldChar w:fldCharType="end"/>
            </w:r>
          </w:hyperlink>
        </w:p>
        <w:p w:rsidR="00D5639B" w:rsidRDefault="00D5639B" w14:paraId="71CC3278" w14:textId="781D7180">
          <w:pPr>
            <w:pStyle w:val="TOC2"/>
            <w:rPr>
              <w:rFonts w:asciiTheme="minorHAnsi" w:hAnsiTheme="minorHAnsi" w:eastAsiaTheme="minorEastAsia"/>
              <w:noProof/>
              <w:kern w:val="2"/>
              <w:sz w:val="24"/>
              <w:szCs w:val="24"/>
              <w14:ligatures w14:val="standardContextual"/>
            </w:rPr>
          </w:pPr>
          <w:hyperlink w:history="1" w:anchor="_Toc227451348">
            <w:r w:rsidRPr="00F10278">
              <w:rPr>
                <w:rStyle w:val="Hyperlink"/>
                <w:rFonts w:cs="Arial"/>
                <w:caps/>
                <w:noProof/>
                <w:specVanish/>
              </w:rPr>
              <w:t>2.1</w:t>
            </w:r>
            <w:r>
              <w:rPr>
                <w:rFonts w:asciiTheme="minorHAnsi" w:hAnsiTheme="minorHAnsi" w:eastAsiaTheme="minorEastAsia"/>
                <w:noProof/>
                <w:kern w:val="2"/>
                <w:sz w:val="24"/>
                <w:szCs w:val="24"/>
                <w14:ligatures w14:val="standardContextual"/>
              </w:rPr>
              <w:tab/>
            </w:r>
            <w:r w:rsidRPr="00F10278">
              <w:rPr>
                <w:rStyle w:val="Hyperlink"/>
                <w:rFonts w:cs="Arial"/>
                <w:noProof/>
              </w:rPr>
              <w:t>Seller Representations, Warranties, and Covenants.</w:t>
            </w:r>
            <w:r>
              <w:rPr>
                <w:noProof/>
                <w:webHidden/>
              </w:rPr>
              <w:tab/>
            </w:r>
            <w:r>
              <w:rPr>
                <w:noProof/>
                <w:webHidden/>
              </w:rPr>
              <w:fldChar w:fldCharType="begin"/>
            </w:r>
            <w:r>
              <w:rPr>
                <w:noProof/>
                <w:webHidden/>
              </w:rPr>
              <w:instrText xml:space="preserve"> PAGEREF _Toc227451348 \h </w:instrText>
            </w:r>
            <w:r>
              <w:rPr>
                <w:noProof/>
                <w:webHidden/>
              </w:rPr>
            </w:r>
            <w:r>
              <w:rPr>
                <w:noProof/>
                <w:webHidden/>
              </w:rPr>
              <w:fldChar w:fldCharType="separate"/>
            </w:r>
            <w:r>
              <w:rPr>
                <w:noProof/>
                <w:webHidden/>
              </w:rPr>
              <w:t>25</w:t>
            </w:r>
            <w:r>
              <w:rPr>
                <w:noProof/>
                <w:webHidden/>
              </w:rPr>
              <w:fldChar w:fldCharType="end"/>
            </w:r>
          </w:hyperlink>
        </w:p>
        <w:p w:rsidR="00D5639B" w:rsidRDefault="00D5639B" w14:paraId="41B923D9" w14:textId="14B07750">
          <w:pPr>
            <w:pStyle w:val="TOC2"/>
            <w:rPr>
              <w:rFonts w:asciiTheme="minorHAnsi" w:hAnsiTheme="minorHAnsi" w:eastAsiaTheme="minorEastAsia"/>
              <w:noProof/>
              <w:kern w:val="2"/>
              <w:sz w:val="24"/>
              <w:szCs w:val="24"/>
              <w14:ligatures w14:val="standardContextual"/>
            </w:rPr>
          </w:pPr>
          <w:hyperlink w:history="1" w:anchor="_Toc227451349">
            <w:r w:rsidRPr="00F10278">
              <w:rPr>
                <w:rStyle w:val="Hyperlink"/>
                <w:rFonts w:cs="Arial"/>
                <w:caps/>
                <w:noProof/>
                <w:specVanish/>
              </w:rPr>
              <w:t>2.2</w:t>
            </w:r>
            <w:r>
              <w:rPr>
                <w:rFonts w:asciiTheme="minorHAnsi" w:hAnsiTheme="minorHAnsi" w:eastAsiaTheme="minorEastAsia"/>
                <w:noProof/>
                <w:kern w:val="2"/>
                <w:sz w:val="24"/>
                <w:szCs w:val="24"/>
                <w14:ligatures w14:val="standardContextual"/>
              </w:rPr>
              <w:tab/>
            </w:r>
            <w:r w:rsidRPr="00F10278">
              <w:rPr>
                <w:rStyle w:val="Hyperlink"/>
                <w:rFonts w:cs="Arial"/>
                <w:noProof/>
              </w:rPr>
              <w:t>GPC Representations, Warranties, and Covenants.</w:t>
            </w:r>
            <w:r>
              <w:rPr>
                <w:noProof/>
                <w:webHidden/>
              </w:rPr>
              <w:tab/>
            </w:r>
            <w:r>
              <w:rPr>
                <w:noProof/>
                <w:webHidden/>
              </w:rPr>
              <w:fldChar w:fldCharType="begin"/>
            </w:r>
            <w:r>
              <w:rPr>
                <w:noProof/>
                <w:webHidden/>
              </w:rPr>
              <w:instrText xml:space="preserve"> PAGEREF _Toc227451349 \h </w:instrText>
            </w:r>
            <w:r>
              <w:rPr>
                <w:noProof/>
                <w:webHidden/>
              </w:rPr>
            </w:r>
            <w:r>
              <w:rPr>
                <w:noProof/>
                <w:webHidden/>
              </w:rPr>
              <w:fldChar w:fldCharType="separate"/>
            </w:r>
            <w:r>
              <w:rPr>
                <w:noProof/>
                <w:webHidden/>
              </w:rPr>
              <w:t>27</w:t>
            </w:r>
            <w:r>
              <w:rPr>
                <w:noProof/>
                <w:webHidden/>
              </w:rPr>
              <w:fldChar w:fldCharType="end"/>
            </w:r>
          </w:hyperlink>
        </w:p>
        <w:p w:rsidR="00D5639B" w:rsidRDefault="00D5639B" w14:paraId="76A11837" w14:textId="6FA15C46">
          <w:pPr>
            <w:pStyle w:val="TOC1"/>
            <w:rPr>
              <w:rFonts w:asciiTheme="minorHAnsi" w:hAnsiTheme="minorHAnsi" w:eastAsiaTheme="minorEastAsia" w:cstheme="minorBidi"/>
              <w:b w:val="0"/>
              <w:caps w:val="0"/>
              <w:noProof/>
              <w:kern w:val="2"/>
              <w:sz w:val="24"/>
              <w:szCs w:val="24"/>
              <w14:ligatures w14:val="standardContextual"/>
            </w:rPr>
          </w:pPr>
          <w:hyperlink w:history="1" w:anchor="_Toc227451350">
            <w:r w:rsidRPr="00F10278">
              <w:rPr>
                <w:rStyle w:val="Hyperlink"/>
                <w:noProof/>
              </w:rPr>
              <w:t>Part 3</w:t>
            </w:r>
            <w:r>
              <w:rPr>
                <w:rFonts w:asciiTheme="minorHAnsi" w:hAnsiTheme="minorHAnsi" w:eastAsiaTheme="minorEastAsia" w:cstheme="minorBidi"/>
                <w:b w:val="0"/>
                <w:caps w:val="0"/>
                <w:noProof/>
                <w:kern w:val="2"/>
                <w:sz w:val="24"/>
                <w:szCs w:val="24"/>
                <w14:ligatures w14:val="standardContextual"/>
              </w:rPr>
              <w:tab/>
            </w:r>
            <w:r w:rsidRPr="00F10278">
              <w:rPr>
                <w:rStyle w:val="Hyperlink"/>
                <w:noProof/>
              </w:rPr>
              <w:t>Preservation of Terms; Consents; Taxes</w:t>
            </w:r>
            <w:r>
              <w:rPr>
                <w:noProof/>
                <w:webHidden/>
              </w:rPr>
              <w:tab/>
            </w:r>
            <w:r>
              <w:rPr>
                <w:noProof/>
                <w:webHidden/>
              </w:rPr>
              <w:fldChar w:fldCharType="begin"/>
            </w:r>
            <w:r>
              <w:rPr>
                <w:noProof/>
                <w:webHidden/>
              </w:rPr>
              <w:instrText xml:space="preserve"> PAGEREF _Toc227451350 \h </w:instrText>
            </w:r>
            <w:r>
              <w:rPr>
                <w:noProof/>
                <w:webHidden/>
              </w:rPr>
            </w:r>
            <w:r>
              <w:rPr>
                <w:noProof/>
                <w:webHidden/>
              </w:rPr>
              <w:fldChar w:fldCharType="separate"/>
            </w:r>
            <w:r>
              <w:rPr>
                <w:noProof/>
                <w:webHidden/>
              </w:rPr>
              <w:t>28</w:t>
            </w:r>
            <w:r>
              <w:rPr>
                <w:noProof/>
                <w:webHidden/>
              </w:rPr>
              <w:fldChar w:fldCharType="end"/>
            </w:r>
          </w:hyperlink>
        </w:p>
        <w:p w:rsidR="00D5639B" w:rsidRDefault="00D5639B" w14:paraId="1D2AF4C3" w14:textId="55DC4B6F">
          <w:pPr>
            <w:pStyle w:val="TOC2"/>
            <w:rPr>
              <w:rFonts w:asciiTheme="minorHAnsi" w:hAnsiTheme="minorHAnsi" w:eastAsiaTheme="minorEastAsia"/>
              <w:noProof/>
              <w:kern w:val="2"/>
              <w:sz w:val="24"/>
              <w:szCs w:val="24"/>
              <w14:ligatures w14:val="standardContextual"/>
            </w:rPr>
          </w:pPr>
          <w:hyperlink w:history="1" w:anchor="_Toc227451351">
            <w:r w:rsidRPr="00F10278">
              <w:rPr>
                <w:rStyle w:val="Hyperlink"/>
                <w:rFonts w:cs="Arial"/>
                <w:caps/>
                <w:noProof/>
                <w:specVanish/>
              </w:rPr>
              <w:t>3.1</w:t>
            </w:r>
            <w:r>
              <w:rPr>
                <w:rFonts w:asciiTheme="minorHAnsi" w:hAnsiTheme="minorHAnsi" w:eastAsiaTheme="minorEastAsia"/>
                <w:noProof/>
                <w:kern w:val="2"/>
                <w:sz w:val="24"/>
                <w:szCs w:val="24"/>
                <w14:ligatures w14:val="standardContextual"/>
              </w:rPr>
              <w:tab/>
            </w:r>
            <w:r w:rsidRPr="00F10278">
              <w:rPr>
                <w:rStyle w:val="Hyperlink"/>
                <w:rFonts w:cs="Arial"/>
                <w:noProof/>
              </w:rPr>
              <w:t>Preservation of Terms.</w:t>
            </w:r>
            <w:r>
              <w:rPr>
                <w:noProof/>
                <w:webHidden/>
              </w:rPr>
              <w:tab/>
            </w:r>
            <w:r>
              <w:rPr>
                <w:noProof/>
                <w:webHidden/>
              </w:rPr>
              <w:fldChar w:fldCharType="begin"/>
            </w:r>
            <w:r>
              <w:rPr>
                <w:noProof/>
                <w:webHidden/>
              </w:rPr>
              <w:instrText xml:space="preserve"> PAGEREF _Toc227451351 \h </w:instrText>
            </w:r>
            <w:r>
              <w:rPr>
                <w:noProof/>
                <w:webHidden/>
              </w:rPr>
            </w:r>
            <w:r>
              <w:rPr>
                <w:noProof/>
                <w:webHidden/>
              </w:rPr>
              <w:fldChar w:fldCharType="separate"/>
            </w:r>
            <w:r>
              <w:rPr>
                <w:noProof/>
                <w:webHidden/>
              </w:rPr>
              <w:t>28</w:t>
            </w:r>
            <w:r>
              <w:rPr>
                <w:noProof/>
                <w:webHidden/>
              </w:rPr>
              <w:fldChar w:fldCharType="end"/>
            </w:r>
          </w:hyperlink>
        </w:p>
        <w:p w:rsidR="00D5639B" w:rsidRDefault="00D5639B" w14:paraId="13FC9D35" w14:textId="583C23C8">
          <w:pPr>
            <w:pStyle w:val="TOC2"/>
            <w:rPr>
              <w:rFonts w:asciiTheme="minorHAnsi" w:hAnsiTheme="minorHAnsi" w:eastAsiaTheme="minorEastAsia"/>
              <w:noProof/>
              <w:kern w:val="2"/>
              <w:sz w:val="24"/>
              <w:szCs w:val="24"/>
              <w14:ligatures w14:val="standardContextual"/>
            </w:rPr>
          </w:pPr>
          <w:hyperlink w:history="1" w:anchor="_Toc227451352">
            <w:r w:rsidRPr="00F10278">
              <w:rPr>
                <w:rStyle w:val="Hyperlink"/>
                <w:rFonts w:cs="Arial"/>
                <w:caps/>
                <w:noProof/>
                <w:specVanish/>
              </w:rPr>
              <w:t>3.2</w:t>
            </w:r>
            <w:r>
              <w:rPr>
                <w:rFonts w:asciiTheme="minorHAnsi" w:hAnsiTheme="minorHAnsi" w:eastAsiaTheme="minorEastAsia"/>
                <w:noProof/>
                <w:kern w:val="2"/>
                <w:sz w:val="24"/>
                <w:szCs w:val="24"/>
                <w14:ligatures w14:val="standardContextual"/>
              </w:rPr>
              <w:tab/>
            </w:r>
            <w:r w:rsidRPr="00F10278">
              <w:rPr>
                <w:rStyle w:val="Hyperlink"/>
                <w:rFonts w:cs="Arial"/>
                <w:noProof/>
              </w:rPr>
              <w:t>Other Approvals.</w:t>
            </w:r>
            <w:r>
              <w:rPr>
                <w:noProof/>
                <w:webHidden/>
              </w:rPr>
              <w:tab/>
            </w:r>
            <w:r>
              <w:rPr>
                <w:noProof/>
                <w:webHidden/>
              </w:rPr>
              <w:fldChar w:fldCharType="begin"/>
            </w:r>
            <w:r>
              <w:rPr>
                <w:noProof/>
                <w:webHidden/>
              </w:rPr>
              <w:instrText xml:space="preserve"> PAGEREF _Toc227451352 \h </w:instrText>
            </w:r>
            <w:r>
              <w:rPr>
                <w:noProof/>
                <w:webHidden/>
              </w:rPr>
            </w:r>
            <w:r>
              <w:rPr>
                <w:noProof/>
                <w:webHidden/>
              </w:rPr>
              <w:fldChar w:fldCharType="separate"/>
            </w:r>
            <w:r>
              <w:rPr>
                <w:noProof/>
                <w:webHidden/>
              </w:rPr>
              <w:t>28</w:t>
            </w:r>
            <w:r>
              <w:rPr>
                <w:noProof/>
                <w:webHidden/>
              </w:rPr>
              <w:fldChar w:fldCharType="end"/>
            </w:r>
          </w:hyperlink>
        </w:p>
        <w:p w:rsidR="00D5639B" w:rsidRDefault="00D5639B" w14:paraId="5D27AEDA" w14:textId="20305011">
          <w:pPr>
            <w:pStyle w:val="TOC2"/>
            <w:rPr>
              <w:rFonts w:asciiTheme="minorHAnsi" w:hAnsiTheme="minorHAnsi" w:eastAsiaTheme="minorEastAsia"/>
              <w:noProof/>
              <w:kern w:val="2"/>
              <w:sz w:val="24"/>
              <w:szCs w:val="24"/>
              <w14:ligatures w14:val="standardContextual"/>
            </w:rPr>
          </w:pPr>
          <w:hyperlink w:history="1" w:anchor="_Toc227451353">
            <w:r w:rsidRPr="00F10278">
              <w:rPr>
                <w:rStyle w:val="Hyperlink"/>
                <w:rFonts w:cs="Arial"/>
                <w:caps/>
                <w:noProof/>
                <w:specVanish/>
              </w:rPr>
              <w:t>3.3</w:t>
            </w:r>
            <w:r>
              <w:rPr>
                <w:rFonts w:asciiTheme="minorHAnsi" w:hAnsiTheme="minorHAnsi" w:eastAsiaTheme="minorEastAsia"/>
                <w:noProof/>
                <w:kern w:val="2"/>
                <w:sz w:val="24"/>
                <w:szCs w:val="24"/>
                <w14:ligatures w14:val="standardContextual"/>
              </w:rPr>
              <w:tab/>
            </w:r>
            <w:r w:rsidRPr="00F10278">
              <w:rPr>
                <w:rStyle w:val="Hyperlink"/>
                <w:rFonts w:cs="Arial"/>
                <w:noProof/>
              </w:rPr>
              <w:t>Taxes.</w:t>
            </w:r>
            <w:r>
              <w:rPr>
                <w:noProof/>
                <w:webHidden/>
              </w:rPr>
              <w:tab/>
            </w:r>
            <w:r>
              <w:rPr>
                <w:noProof/>
                <w:webHidden/>
              </w:rPr>
              <w:fldChar w:fldCharType="begin"/>
            </w:r>
            <w:r>
              <w:rPr>
                <w:noProof/>
                <w:webHidden/>
              </w:rPr>
              <w:instrText xml:space="preserve"> PAGEREF _Toc227451353 \h </w:instrText>
            </w:r>
            <w:r>
              <w:rPr>
                <w:noProof/>
                <w:webHidden/>
              </w:rPr>
            </w:r>
            <w:r>
              <w:rPr>
                <w:noProof/>
                <w:webHidden/>
              </w:rPr>
              <w:fldChar w:fldCharType="separate"/>
            </w:r>
            <w:r>
              <w:rPr>
                <w:noProof/>
                <w:webHidden/>
              </w:rPr>
              <w:t>28</w:t>
            </w:r>
            <w:r>
              <w:rPr>
                <w:noProof/>
                <w:webHidden/>
              </w:rPr>
              <w:fldChar w:fldCharType="end"/>
            </w:r>
          </w:hyperlink>
        </w:p>
        <w:p w:rsidR="00D5639B" w:rsidRDefault="00D5639B" w14:paraId="566BCEAA" w14:textId="584CDA32">
          <w:pPr>
            <w:pStyle w:val="TOC1"/>
            <w:rPr>
              <w:rFonts w:asciiTheme="minorHAnsi" w:hAnsiTheme="minorHAnsi" w:eastAsiaTheme="minorEastAsia" w:cstheme="minorBidi"/>
              <w:b w:val="0"/>
              <w:caps w:val="0"/>
              <w:noProof/>
              <w:kern w:val="2"/>
              <w:sz w:val="24"/>
              <w:szCs w:val="24"/>
              <w14:ligatures w14:val="standardContextual"/>
            </w:rPr>
          </w:pPr>
          <w:hyperlink w:history="1" w:anchor="_Toc227451354">
            <w:r w:rsidRPr="00F10278">
              <w:rPr>
                <w:rStyle w:val="Hyperlink"/>
                <w:noProof/>
              </w:rPr>
              <w:t>Part 4</w:t>
            </w:r>
            <w:r>
              <w:rPr>
                <w:rFonts w:asciiTheme="minorHAnsi" w:hAnsiTheme="minorHAnsi" w:eastAsiaTheme="minorEastAsia" w:cstheme="minorBidi"/>
                <w:b w:val="0"/>
                <w:caps w:val="0"/>
                <w:noProof/>
                <w:kern w:val="2"/>
                <w:sz w:val="24"/>
                <w:szCs w:val="24"/>
                <w14:ligatures w14:val="standardContextual"/>
              </w:rPr>
              <w:tab/>
            </w:r>
            <w:r w:rsidRPr="00F10278">
              <w:rPr>
                <w:rStyle w:val="Hyperlink"/>
                <w:noProof/>
              </w:rPr>
              <w:t>Sale and Delivery of Capacity and Energy</w:t>
            </w:r>
            <w:r>
              <w:rPr>
                <w:noProof/>
                <w:webHidden/>
              </w:rPr>
              <w:tab/>
            </w:r>
            <w:r>
              <w:rPr>
                <w:noProof/>
                <w:webHidden/>
              </w:rPr>
              <w:fldChar w:fldCharType="begin"/>
            </w:r>
            <w:r>
              <w:rPr>
                <w:noProof/>
                <w:webHidden/>
              </w:rPr>
              <w:instrText xml:space="preserve"> PAGEREF _Toc227451354 \h </w:instrText>
            </w:r>
            <w:r>
              <w:rPr>
                <w:noProof/>
                <w:webHidden/>
              </w:rPr>
            </w:r>
            <w:r>
              <w:rPr>
                <w:noProof/>
                <w:webHidden/>
              </w:rPr>
              <w:fldChar w:fldCharType="separate"/>
            </w:r>
            <w:r>
              <w:rPr>
                <w:noProof/>
                <w:webHidden/>
              </w:rPr>
              <w:t>29</w:t>
            </w:r>
            <w:r>
              <w:rPr>
                <w:noProof/>
                <w:webHidden/>
              </w:rPr>
              <w:fldChar w:fldCharType="end"/>
            </w:r>
          </w:hyperlink>
        </w:p>
        <w:p w:rsidR="00D5639B" w:rsidRDefault="00D5639B" w14:paraId="00E43810" w14:textId="2EC70EA8">
          <w:pPr>
            <w:pStyle w:val="TOC2"/>
            <w:rPr>
              <w:rFonts w:asciiTheme="minorHAnsi" w:hAnsiTheme="minorHAnsi" w:eastAsiaTheme="minorEastAsia"/>
              <w:noProof/>
              <w:kern w:val="2"/>
              <w:sz w:val="24"/>
              <w:szCs w:val="24"/>
              <w14:ligatures w14:val="standardContextual"/>
            </w:rPr>
          </w:pPr>
          <w:hyperlink w:history="1" w:anchor="_Toc227451355">
            <w:r w:rsidRPr="00F10278">
              <w:rPr>
                <w:rStyle w:val="Hyperlink"/>
                <w:rFonts w:cs="Arial"/>
                <w:caps/>
                <w:noProof/>
                <w:specVanish/>
              </w:rPr>
              <w:t>4.1</w:t>
            </w:r>
            <w:r>
              <w:rPr>
                <w:rFonts w:asciiTheme="minorHAnsi" w:hAnsiTheme="minorHAnsi" w:eastAsiaTheme="minorEastAsia"/>
                <w:noProof/>
                <w:kern w:val="2"/>
                <w:sz w:val="24"/>
                <w:szCs w:val="24"/>
                <w14:ligatures w14:val="standardContextual"/>
              </w:rPr>
              <w:tab/>
            </w:r>
            <w:r w:rsidRPr="00F10278">
              <w:rPr>
                <w:rStyle w:val="Hyperlink"/>
                <w:rFonts w:cs="Arial"/>
                <w:noProof/>
              </w:rPr>
              <w:t>Agreement to Sell and Purchase.</w:t>
            </w:r>
            <w:r>
              <w:rPr>
                <w:noProof/>
                <w:webHidden/>
              </w:rPr>
              <w:tab/>
            </w:r>
            <w:r>
              <w:rPr>
                <w:noProof/>
                <w:webHidden/>
              </w:rPr>
              <w:fldChar w:fldCharType="begin"/>
            </w:r>
            <w:r>
              <w:rPr>
                <w:noProof/>
                <w:webHidden/>
              </w:rPr>
              <w:instrText xml:space="preserve"> PAGEREF _Toc227451355 \h </w:instrText>
            </w:r>
            <w:r>
              <w:rPr>
                <w:noProof/>
                <w:webHidden/>
              </w:rPr>
            </w:r>
            <w:r>
              <w:rPr>
                <w:noProof/>
                <w:webHidden/>
              </w:rPr>
              <w:fldChar w:fldCharType="separate"/>
            </w:r>
            <w:r>
              <w:rPr>
                <w:noProof/>
                <w:webHidden/>
              </w:rPr>
              <w:t>29</w:t>
            </w:r>
            <w:r>
              <w:rPr>
                <w:noProof/>
                <w:webHidden/>
              </w:rPr>
              <w:fldChar w:fldCharType="end"/>
            </w:r>
          </w:hyperlink>
        </w:p>
        <w:p w:rsidR="00D5639B" w:rsidRDefault="00D5639B" w14:paraId="4E476B4B" w14:textId="3BD64777">
          <w:pPr>
            <w:pStyle w:val="TOC2"/>
            <w:rPr>
              <w:rFonts w:asciiTheme="minorHAnsi" w:hAnsiTheme="minorHAnsi" w:eastAsiaTheme="minorEastAsia"/>
              <w:noProof/>
              <w:kern w:val="2"/>
              <w:sz w:val="24"/>
              <w:szCs w:val="24"/>
              <w14:ligatures w14:val="standardContextual"/>
            </w:rPr>
          </w:pPr>
          <w:hyperlink w:history="1" w:anchor="_Toc227451356">
            <w:r w:rsidRPr="00F10278">
              <w:rPr>
                <w:rStyle w:val="Hyperlink"/>
                <w:rFonts w:cs="Arial"/>
                <w:caps/>
                <w:noProof/>
                <w:specVanish/>
              </w:rPr>
              <w:t>4.2</w:t>
            </w:r>
            <w:r>
              <w:rPr>
                <w:rFonts w:asciiTheme="minorHAnsi" w:hAnsiTheme="minorHAnsi" w:eastAsiaTheme="minorEastAsia"/>
                <w:noProof/>
                <w:kern w:val="2"/>
                <w:sz w:val="24"/>
                <w:szCs w:val="24"/>
                <w14:ligatures w14:val="standardContextual"/>
              </w:rPr>
              <w:tab/>
            </w:r>
            <w:r w:rsidRPr="00F10278">
              <w:rPr>
                <w:rStyle w:val="Hyperlink"/>
                <w:rFonts w:cs="Arial"/>
                <w:noProof/>
              </w:rPr>
              <w:t>Calculation of Monthly Capacity Payments.</w:t>
            </w:r>
            <w:r>
              <w:rPr>
                <w:noProof/>
                <w:webHidden/>
              </w:rPr>
              <w:tab/>
            </w:r>
            <w:r>
              <w:rPr>
                <w:noProof/>
                <w:webHidden/>
              </w:rPr>
              <w:fldChar w:fldCharType="begin"/>
            </w:r>
            <w:r>
              <w:rPr>
                <w:noProof/>
                <w:webHidden/>
              </w:rPr>
              <w:instrText xml:space="preserve"> PAGEREF _Toc227451356 \h </w:instrText>
            </w:r>
            <w:r>
              <w:rPr>
                <w:noProof/>
                <w:webHidden/>
              </w:rPr>
            </w:r>
            <w:r>
              <w:rPr>
                <w:noProof/>
                <w:webHidden/>
              </w:rPr>
              <w:fldChar w:fldCharType="separate"/>
            </w:r>
            <w:r>
              <w:rPr>
                <w:noProof/>
                <w:webHidden/>
              </w:rPr>
              <w:t>30</w:t>
            </w:r>
            <w:r>
              <w:rPr>
                <w:noProof/>
                <w:webHidden/>
              </w:rPr>
              <w:fldChar w:fldCharType="end"/>
            </w:r>
          </w:hyperlink>
        </w:p>
        <w:p w:rsidR="00D5639B" w:rsidRDefault="00D5639B" w14:paraId="24EBFFE7" w14:textId="274873B3">
          <w:pPr>
            <w:pStyle w:val="TOC1"/>
            <w:rPr>
              <w:rFonts w:asciiTheme="minorHAnsi" w:hAnsiTheme="minorHAnsi" w:eastAsiaTheme="minorEastAsia" w:cstheme="minorBidi"/>
              <w:b w:val="0"/>
              <w:caps w:val="0"/>
              <w:noProof/>
              <w:kern w:val="2"/>
              <w:sz w:val="24"/>
              <w:szCs w:val="24"/>
              <w14:ligatures w14:val="standardContextual"/>
            </w:rPr>
          </w:pPr>
          <w:hyperlink w:history="1" w:anchor="_Toc227451357">
            <w:r w:rsidRPr="00F10278">
              <w:rPr>
                <w:rStyle w:val="Hyperlink"/>
                <w:rFonts w:eastAsia="PMingLiU"/>
                <w:noProof/>
              </w:rPr>
              <w:t>Part 5</w:t>
            </w:r>
            <w:r>
              <w:rPr>
                <w:rFonts w:asciiTheme="minorHAnsi" w:hAnsiTheme="minorHAnsi" w:eastAsiaTheme="minorEastAsia" w:cstheme="minorBidi"/>
                <w:b w:val="0"/>
                <w:caps w:val="0"/>
                <w:noProof/>
                <w:kern w:val="2"/>
                <w:sz w:val="24"/>
                <w:szCs w:val="24"/>
                <w14:ligatures w14:val="standardContextual"/>
              </w:rPr>
              <w:tab/>
            </w:r>
            <w:r w:rsidRPr="00F10278">
              <w:rPr>
                <w:rStyle w:val="Hyperlink"/>
                <w:noProof/>
              </w:rPr>
              <w:t>Billing and Collections</w:t>
            </w:r>
            <w:r>
              <w:rPr>
                <w:noProof/>
                <w:webHidden/>
              </w:rPr>
              <w:tab/>
            </w:r>
            <w:r>
              <w:rPr>
                <w:noProof/>
                <w:webHidden/>
              </w:rPr>
              <w:fldChar w:fldCharType="begin"/>
            </w:r>
            <w:r>
              <w:rPr>
                <w:noProof/>
                <w:webHidden/>
              </w:rPr>
              <w:instrText xml:space="preserve"> PAGEREF _Toc227451357 \h </w:instrText>
            </w:r>
            <w:r>
              <w:rPr>
                <w:noProof/>
                <w:webHidden/>
              </w:rPr>
            </w:r>
            <w:r>
              <w:rPr>
                <w:noProof/>
                <w:webHidden/>
              </w:rPr>
              <w:fldChar w:fldCharType="separate"/>
            </w:r>
            <w:r>
              <w:rPr>
                <w:noProof/>
                <w:webHidden/>
              </w:rPr>
              <w:t>31</w:t>
            </w:r>
            <w:r>
              <w:rPr>
                <w:noProof/>
                <w:webHidden/>
              </w:rPr>
              <w:fldChar w:fldCharType="end"/>
            </w:r>
          </w:hyperlink>
        </w:p>
        <w:p w:rsidR="00D5639B" w:rsidRDefault="00D5639B" w14:paraId="0CC51631" w14:textId="7AEC3FB8">
          <w:pPr>
            <w:pStyle w:val="TOC2"/>
            <w:rPr>
              <w:rFonts w:asciiTheme="minorHAnsi" w:hAnsiTheme="minorHAnsi" w:eastAsiaTheme="minorEastAsia"/>
              <w:noProof/>
              <w:kern w:val="2"/>
              <w:sz w:val="24"/>
              <w:szCs w:val="24"/>
              <w14:ligatures w14:val="standardContextual"/>
            </w:rPr>
          </w:pPr>
          <w:hyperlink w:history="1" w:anchor="_Toc227451358">
            <w:r w:rsidRPr="00F10278">
              <w:rPr>
                <w:rStyle w:val="Hyperlink"/>
                <w:rFonts w:cs="Arial"/>
                <w:caps/>
                <w:noProof/>
                <w:specVanish/>
              </w:rPr>
              <w:t>5.1</w:t>
            </w:r>
            <w:r>
              <w:rPr>
                <w:rFonts w:asciiTheme="minorHAnsi" w:hAnsiTheme="minorHAnsi" w:eastAsiaTheme="minorEastAsia"/>
                <w:noProof/>
                <w:kern w:val="2"/>
                <w:sz w:val="24"/>
                <w:szCs w:val="24"/>
                <w14:ligatures w14:val="standardContextual"/>
              </w:rPr>
              <w:tab/>
            </w:r>
            <w:r w:rsidRPr="00F10278">
              <w:rPr>
                <w:rStyle w:val="Hyperlink"/>
                <w:rFonts w:cs="Arial"/>
                <w:noProof/>
              </w:rPr>
              <w:t>Capacity Billing and Payment.</w:t>
            </w:r>
            <w:r>
              <w:rPr>
                <w:noProof/>
                <w:webHidden/>
              </w:rPr>
              <w:tab/>
            </w:r>
            <w:r>
              <w:rPr>
                <w:noProof/>
                <w:webHidden/>
              </w:rPr>
              <w:fldChar w:fldCharType="begin"/>
            </w:r>
            <w:r>
              <w:rPr>
                <w:noProof/>
                <w:webHidden/>
              </w:rPr>
              <w:instrText xml:space="preserve"> PAGEREF _Toc227451358 \h </w:instrText>
            </w:r>
            <w:r>
              <w:rPr>
                <w:noProof/>
                <w:webHidden/>
              </w:rPr>
            </w:r>
            <w:r>
              <w:rPr>
                <w:noProof/>
                <w:webHidden/>
              </w:rPr>
              <w:fldChar w:fldCharType="separate"/>
            </w:r>
            <w:r>
              <w:rPr>
                <w:noProof/>
                <w:webHidden/>
              </w:rPr>
              <w:t>31</w:t>
            </w:r>
            <w:r>
              <w:rPr>
                <w:noProof/>
                <w:webHidden/>
              </w:rPr>
              <w:fldChar w:fldCharType="end"/>
            </w:r>
          </w:hyperlink>
        </w:p>
        <w:p w:rsidR="00D5639B" w:rsidRDefault="00D5639B" w14:paraId="7FF0FE09" w14:textId="6B1A9913">
          <w:pPr>
            <w:pStyle w:val="TOC2"/>
            <w:rPr>
              <w:rFonts w:asciiTheme="minorHAnsi" w:hAnsiTheme="minorHAnsi" w:eastAsiaTheme="minorEastAsia"/>
              <w:noProof/>
              <w:kern w:val="2"/>
              <w:sz w:val="24"/>
              <w:szCs w:val="24"/>
              <w14:ligatures w14:val="standardContextual"/>
            </w:rPr>
          </w:pPr>
          <w:hyperlink w:history="1" w:anchor="_Toc227451359">
            <w:r w:rsidRPr="00F10278">
              <w:rPr>
                <w:rStyle w:val="Hyperlink"/>
                <w:rFonts w:cs="Arial"/>
                <w:caps/>
                <w:noProof/>
                <w:specVanish/>
              </w:rPr>
              <w:t>5.2</w:t>
            </w:r>
            <w:r>
              <w:rPr>
                <w:rFonts w:asciiTheme="minorHAnsi" w:hAnsiTheme="minorHAnsi" w:eastAsiaTheme="minorEastAsia"/>
                <w:noProof/>
                <w:kern w:val="2"/>
                <w:sz w:val="24"/>
                <w:szCs w:val="24"/>
                <w14:ligatures w14:val="standardContextual"/>
              </w:rPr>
              <w:tab/>
            </w:r>
            <w:r w:rsidRPr="00F10278">
              <w:rPr>
                <w:rStyle w:val="Hyperlink"/>
                <w:rFonts w:cs="Arial"/>
                <w:noProof/>
              </w:rPr>
              <w:t>Billing Disputes and Final Accounting.</w:t>
            </w:r>
            <w:r>
              <w:rPr>
                <w:noProof/>
                <w:webHidden/>
              </w:rPr>
              <w:tab/>
            </w:r>
            <w:r>
              <w:rPr>
                <w:noProof/>
                <w:webHidden/>
              </w:rPr>
              <w:fldChar w:fldCharType="begin"/>
            </w:r>
            <w:r>
              <w:rPr>
                <w:noProof/>
                <w:webHidden/>
              </w:rPr>
              <w:instrText xml:space="preserve"> PAGEREF _Toc227451359 \h </w:instrText>
            </w:r>
            <w:r>
              <w:rPr>
                <w:noProof/>
                <w:webHidden/>
              </w:rPr>
            </w:r>
            <w:r>
              <w:rPr>
                <w:noProof/>
                <w:webHidden/>
              </w:rPr>
              <w:fldChar w:fldCharType="separate"/>
            </w:r>
            <w:r>
              <w:rPr>
                <w:noProof/>
                <w:webHidden/>
              </w:rPr>
              <w:t>31</w:t>
            </w:r>
            <w:r>
              <w:rPr>
                <w:noProof/>
                <w:webHidden/>
              </w:rPr>
              <w:fldChar w:fldCharType="end"/>
            </w:r>
          </w:hyperlink>
        </w:p>
        <w:p w:rsidR="00D5639B" w:rsidRDefault="00D5639B" w14:paraId="5B4E8DDD" w14:textId="27762675">
          <w:pPr>
            <w:pStyle w:val="TOC2"/>
            <w:rPr>
              <w:rFonts w:asciiTheme="minorHAnsi" w:hAnsiTheme="minorHAnsi" w:eastAsiaTheme="minorEastAsia"/>
              <w:noProof/>
              <w:kern w:val="2"/>
              <w:sz w:val="24"/>
              <w:szCs w:val="24"/>
              <w14:ligatures w14:val="standardContextual"/>
            </w:rPr>
          </w:pPr>
          <w:hyperlink w:history="1" w:anchor="_Toc227451361">
            <w:r w:rsidRPr="00F10278">
              <w:rPr>
                <w:rStyle w:val="Hyperlink"/>
                <w:rFonts w:cs="Arial"/>
                <w:caps/>
                <w:noProof/>
                <w:specVanish/>
              </w:rPr>
              <w:t>5.3</w:t>
            </w:r>
            <w:r>
              <w:rPr>
                <w:rFonts w:asciiTheme="minorHAnsi" w:hAnsiTheme="minorHAnsi" w:eastAsiaTheme="minorEastAsia"/>
                <w:noProof/>
                <w:kern w:val="2"/>
                <w:sz w:val="24"/>
                <w:szCs w:val="24"/>
                <w14:ligatures w14:val="standardContextual"/>
              </w:rPr>
              <w:tab/>
            </w:r>
            <w:r w:rsidRPr="00F10278">
              <w:rPr>
                <w:rStyle w:val="Hyperlink"/>
                <w:rFonts w:cs="Arial"/>
                <w:noProof/>
              </w:rPr>
              <w:t>Interest.</w:t>
            </w:r>
            <w:r>
              <w:rPr>
                <w:noProof/>
                <w:webHidden/>
              </w:rPr>
              <w:tab/>
            </w:r>
            <w:r>
              <w:rPr>
                <w:noProof/>
                <w:webHidden/>
              </w:rPr>
              <w:fldChar w:fldCharType="begin"/>
            </w:r>
            <w:r>
              <w:rPr>
                <w:noProof/>
                <w:webHidden/>
              </w:rPr>
              <w:instrText xml:space="preserve"> PAGEREF _Toc227451361 \h </w:instrText>
            </w:r>
            <w:r>
              <w:rPr>
                <w:noProof/>
                <w:webHidden/>
              </w:rPr>
            </w:r>
            <w:r>
              <w:rPr>
                <w:noProof/>
                <w:webHidden/>
              </w:rPr>
              <w:fldChar w:fldCharType="separate"/>
            </w:r>
            <w:r>
              <w:rPr>
                <w:noProof/>
                <w:webHidden/>
              </w:rPr>
              <w:t>32</w:t>
            </w:r>
            <w:r>
              <w:rPr>
                <w:noProof/>
                <w:webHidden/>
              </w:rPr>
              <w:fldChar w:fldCharType="end"/>
            </w:r>
          </w:hyperlink>
        </w:p>
        <w:p w:rsidR="00D5639B" w:rsidRDefault="00D5639B" w14:paraId="6FA53505" w14:textId="05090E19">
          <w:pPr>
            <w:pStyle w:val="TOC2"/>
            <w:rPr>
              <w:rFonts w:asciiTheme="minorHAnsi" w:hAnsiTheme="minorHAnsi" w:eastAsiaTheme="minorEastAsia"/>
              <w:noProof/>
              <w:kern w:val="2"/>
              <w:sz w:val="24"/>
              <w:szCs w:val="24"/>
              <w14:ligatures w14:val="standardContextual"/>
            </w:rPr>
          </w:pPr>
          <w:hyperlink w:history="1" w:anchor="_Toc227451362">
            <w:r w:rsidRPr="00F10278">
              <w:rPr>
                <w:rStyle w:val="Hyperlink"/>
                <w:rFonts w:cs="Arial"/>
                <w:caps/>
                <w:noProof/>
                <w:specVanish/>
              </w:rPr>
              <w:t>5.4</w:t>
            </w:r>
            <w:r>
              <w:rPr>
                <w:rFonts w:asciiTheme="minorHAnsi" w:hAnsiTheme="minorHAnsi" w:eastAsiaTheme="minorEastAsia"/>
                <w:noProof/>
                <w:kern w:val="2"/>
                <w:sz w:val="24"/>
                <w:szCs w:val="24"/>
                <w14:ligatures w14:val="standardContextual"/>
              </w:rPr>
              <w:tab/>
            </w:r>
            <w:r w:rsidRPr="00F10278">
              <w:rPr>
                <w:rStyle w:val="Hyperlink"/>
                <w:rFonts w:cs="Arial"/>
                <w:noProof/>
              </w:rPr>
              <w:t>Billing and Payment Records.</w:t>
            </w:r>
            <w:r>
              <w:rPr>
                <w:noProof/>
                <w:webHidden/>
              </w:rPr>
              <w:tab/>
            </w:r>
            <w:r>
              <w:rPr>
                <w:noProof/>
                <w:webHidden/>
              </w:rPr>
              <w:fldChar w:fldCharType="begin"/>
            </w:r>
            <w:r>
              <w:rPr>
                <w:noProof/>
                <w:webHidden/>
              </w:rPr>
              <w:instrText xml:space="preserve"> PAGEREF _Toc227451362 \h </w:instrText>
            </w:r>
            <w:r>
              <w:rPr>
                <w:noProof/>
                <w:webHidden/>
              </w:rPr>
            </w:r>
            <w:r>
              <w:rPr>
                <w:noProof/>
                <w:webHidden/>
              </w:rPr>
              <w:fldChar w:fldCharType="separate"/>
            </w:r>
            <w:r>
              <w:rPr>
                <w:noProof/>
                <w:webHidden/>
              </w:rPr>
              <w:t>32</w:t>
            </w:r>
            <w:r>
              <w:rPr>
                <w:noProof/>
                <w:webHidden/>
              </w:rPr>
              <w:fldChar w:fldCharType="end"/>
            </w:r>
          </w:hyperlink>
        </w:p>
        <w:p w:rsidR="00D5639B" w:rsidRDefault="00D5639B" w14:paraId="2FEFE393" w14:textId="7451C073">
          <w:pPr>
            <w:pStyle w:val="TOC1"/>
            <w:rPr>
              <w:rFonts w:asciiTheme="minorHAnsi" w:hAnsiTheme="minorHAnsi" w:eastAsiaTheme="minorEastAsia" w:cstheme="minorBidi"/>
              <w:b w:val="0"/>
              <w:caps w:val="0"/>
              <w:noProof/>
              <w:kern w:val="2"/>
              <w:sz w:val="24"/>
              <w:szCs w:val="24"/>
              <w14:ligatures w14:val="standardContextual"/>
            </w:rPr>
          </w:pPr>
          <w:hyperlink w:history="1" w:anchor="_Toc227451363">
            <w:r w:rsidRPr="00F10278">
              <w:rPr>
                <w:rStyle w:val="Hyperlink"/>
                <w:noProof/>
              </w:rPr>
              <w:t>Part 6</w:t>
            </w:r>
            <w:r>
              <w:rPr>
                <w:rFonts w:asciiTheme="minorHAnsi" w:hAnsiTheme="minorHAnsi" w:eastAsiaTheme="minorEastAsia" w:cstheme="minorBidi"/>
                <w:b w:val="0"/>
                <w:caps w:val="0"/>
                <w:noProof/>
                <w:kern w:val="2"/>
                <w:sz w:val="24"/>
                <w:szCs w:val="24"/>
                <w14:ligatures w14:val="standardContextual"/>
              </w:rPr>
              <w:tab/>
            </w:r>
            <w:r w:rsidRPr="00F10278">
              <w:rPr>
                <w:rStyle w:val="Hyperlink"/>
                <w:noProof/>
              </w:rPr>
              <w:t>Performance Security</w:t>
            </w:r>
            <w:r>
              <w:rPr>
                <w:noProof/>
                <w:webHidden/>
              </w:rPr>
              <w:tab/>
            </w:r>
            <w:r>
              <w:rPr>
                <w:noProof/>
                <w:webHidden/>
              </w:rPr>
              <w:fldChar w:fldCharType="begin"/>
            </w:r>
            <w:r>
              <w:rPr>
                <w:noProof/>
                <w:webHidden/>
              </w:rPr>
              <w:instrText xml:space="preserve"> PAGEREF _Toc227451363 \h </w:instrText>
            </w:r>
            <w:r>
              <w:rPr>
                <w:noProof/>
                <w:webHidden/>
              </w:rPr>
            </w:r>
            <w:r>
              <w:rPr>
                <w:noProof/>
                <w:webHidden/>
              </w:rPr>
              <w:fldChar w:fldCharType="separate"/>
            </w:r>
            <w:r>
              <w:rPr>
                <w:noProof/>
                <w:webHidden/>
              </w:rPr>
              <w:t>32</w:t>
            </w:r>
            <w:r>
              <w:rPr>
                <w:noProof/>
                <w:webHidden/>
              </w:rPr>
              <w:fldChar w:fldCharType="end"/>
            </w:r>
          </w:hyperlink>
        </w:p>
        <w:p w:rsidR="00D5639B" w:rsidRDefault="00D5639B" w14:paraId="20FA4177" w14:textId="5EA67789">
          <w:pPr>
            <w:pStyle w:val="TOC2"/>
            <w:rPr>
              <w:rFonts w:asciiTheme="minorHAnsi" w:hAnsiTheme="minorHAnsi" w:eastAsiaTheme="minorEastAsia"/>
              <w:noProof/>
              <w:kern w:val="2"/>
              <w:sz w:val="24"/>
              <w:szCs w:val="24"/>
              <w14:ligatures w14:val="standardContextual"/>
            </w:rPr>
          </w:pPr>
          <w:hyperlink w:history="1" w:anchor="_Toc227451364">
            <w:r w:rsidRPr="00F10278">
              <w:rPr>
                <w:rStyle w:val="Hyperlink"/>
                <w:rFonts w:cs="Arial"/>
                <w:caps/>
                <w:noProof/>
                <w:specVanish/>
              </w:rPr>
              <w:t>6.1</w:t>
            </w:r>
            <w:r>
              <w:rPr>
                <w:rFonts w:asciiTheme="minorHAnsi" w:hAnsiTheme="minorHAnsi" w:eastAsiaTheme="minorEastAsia"/>
                <w:noProof/>
                <w:kern w:val="2"/>
                <w:sz w:val="24"/>
                <w:szCs w:val="24"/>
                <w14:ligatures w14:val="standardContextual"/>
              </w:rPr>
              <w:tab/>
            </w:r>
            <w:r w:rsidRPr="00F10278">
              <w:rPr>
                <w:rStyle w:val="Hyperlink"/>
                <w:rFonts w:cs="Arial"/>
                <w:noProof/>
              </w:rPr>
              <w:t>Performance Security.</w:t>
            </w:r>
            <w:r>
              <w:rPr>
                <w:noProof/>
                <w:webHidden/>
              </w:rPr>
              <w:tab/>
            </w:r>
            <w:r>
              <w:rPr>
                <w:noProof/>
                <w:webHidden/>
              </w:rPr>
              <w:fldChar w:fldCharType="begin"/>
            </w:r>
            <w:r>
              <w:rPr>
                <w:noProof/>
                <w:webHidden/>
              </w:rPr>
              <w:instrText xml:space="preserve"> PAGEREF _Toc227451364 \h </w:instrText>
            </w:r>
            <w:r>
              <w:rPr>
                <w:noProof/>
                <w:webHidden/>
              </w:rPr>
            </w:r>
            <w:r>
              <w:rPr>
                <w:noProof/>
                <w:webHidden/>
              </w:rPr>
              <w:fldChar w:fldCharType="separate"/>
            </w:r>
            <w:r>
              <w:rPr>
                <w:noProof/>
                <w:webHidden/>
              </w:rPr>
              <w:t>32</w:t>
            </w:r>
            <w:r>
              <w:rPr>
                <w:noProof/>
                <w:webHidden/>
              </w:rPr>
              <w:fldChar w:fldCharType="end"/>
            </w:r>
          </w:hyperlink>
        </w:p>
        <w:p w:rsidR="00D5639B" w:rsidRDefault="00D5639B" w14:paraId="3BAE3B83" w14:textId="6CC2811D">
          <w:pPr>
            <w:pStyle w:val="TOC2"/>
            <w:rPr>
              <w:rFonts w:asciiTheme="minorHAnsi" w:hAnsiTheme="minorHAnsi" w:eastAsiaTheme="minorEastAsia"/>
              <w:noProof/>
              <w:kern w:val="2"/>
              <w:sz w:val="24"/>
              <w:szCs w:val="24"/>
              <w14:ligatures w14:val="standardContextual"/>
            </w:rPr>
          </w:pPr>
          <w:hyperlink w:history="1" w:anchor="_Toc227451365">
            <w:r w:rsidRPr="00F10278">
              <w:rPr>
                <w:rStyle w:val="Hyperlink"/>
                <w:rFonts w:cs="Arial"/>
                <w:caps/>
                <w:noProof/>
                <w:specVanish/>
              </w:rPr>
              <w:t>6.2</w:t>
            </w:r>
            <w:r>
              <w:rPr>
                <w:rFonts w:asciiTheme="minorHAnsi" w:hAnsiTheme="minorHAnsi" w:eastAsiaTheme="minorEastAsia"/>
                <w:noProof/>
                <w:kern w:val="2"/>
                <w:sz w:val="24"/>
                <w:szCs w:val="24"/>
                <w14:ligatures w14:val="standardContextual"/>
              </w:rPr>
              <w:tab/>
            </w:r>
            <w:r w:rsidRPr="00F10278">
              <w:rPr>
                <w:rStyle w:val="Hyperlink"/>
                <w:rFonts w:cs="Arial"/>
                <w:noProof/>
              </w:rPr>
              <w:t>Replacement Collateral; Substituted Collateral; Release of Collateral.</w:t>
            </w:r>
            <w:r>
              <w:rPr>
                <w:noProof/>
                <w:webHidden/>
              </w:rPr>
              <w:tab/>
            </w:r>
            <w:r>
              <w:rPr>
                <w:noProof/>
                <w:webHidden/>
              </w:rPr>
              <w:fldChar w:fldCharType="begin"/>
            </w:r>
            <w:r>
              <w:rPr>
                <w:noProof/>
                <w:webHidden/>
              </w:rPr>
              <w:instrText xml:space="preserve"> PAGEREF _Toc227451365 \h </w:instrText>
            </w:r>
            <w:r>
              <w:rPr>
                <w:noProof/>
                <w:webHidden/>
              </w:rPr>
            </w:r>
            <w:r>
              <w:rPr>
                <w:noProof/>
                <w:webHidden/>
              </w:rPr>
              <w:fldChar w:fldCharType="separate"/>
            </w:r>
            <w:r>
              <w:rPr>
                <w:noProof/>
                <w:webHidden/>
              </w:rPr>
              <w:t>33</w:t>
            </w:r>
            <w:r>
              <w:rPr>
                <w:noProof/>
                <w:webHidden/>
              </w:rPr>
              <w:fldChar w:fldCharType="end"/>
            </w:r>
          </w:hyperlink>
        </w:p>
        <w:p w:rsidR="00D5639B" w:rsidRDefault="00D5639B" w14:paraId="262DDCCB" w14:textId="3ED0F88C">
          <w:pPr>
            <w:pStyle w:val="TOC2"/>
            <w:rPr>
              <w:rFonts w:asciiTheme="minorHAnsi" w:hAnsiTheme="minorHAnsi" w:eastAsiaTheme="minorEastAsia"/>
              <w:noProof/>
              <w:kern w:val="2"/>
              <w:sz w:val="24"/>
              <w:szCs w:val="24"/>
              <w14:ligatures w14:val="standardContextual"/>
            </w:rPr>
          </w:pPr>
          <w:hyperlink w:history="1" w:anchor="_Toc227451366">
            <w:r w:rsidRPr="00F10278">
              <w:rPr>
                <w:rStyle w:val="Hyperlink"/>
                <w:rFonts w:cs="Arial"/>
                <w:caps/>
                <w:noProof/>
                <w:specVanish/>
              </w:rPr>
              <w:t>6.3</w:t>
            </w:r>
            <w:r>
              <w:rPr>
                <w:rFonts w:asciiTheme="minorHAnsi" w:hAnsiTheme="minorHAnsi" w:eastAsiaTheme="minorEastAsia"/>
                <w:noProof/>
                <w:kern w:val="2"/>
                <w:sz w:val="24"/>
                <w:szCs w:val="24"/>
                <w14:ligatures w14:val="standardContextual"/>
              </w:rPr>
              <w:tab/>
            </w:r>
            <w:r w:rsidRPr="00F10278">
              <w:rPr>
                <w:rStyle w:val="Hyperlink"/>
                <w:rFonts w:cs="Arial"/>
                <w:noProof/>
              </w:rPr>
              <w:t>Draws; Replenishment.</w:t>
            </w:r>
            <w:r>
              <w:rPr>
                <w:noProof/>
                <w:webHidden/>
              </w:rPr>
              <w:tab/>
            </w:r>
            <w:r>
              <w:rPr>
                <w:noProof/>
                <w:webHidden/>
              </w:rPr>
              <w:fldChar w:fldCharType="begin"/>
            </w:r>
            <w:r>
              <w:rPr>
                <w:noProof/>
                <w:webHidden/>
              </w:rPr>
              <w:instrText xml:space="preserve"> PAGEREF _Toc227451366 \h </w:instrText>
            </w:r>
            <w:r>
              <w:rPr>
                <w:noProof/>
                <w:webHidden/>
              </w:rPr>
            </w:r>
            <w:r>
              <w:rPr>
                <w:noProof/>
                <w:webHidden/>
              </w:rPr>
              <w:fldChar w:fldCharType="separate"/>
            </w:r>
            <w:r>
              <w:rPr>
                <w:noProof/>
                <w:webHidden/>
              </w:rPr>
              <w:t>33</w:t>
            </w:r>
            <w:r>
              <w:rPr>
                <w:noProof/>
                <w:webHidden/>
              </w:rPr>
              <w:fldChar w:fldCharType="end"/>
            </w:r>
          </w:hyperlink>
        </w:p>
        <w:p w:rsidR="00D5639B" w:rsidRDefault="00D5639B" w14:paraId="487C272B" w14:textId="1D7BDC0C">
          <w:pPr>
            <w:pStyle w:val="TOC2"/>
            <w:rPr>
              <w:rFonts w:asciiTheme="minorHAnsi" w:hAnsiTheme="minorHAnsi" w:eastAsiaTheme="minorEastAsia"/>
              <w:noProof/>
              <w:kern w:val="2"/>
              <w:sz w:val="24"/>
              <w:szCs w:val="24"/>
              <w14:ligatures w14:val="standardContextual"/>
            </w:rPr>
          </w:pPr>
          <w:hyperlink w:history="1" w:anchor="_Toc227451367">
            <w:r w:rsidRPr="00F10278">
              <w:rPr>
                <w:rStyle w:val="Hyperlink"/>
                <w:rFonts w:cs="Arial"/>
                <w:caps/>
                <w:noProof/>
                <w:specVanish/>
              </w:rPr>
              <w:t>6.4</w:t>
            </w:r>
            <w:r>
              <w:rPr>
                <w:rFonts w:asciiTheme="minorHAnsi" w:hAnsiTheme="minorHAnsi" w:eastAsiaTheme="minorEastAsia"/>
                <w:noProof/>
                <w:kern w:val="2"/>
                <w:sz w:val="24"/>
                <w:szCs w:val="24"/>
                <w14:ligatures w14:val="standardContextual"/>
              </w:rPr>
              <w:tab/>
            </w:r>
            <w:r w:rsidRPr="00F10278">
              <w:rPr>
                <w:rStyle w:val="Hyperlink"/>
                <w:rFonts w:cs="Arial"/>
                <w:noProof/>
              </w:rPr>
              <w:t>Reporting.</w:t>
            </w:r>
            <w:r>
              <w:rPr>
                <w:noProof/>
                <w:webHidden/>
              </w:rPr>
              <w:tab/>
            </w:r>
            <w:r>
              <w:rPr>
                <w:noProof/>
                <w:webHidden/>
              </w:rPr>
              <w:fldChar w:fldCharType="begin"/>
            </w:r>
            <w:r>
              <w:rPr>
                <w:noProof/>
                <w:webHidden/>
              </w:rPr>
              <w:instrText xml:space="preserve"> PAGEREF _Toc227451367 \h </w:instrText>
            </w:r>
            <w:r>
              <w:rPr>
                <w:noProof/>
                <w:webHidden/>
              </w:rPr>
            </w:r>
            <w:r>
              <w:rPr>
                <w:noProof/>
                <w:webHidden/>
              </w:rPr>
              <w:fldChar w:fldCharType="separate"/>
            </w:r>
            <w:r>
              <w:rPr>
                <w:noProof/>
                <w:webHidden/>
              </w:rPr>
              <w:t>33</w:t>
            </w:r>
            <w:r>
              <w:rPr>
                <w:noProof/>
                <w:webHidden/>
              </w:rPr>
              <w:fldChar w:fldCharType="end"/>
            </w:r>
          </w:hyperlink>
        </w:p>
        <w:p w:rsidR="00D5639B" w:rsidRDefault="00D5639B" w14:paraId="5DF78B24" w14:textId="52AEBA23">
          <w:pPr>
            <w:pStyle w:val="TOC2"/>
            <w:rPr>
              <w:rFonts w:asciiTheme="minorHAnsi" w:hAnsiTheme="minorHAnsi" w:eastAsiaTheme="minorEastAsia"/>
              <w:noProof/>
              <w:kern w:val="2"/>
              <w:sz w:val="24"/>
              <w:szCs w:val="24"/>
              <w14:ligatures w14:val="standardContextual"/>
            </w:rPr>
          </w:pPr>
          <w:hyperlink w:history="1" w:anchor="_Toc227451368">
            <w:r w:rsidRPr="00F10278">
              <w:rPr>
                <w:rStyle w:val="Hyperlink"/>
                <w:rFonts w:cs="Arial"/>
                <w:caps/>
                <w:noProof/>
                <w:specVanish/>
              </w:rPr>
              <w:t>6.5</w:t>
            </w:r>
            <w:r>
              <w:rPr>
                <w:rFonts w:asciiTheme="minorHAnsi" w:hAnsiTheme="minorHAnsi" w:eastAsiaTheme="minorEastAsia"/>
                <w:noProof/>
                <w:kern w:val="2"/>
                <w:sz w:val="24"/>
                <w:szCs w:val="24"/>
                <w14:ligatures w14:val="standardContextual"/>
              </w:rPr>
              <w:tab/>
            </w:r>
            <w:r w:rsidRPr="00F10278">
              <w:rPr>
                <w:rStyle w:val="Hyperlink"/>
                <w:noProof/>
              </w:rPr>
              <w:t>Pre-Approval of Non-Cash Eligible Collateral.</w:t>
            </w:r>
            <w:r>
              <w:rPr>
                <w:noProof/>
                <w:webHidden/>
              </w:rPr>
              <w:tab/>
            </w:r>
            <w:r>
              <w:rPr>
                <w:noProof/>
                <w:webHidden/>
              </w:rPr>
              <w:fldChar w:fldCharType="begin"/>
            </w:r>
            <w:r>
              <w:rPr>
                <w:noProof/>
                <w:webHidden/>
              </w:rPr>
              <w:instrText xml:space="preserve"> PAGEREF _Toc227451368 \h </w:instrText>
            </w:r>
            <w:r>
              <w:rPr>
                <w:noProof/>
                <w:webHidden/>
              </w:rPr>
            </w:r>
            <w:r>
              <w:rPr>
                <w:noProof/>
                <w:webHidden/>
              </w:rPr>
              <w:fldChar w:fldCharType="separate"/>
            </w:r>
            <w:r>
              <w:rPr>
                <w:noProof/>
                <w:webHidden/>
              </w:rPr>
              <w:t>33</w:t>
            </w:r>
            <w:r>
              <w:rPr>
                <w:noProof/>
                <w:webHidden/>
              </w:rPr>
              <w:fldChar w:fldCharType="end"/>
            </w:r>
          </w:hyperlink>
        </w:p>
        <w:p w:rsidR="00D5639B" w:rsidRDefault="00D5639B" w14:paraId="7CA1BAD7" w14:textId="516D93C2">
          <w:pPr>
            <w:pStyle w:val="TOC2"/>
            <w:rPr>
              <w:rFonts w:asciiTheme="minorHAnsi" w:hAnsiTheme="minorHAnsi" w:eastAsiaTheme="minorEastAsia"/>
              <w:noProof/>
              <w:kern w:val="2"/>
              <w:sz w:val="24"/>
              <w:szCs w:val="24"/>
              <w14:ligatures w14:val="standardContextual"/>
            </w:rPr>
          </w:pPr>
          <w:hyperlink w:history="1" w:anchor="_Toc227451369">
            <w:r w:rsidRPr="00F10278">
              <w:rPr>
                <w:rStyle w:val="Hyperlink"/>
                <w:rFonts w:cs="Arial"/>
                <w:caps/>
                <w:noProof/>
                <w:specVanish/>
              </w:rPr>
              <w:t>6.6</w:t>
            </w:r>
            <w:r>
              <w:rPr>
                <w:rFonts w:asciiTheme="minorHAnsi" w:hAnsiTheme="minorHAnsi" w:eastAsiaTheme="minorEastAsia"/>
                <w:noProof/>
                <w:kern w:val="2"/>
                <w:sz w:val="24"/>
                <w:szCs w:val="24"/>
                <w14:ligatures w14:val="standardContextual"/>
              </w:rPr>
              <w:tab/>
            </w:r>
            <w:r w:rsidRPr="00F10278">
              <w:rPr>
                <w:rStyle w:val="Hyperlink"/>
                <w:rFonts w:cs="Arial"/>
                <w:noProof/>
              </w:rPr>
              <w:t>Delivery of Eligible Collateral for Performance Security.</w:t>
            </w:r>
            <w:r>
              <w:rPr>
                <w:noProof/>
                <w:webHidden/>
              </w:rPr>
              <w:tab/>
            </w:r>
            <w:r>
              <w:rPr>
                <w:noProof/>
                <w:webHidden/>
              </w:rPr>
              <w:fldChar w:fldCharType="begin"/>
            </w:r>
            <w:r>
              <w:rPr>
                <w:noProof/>
                <w:webHidden/>
              </w:rPr>
              <w:instrText xml:space="preserve"> PAGEREF _Toc227451369 \h </w:instrText>
            </w:r>
            <w:r>
              <w:rPr>
                <w:noProof/>
                <w:webHidden/>
              </w:rPr>
            </w:r>
            <w:r>
              <w:rPr>
                <w:noProof/>
                <w:webHidden/>
              </w:rPr>
              <w:fldChar w:fldCharType="separate"/>
            </w:r>
            <w:r>
              <w:rPr>
                <w:noProof/>
                <w:webHidden/>
              </w:rPr>
              <w:t>34</w:t>
            </w:r>
            <w:r>
              <w:rPr>
                <w:noProof/>
                <w:webHidden/>
              </w:rPr>
              <w:fldChar w:fldCharType="end"/>
            </w:r>
          </w:hyperlink>
        </w:p>
        <w:p w:rsidR="00D5639B" w:rsidRDefault="00D5639B" w14:paraId="6389D758" w14:textId="3286AC23">
          <w:pPr>
            <w:pStyle w:val="TOC1"/>
            <w:rPr>
              <w:rFonts w:asciiTheme="minorHAnsi" w:hAnsiTheme="minorHAnsi" w:eastAsiaTheme="minorEastAsia" w:cstheme="minorBidi"/>
              <w:b w:val="0"/>
              <w:caps w:val="0"/>
              <w:noProof/>
              <w:kern w:val="2"/>
              <w:sz w:val="24"/>
              <w:szCs w:val="24"/>
              <w14:ligatures w14:val="standardContextual"/>
            </w:rPr>
          </w:pPr>
          <w:hyperlink w:history="1" w:anchor="_Toc227451370">
            <w:r w:rsidRPr="00F10278">
              <w:rPr>
                <w:rStyle w:val="Hyperlink"/>
                <w:noProof/>
              </w:rPr>
              <w:t>Part 7</w:t>
            </w:r>
            <w:r>
              <w:rPr>
                <w:rFonts w:asciiTheme="minorHAnsi" w:hAnsiTheme="minorHAnsi" w:eastAsiaTheme="minorEastAsia" w:cstheme="minorBidi"/>
                <w:b w:val="0"/>
                <w:caps w:val="0"/>
                <w:noProof/>
                <w:kern w:val="2"/>
                <w:sz w:val="24"/>
                <w:szCs w:val="24"/>
                <w14:ligatures w14:val="standardContextual"/>
              </w:rPr>
              <w:tab/>
            </w:r>
            <w:r w:rsidRPr="00F10278">
              <w:rPr>
                <w:rStyle w:val="Hyperlink"/>
                <w:noProof/>
              </w:rPr>
              <w:t>Facility Design and CONSTRUCTION; Achieving Commercial Operation</w:t>
            </w:r>
            <w:r>
              <w:rPr>
                <w:noProof/>
                <w:webHidden/>
              </w:rPr>
              <w:tab/>
            </w:r>
            <w:r>
              <w:rPr>
                <w:noProof/>
                <w:webHidden/>
              </w:rPr>
              <w:fldChar w:fldCharType="begin"/>
            </w:r>
            <w:r>
              <w:rPr>
                <w:noProof/>
                <w:webHidden/>
              </w:rPr>
              <w:instrText xml:space="preserve"> PAGEREF _Toc227451370 \h </w:instrText>
            </w:r>
            <w:r>
              <w:rPr>
                <w:noProof/>
                <w:webHidden/>
              </w:rPr>
            </w:r>
            <w:r>
              <w:rPr>
                <w:noProof/>
                <w:webHidden/>
              </w:rPr>
              <w:fldChar w:fldCharType="separate"/>
            </w:r>
            <w:r>
              <w:rPr>
                <w:noProof/>
                <w:webHidden/>
              </w:rPr>
              <w:t>34</w:t>
            </w:r>
            <w:r>
              <w:rPr>
                <w:noProof/>
                <w:webHidden/>
              </w:rPr>
              <w:fldChar w:fldCharType="end"/>
            </w:r>
          </w:hyperlink>
        </w:p>
        <w:p w:rsidR="00D5639B" w:rsidRDefault="00D5639B" w14:paraId="3A1733F2" w14:textId="090A0AC9">
          <w:pPr>
            <w:pStyle w:val="TOC2"/>
            <w:rPr>
              <w:rFonts w:asciiTheme="minorHAnsi" w:hAnsiTheme="minorHAnsi" w:eastAsiaTheme="minorEastAsia"/>
              <w:noProof/>
              <w:kern w:val="2"/>
              <w:sz w:val="24"/>
              <w:szCs w:val="24"/>
              <w14:ligatures w14:val="standardContextual"/>
            </w:rPr>
          </w:pPr>
          <w:hyperlink w:history="1" w:anchor="_Toc227451371">
            <w:r w:rsidRPr="00F10278">
              <w:rPr>
                <w:rStyle w:val="Hyperlink"/>
                <w:caps/>
                <w:noProof/>
                <w:specVanish/>
              </w:rPr>
              <w:t>7.1</w:t>
            </w:r>
            <w:r>
              <w:rPr>
                <w:rFonts w:asciiTheme="minorHAnsi" w:hAnsiTheme="minorHAnsi" w:eastAsiaTheme="minorEastAsia"/>
                <w:noProof/>
                <w:kern w:val="2"/>
                <w:sz w:val="24"/>
                <w:szCs w:val="24"/>
                <w14:ligatures w14:val="standardContextual"/>
              </w:rPr>
              <w:tab/>
            </w:r>
            <w:r w:rsidRPr="00F10278">
              <w:rPr>
                <w:rStyle w:val="Hyperlink"/>
                <w:noProof/>
              </w:rPr>
              <w:t>Design and Construction of the Facility.</w:t>
            </w:r>
            <w:r>
              <w:rPr>
                <w:noProof/>
                <w:webHidden/>
              </w:rPr>
              <w:tab/>
            </w:r>
            <w:r>
              <w:rPr>
                <w:noProof/>
                <w:webHidden/>
              </w:rPr>
              <w:fldChar w:fldCharType="begin"/>
            </w:r>
            <w:r>
              <w:rPr>
                <w:noProof/>
                <w:webHidden/>
              </w:rPr>
              <w:instrText xml:space="preserve"> PAGEREF _Toc227451371 \h </w:instrText>
            </w:r>
            <w:r>
              <w:rPr>
                <w:noProof/>
                <w:webHidden/>
              </w:rPr>
            </w:r>
            <w:r>
              <w:rPr>
                <w:noProof/>
                <w:webHidden/>
              </w:rPr>
              <w:fldChar w:fldCharType="separate"/>
            </w:r>
            <w:r>
              <w:rPr>
                <w:noProof/>
                <w:webHidden/>
              </w:rPr>
              <w:t>34</w:t>
            </w:r>
            <w:r>
              <w:rPr>
                <w:noProof/>
                <w:webHidden/>
              </w:rPr>
              <w:fldChar w:fldCharType="end"/>
            </w:r>
          </w:hyperlink>
        </w:p>
        <w:p w:rsidR="00D5639B" w:rsidRDefault="00D5639B" w14:paraId="273090C0" w14:textId="4BFE8ABE">
          <w:pPr>
            <w:pStyle w:val="TOC2"/>
            <w:rPr>
              <w:rFonts w:asciiTheme="minorHAnsi" w:hAnsiTheme="minorHAnsi" w:eastAsiaTheme="minorEastAsia"/>
              <w:noProof/>
              <w:kern w:val="2"/>
              <w:sz w:val="24"/>
              <w:szCs w:val="24"/>
              <w14:ligatures w14:val="standardContextual"/>
            </w:rPr>
          </w:pPr>
          <w:hyperlink w:history="1" w:anchor="_Toc227451372">
            <w:r w:rsidRPr="00F10278">
              <w:rPr>
                <w:rStyle w:val="Hyperlink"/>
                <w:rFonts w:cs="Arial"/>
                <w:caps/>
                <w:noProof/>
                <w:specVanish/>
              </w:rPr>
              <w:t>7.2</w:t>
            </w:r>
            <w:r>
              <w:rPr>
                <w:rFonts w:asciiTheme="minorHAnsi" w:hAnsiTheme="minorHAnsi" w:eastAsiaTheme="minorEastAsia"/>
                <w:noProof/>
                <w:kern w:val="2"/>
                <w:sz w:val="24"/>
                <w:szCs w:val="24"/>
                <w14:ligatures w14:val="standardContextual"/>
              </w:rPr>
              <w:tab/>
            </w:r>
            <w:r w:rsidRPr="00F10278">
              <w:rPr>
                <w:rStyle w:val="Hyperlink"/>
                <w:rFonts w:cs="Arial"/>
                <w:noProof/>
              </w:rPr>
              <w:t>Key Milestones and Milestone Schedule.</w:t>
            </w:r>
            <w:r>
              <w:rPr>
                <w:noProof/>
                <w:webHidden/>
              </w:rPr>
              <w:tab/>
            </w:r>
            <w:r>
              <w:rPr>
                <w:noProof/>
                <w:webHidden/>
              </w:rPr>
              <w:fldChar w:fldCharType="begin"/>
            </w:r>
            <w:r>
              <w:rPr>
                <w:noProof/>
                <w:webHidden/>
              </w:rPr>
              <w:instrText xml:space="preserve"> PAGEREF _Toc227451372 \h </w:instrText>
            </w:r>
            <w:r>
              <w:rPr>
                <w:noProof/>
                <w:webHidden/>
              </w:rPr>
            </w:r>
            <w:r>
              <w:rPr>
                <w:noProof/>
                <w:webHidden/>
              </w:rPr>
              <w:fldChar w:fldCharType="separate"/>
            </w:r>
            <w:r>
              <w:rPr>
                <w:noProof/>
                <w:webHidden/>
              </w:rPr>
              <w:t>36</w:t>
            </w:r>
            <w:r>
              <w:rPr>
                <w:noProof/>
                <w:webHidden/>
              </w:rPr>
              <w:fldChar w:fldCharType="end"/>
            </w:r>
          </w:hyperlink>
        </w:p>
        <w:p w:rsidR="00D5639B" w:rsidRDefault="00D5639B" w14:paraId="0D2DD452" w14:textId="268C65CE">
          <w:pPr>
            <w:pStyle w:val="TOC2"/>
            <w:rPr>
              <w:rFonts w:asciiTheme="minorHAnsi" w:hAnsiTheme="minorHAnsi" w:eastAsiaTheme="minorEastAsia"/>
              <w:noProof/>
              <w:kern w:val="2"/>
              <w:sz w:val="24"/>
              <w:szCs w:val="24"/>
              <w14:ligatures w14:val="standardContextual"/>
            </w:rPr>
          </w:pPr>
          <w:hyperlink w:history="1" w:anchor="_Toc227451373">
            <w:r w:rsidRPr="00F10278">
              <w:rPr>
                <w:rStyle w:val="Hyperlink"/>
                <w:rFonts w:cs="Arial"/>
                <w:caps/>
                <w:noProof/>
                <w:specVanish/>
              </w:rPr>
              <w:t>7.3</w:t>
            </w:r>
            <w:r>
              <w:rPr>
                <w:rFonts w:asciiTheme="minorHAnsi" w:hAnsiTheme="minorHAnsi" w:eastAsiaTheme="minorEastAsia"/>
                <w:noProof/>
                <w:kern w:val="2"/>
                <w:sz w:val="24"/>
                <w:szCs w:val="24"/>
                <w14:ligatures w14:val="standardContextual"/>
              </w:rPr>
              <w:tab/>
            </w:r>
            <w:r w:rsidRPr="00F10278">
              <w:rPr>
                <w:rStyle w:val="Hyperlink"/>
                <w:rFonts w:cs="Arial"/>
                <w:noProof/>
              </w:rPr>
              <w:t>Failure to Achieve Commercial Operation by RCOD.</w:t>
            </w:r>
            <w:r>
              <w:rPr>
                <w:noProof/>
                <w:webHidden/>
              </w:rPr>
              <w:tab/>
            </w:r>
            <w:r>
              <w:rPr>
                <w:noProof/>
                <w:webHidden/>
              </w:rPr>
              <w:fldChar w:fldCharType="begin"/>
            </w:r>
            <w:r>
              <w:rPr>
                <w:noProof/>
                <w:webHidden/>
              </w:rPr>
              <w:instrText xml:space="preserve"> PAGEREF _Toc227451373 \h </w:instrText>
            </w:r>
            <w:r>
              <w:rPr>
                <w:noProof/>
                <w:webHidden/>
              </w:rPr>
            </w:r>
            <w:r>
              <w:rPr>
                <w:noProof/>
                <w:webHidden/>
              </w:rPr>
              <w:fldChar w:fldCharType="separate"/>
            </w:r>
            <w:r>
              <w:rPr>
                <w:noProof/>
                <w:webHidden/>
              </w:rPr>
              <w:t>37</w:t>
            </w:r>
            <w:r>
              <w:rPr>
                <w:noProof/>
                <w:webHidden/>
              </w:rPr>
              <w:fldChar w:fldCharType="end"/>
            </w:r>
          </w:hyperlink>
        </w:p>
        <w:p w:rsidR="00D5639B" w:rsidRDefault="00D5639B" w14:paraId="3236F49A" w14:textId="3C10EFEF">
          <w:pPr>
            <w:pStyle w:val="TOC1"/>
            <w:rPr>
              <w:rFonts w:asciiTheme="minorHAnsi" w:hAnsiTheme="minorHAnsi" w:eastAsiaTheme="minorEastAsia" w:cstheme="minorBidi"/>
              <w:b w:val="0"/>
              <w:caps w:val="0"/>
              <w:noProof/>
              <w:kern w:val="2"/>
              <w:sz w:val="24"/>
              <w:szCs w:val="24"/>
              <w14:ligatures w14:val="standardContextual"/>
            </w:rPr>
          </w:pPr>
          <w:hyperlink w:history="1" w:anchor="_Toc227451374">
            <w:r w:rsidRPr="00F10278">
              <w:rPr>
                <w:rStyle w:val="Hyperlink"/>
                <w:noProof/>
              </w:rPr>
              <w:t>Part 8</w:t>
            </w:r>
            <w:r>
              <w:rPr>
                <w:rFonts w:asciiTheme="minorHAnsi" w:hAnsiTheme="minorHAnsi" w:eastAsiaTheme="minorEastAsia" w:cstheme="minorBidi"/>
                <w:b w:val="0"/>
                <w:caps w:val="0"/>
                <w:noProof/>
                <w:kern w:val="2"/>
                <w:sz w:val="24"/>
                <w:szCs w:val="24"/>
                <w14:ligatures w14:val="standardContextual"/>
              </w:rPr>
              <w:tab/>
            </w:r>
            <w:r w:rsidRPr="00F10278">
              <w:rPr>
                <w:rStyle w:val="Hyperlink"/>
                <w:noProof/>
              </w:rPr>
              <w:t>Interconnection and metering</w:t>
            </w:r>
            <w:r>
              <w:rPr>
                <w:noProof/>
                <w:webHidden/>
              </w:rPr>
              <w:tab/>
            </w:r>
            <w:r>
              <w:rPr>
                <w:noProof/>
                <w:webHidden/>
              </w:rPr>
              <w:fldChar w:fldCharType="begin"/>
            </w:r>
            <w:r>
              <w:rPr>
                <w:noProof/>
                <w:webHidden/>
              </w:rPr>
              <w:instrText xml:space="preserve"> PAGEREF _Toc227451374 \h </w:instrText>
            </w:r>
            <w:r>
              <w:rPr>
                <w:noProof/>
                <w:webHidden/>
              </w:rPr>
            </w:r>
            <w:r>
              <w:rPr>
                <w:noProof/>
                <w:webHidden/>
              </w:rPr>
              <w:fldChar w:fldCharType="separate"/>
            </w:r>
            <w:r>
              <w:rPr>
                <w:noProof/>
                <w:webHidden/>
              </w:rPr>
              <w:t>38</w:t>
            </w:r>
            <w:r>
              <w:rPr>
                <w:noProof/>
                <w:webHidden/>
              </w:rPr>
              <w:fldChar w:fldCharType="end"/>
            </w:r>
          </w:hyperlink>
        </w:p>
        <w:p w:rsidR="00D5639B" w:rsidRDefault="00D5639B" w14:paraId="0152953C" w14:textId="318F2042">
          <w:pPr>
            <w:pStyle w:val="TOC2"/>
            <w:rPr>
              <w:rFonts w:asciiTheme="minorHAnsi" w:hAnsiTheme="minorHAnsi" w:eastAsiaTheme="minorEastAsia"/>
              <w:noProof/>
              <w:kern w:val="2"/>
              <w:sz w:val="24"/>
              <w:szCs w:val="24"/>
              <w14:ligatures w14:val="standardContextual"/>
            </w:rPr>
          </w:pPr>
          <w:hyperlink w:history="1" w:anchor="_Toc227451375">
            <w:r w:rsidRPr="00F10278">
              <w:rPr>
                <w:rStyle w:val="Hyperlink"/>
                <w:rFonts w:cs="Arial"/>
                <w:caps/>
                <w:noProof/>
                <w:specVanish/>
              </w:rPr>
              <w:t>8.1</w:t>
            </w:r>
            <w:r>
              <w:rPr>
                <w:rFonts w:asciiTheme="minorHAnsi" w:hAnsiTheme="minorHAnsi" w:eastAsiaTheme="minorEastAsia"/>
                <w:noProof/>
                <w:kern w:val="2"/>
                <w:sz w:val="24"/>
                <w:szCs w:val="24"/>
                <w14:ligatures w14:val="standardContextual"/>
              </w:rPr>
              <w:tab/>
            </w:r>
            <w:r w:rsidRPr="00F10278">
              <w:rPr>
                <w:rStyle w:val="Hyperlink"/>
                <w:rFonts w:cs="Arial"/>
                <w:noProof/>
              </w:rPr>
              <w:t>Interconnection.</w:t>
            </w:r>
            <w:r>
              <w:rPr>
                <w:noProof/>
                <w:webHidden/>
              </w:rPr>
              <w:tab/>
            </w:r>
            <w:r>
              <w:rPr>
                <w:noProof/>
                <w:webHidden/>
              </w:rPr>
              <w:fldChar w:fldCharType="begin"/>
            </w:r>
            <w:r>
              <w:rPr>
                <w:noProof/>
                <w:webHidden/>
              </w:rPr>
              <w:instrText xml:space="preserve"> PAGEREF _Toc227451375 \h </w:instrText>
            </w:r>
            <w:r>
              <w:rPr>
                <w:noProof/>
                <w:webHidden/>
              </w:rPr>
            </w:r>
            <w:r>
              <w:rPr>
                <w:noProof/>
                <w:webHidden/>
              </w:rPr>
              <w:fldChar w:fldCharType="separate"/>
            </w:r>
            <w:r>
              <w:rPr>
                <w:noProof/>
                <w:webHidden/>
              </w:rPr>
              <w:t>38</w:t>
            </w:r>
            <w:r>
              <w:rPr>
                <w:noProof/>
                <w:webHidden/>
              </w:rPr>
              <w:fldChar w:fldCharType="end"/>
            </w:r>
          </w:hyperlink>
        </w:p>
        <w:p w:rsidR="00D5639B" w:rsidRDefault="00D5639B" w14:paraId="5833D7BE" w14:textId="42161F4B">
          <w:pPr>
            <w:pStyle w:val="TOC2"/>
            <w:rPr>
              <w:rFonts w:asciiTheme="minorHAnsi" w:hAnsiTheme="minorHAnsi" w:eastAsiaTheme="minorEastAsia"/>
              <w:noProof/>
              <w:kern w:val="2"/>
              <w:sz w:val="24"/>
              <w:szCs w:val="24"/>
              <w14:ligatures w14:val="standardContextual"/>
            </w:rPr>
          </w:pPr>
          <w:hyperlink w:history="1" w:anchor="_Toc227451376">
            <w:r w:rsidRPr="00F10278">
              <w:rPr>
                <w:rStyle w:val="Hyperlink"/>
                <w:rFonts w:cs="Arial"/>
                <w:caps/>
                <w:noProof/>
                <w:specVanish/>
              </w:rPr>
              <w:t>8.2</w:t>
            </w:r>
            <w:r>
              <w:rPr>
                <w:rFonts w:asciiTheme="minorHAnsi" w:hAnsiTheme="minorHAnsi" w:eastAsiaTheme="minorEastAsia"/>
                <w:noProof/>
                <w:kern w:val="2"/>
                <w:sz w:val="24"/>
                <w:szCs w:val="24"/>
                <w14:ligatures w14:val="standardContextual"/>
              </w:rPr>
              <w:tab/>
            </w:r>
            <w:r w:rsidRPr="00F10278">
              <w:rPr>
                <w:rStyle w:val="Hyperlink"/>
                <w:rFonts w:cs="Arial"/>
                <w:noProof/>
              </w:rPr>
              <w:t>Metering and Telemetry.</w:t>
            </w:r>
            <w:r>
              <w:rPr>
                <w:noProof/>
                <w:webHidden/>
              </w:rPr>
              <w:tab/>
            </w:r>
            <w:r>
              <w:rPr>
                <w:noProof/>
                <w:webHidden/>
              </w:rPr>
              <w:fldChar w:fldCharType="begin"/>
            </w:r>
            <w:r>
              <w:rPr>
                <w:noProof/>
                <w:webHidden/>
              </w:rPr>
              <w:instrText xml:space="preserve"> PAGEREF _Toc227451376 \h </w:instrText>
            </w:r>
            <w:r>
              <w:rPr>
                <w:noProof/>
                <w:webHidden/>
              </w:rPr>
            </w:r>
            <w:r>
              <w:rPr>
                <w:noProof/>
                <w:webHidden/>
              </w:rPr>
              <w:fldChar w:fldCharType="separate"/>
            </w:r>
            <w:r>
              <w:rPr>
                <w:noProof/>
                <w:webHidden/>
              </w:rPr>
              <w:t>39</w:t>
            </w:r>
            <w:r>
              <w:rPr>
                <w:noProof/>
                <w:webHidden/>
              </w:rPr>
              <w:fldChar w:fldCharType="end"/>
            </w:r>
          </w:hyperlink>
        </w:p>
        <w:p w:rsidR="00D5639B" w:rsidRDefault="00D5639B" w14:paraId="57E86FA9" w14:textId="600B8932">
          <w:pPr>
            <w:pStyle w:val="TOC1"/>
            <w:rPr>
              <w:rFonts w:asciiTheme="minorHAnsi" w:hAnsiTheme="minorHAnsi" w:eastAsiaTheme="minorEastAsia" w:cstheme="minorBidi"/>
              <w:b w:val="0"/>
              <w:caps w:val="0"/>
              <w:noProof/>
              <w:kern w:val="2"/>
              <w:sz w:val="24"/>
              <w:szCs w:val="24"/>
              <w14:ligatures w14:val="standardContextual"/>
            </w:rPr>
          </w:pPr>
          <w:hyperlink w:history="1" w:anchor="_Toc227451377">
            <w:r w:rsidRPr="00F10278">
              <w:rPr>
                <w:rStyle w:val="Hyperlink"/>
                <w:noProof/>
              </w:rPr>
              <w:t>Part 9</w:t>
            </w:r>
            <w:r>
              <w:rPr>
                <w:rFonts w:asciiTheme="minorHAnsi" w:hAnsiTheme="minorHAnsi" w:eastAsiaTheme="minorEastAsia" w:cstheme="minorBidi"/>
                <w:b w:val="0"/>
                <w:caps w:val="0"/>
                <w:noProof/>
                <w:kern w:val="2"/>
                <w:sz w:val="24"/>
                <w:szCs w:val="24"/>
                <w14:ligatures w14:val="standardContextual"/>
              </w:rPr>
              <w:tab/>
            </w:r>
            <w:r w:rsidRPr="00F10278">
              <w:rPr>
                <w:rStyle w:val="Hyperlink"/>
                <w:noProof/>
              </w:rPr>
              <w:t>BESS Capacity and PERFORMANCE Tests</w:t>
            </w:r>
            <w:r>
              <w:rPr>
                <w:noProof/>
                <w:webHidden/>
              </w:rPr>
              <w:tab/>
            </w:r>
            <w:r>
              <w:rPr>
                <w:noProof/>
                <w:webHidden/>
              </w:rPr>
              <w:fldChar w:fldCharType="begin"/>
            </w:r>
            <w:r>
              <w:rPr>
                <w:noProof/>
                <w:webHidden/>
              </w:rPr>
              <w:instrText xml:space="preserve"> PAGEREF _Toc227451377 \h </w:instrText>
            </w:r>
            <w:r>
              <w:rPr>
                <w:noProof/>
                <w:webHidden/>
              </w:rPr>
            </w:r>
            <w:r>
              <w:rPr>
                <w:noProof/>
                <w:webHidden/>
              </w:rPr>
              <w:fldChar w:fldCharType="separate"/>
            </w:r>
            <w:r>
              <w:rPr>
                <w:noProof/>
                <w:webHidden/>
              </w:rPr>
              <w:t>40</w:t>
            </w:r>
            <w:r>
              <w:rPr>
                <w:noProof/>
                <w:webHidden/>
              </w:rPr>
              <w:fldChar w:fldCharType="end"/>
            </w:r>
          </w:hyperlink>
        </w:p>
        <w:p w:rsidR="00D5639B" w:rsidRDefault="00D5639B" w14:paraId="0B109152" w14:textId="1E40D82C">
          <w:pPr>
            <w:pStyle w:val="TOC2"/>
            <w:rPr>
              <w:rFonts w:asciiTheme="minorHAnsi" w:hAnsiTheme="minorHAnsi" w:eastAsiaTheme="minorEastAsia"/>
              <w:noProof/>
              <w:kern w:val="2"/>
              <w:sz w:val="24"/>
              <w:szCs w:val="24"/>
              <w14:ligatures w14:val="standardContextual"/>
            </w:rPr>
          </w:pPr>
          <w:hyperlink w:history="1" w:anchor="_Toc227451378">
            <w:r w:rsidRPr="00F10278">
              <w:rPr>
                <w:rStyle w:val="Hyperlink"/>
                <w:rFonts w:cs="Arial"/>
                <w:caps/>
                <w:noProof/>
                <w:specVanish/>
              </w:rPr>
              <w:t>9.1</w:t>
            </w:r>
            <w:r>
              <w:rPr>
                <w:rFonts w:asciiTheme="minorHAnsi" w:hAnsiTheme="minorHAnsi" w:eastAsiaTheme="minorEastAsia"/>
                <w:noProof/>
                <w:kern w:val="2"/>
                <w:sz w:val="24"/>
                <w:szCs w:val="24"/>
                <w14:ligatures w14:val="standardContextual"/>
              </w:rPr>
              <w:tab/>
            </w:r>
            <w:r w:rsidRPr="00F10278">
              <w:rPr>
                <w:rStyle w:val="Hyperlink"/>
                <w:rFonts w:cs="Arial"/>
                <w:noProof/>
              </w:rPr>
              <w:t>Tested Storage Capacity and Contracted Capacity.</w:t>
            </w:r>
            <w:r>
              <w:rPr>
                <w:noProof/>
                <w:webHidden/>
              </w:rPr>
              <w:tab/>
            </w:r>
            <w:r>
              <w:rPr>
                <w:noProof/>
                <w:webHidden/>
              </w:rPr>
              <w:fldChar w:fldCharType="begin"/>
            </w:r>
            <w:r>
              <w:rPr>
                <w:noProof/>
                <w:webHidden/>
              </w:rPr>
              <w:instrText xml:space="preserve"> PAGEREF _Toc227451378 \h </w:instrText>
            </w:r>
            <w:r>
              <w:rPr>
                <w:noProof/>
                <w:webHidden/>
              </w:rPr>
            </w:r>
            <w:r>
              <w:rPr>
                <w:noProof/>
                <w:webHidden/>
              </w:rPr>
              <w:fldChar w:fldCharType="separate"/>
            </w:r>
            <w:r>
              <w:rPr>
                <w:noProof/>
                <w:webHidden/>
              </w:rPr>
              <w:t>40</w:t>
            </w:r>
            <w:r>
              <w:rPr>
                <w:noProof/>
                <w:webHidden/>
              </w:rPr>
              <w:fldChar w:fldCharType="end"/>
            </w:r>
          </w:hyperlink>
        </w:p>
        <w:p w:rsidR="00D5639B" w:rsidRDefault="00D5639B" w14:paraId="15A3B1FC" w14:textId="16E394B2">
          <w:pPr>
            <w:pStyle w:val="TOC2"/>
            <w:rPr>
              <w:rFonts w:asciiTheme="minorHAnsi" w:hAnsiTheme="minorHAnsi" w:eastAsiaTheme="minorEastAsia"/>
              <w:noProof/>
              <w:kern w:val="2"/>
              <w:sz w:val="24"/>
              <w:szCs w:val="24"/>
              <w14:ligatures w14:val="standardContextual"/>
            </w:rPr>
          </w:pPr>
          <w:hyperlink w:history="1" w:anchor="_Toc227451379">
            <w:r w:rsidRPr="00F10278">
              <w:rPr>
                <w:rStyle w:val="Hyperlink"/>
                <w:rFonts w:cs="Arial"/>
                <w:caps/>
                <w:noProof/>
                <w:specVanish/>
              </w:rPr>
              <w:t>9.2</w:t>
            </w:r>
            <w:r>
              <w:rPr>
                <w:rFonts w:asciiTheme="minorHAnsi" w:hAnsiTheme="minorHAnsi" w:eastAsiaTheme="minorEastAsia"/>
                <w:noProof/>
                <w:kern w:val="2"/>
                <w:sz w:val="24"/>
                <w:szCs w:val="24"/>
                <w14:ligatures w14:val="standardContextual"/>
              </w:rPr>
              <w:tab/>
            </w:r>
            <w:r w:rsidRPr="00F10278">
              <w:rPr>
                <w:rStyle w:val="Hyperlink"/>
                <w:rFonts w:cs="Arial"/>
                <w:noProof/>
              </w:rPr>
              <w:t>Disputes Concerning Capacity Tests.</w:t>
            </w:r>
            <w:r>
              <w:rPr>
                <w:noProof/>
                <w:webHidden/>
              </w:rPr>
              <w:tab/>
            </w:r>
            <w:r>
              <w:rPr>
                <w:noProof/>
                <w:webHidden/>
              </w:rPr>
              <w:fldChar w:fldCharType="begin"/>
            </w:r>
            <w:r>
              <w:rPr>
                <w:noProof/>
                <w:webHidden/>
              </w:rPr>
              <w:instrText xml:space="preserve"> PAGEREF _Toc227451379 \h </w:instrText>
            </w:r>
            <w:r>
              <w:rPr>
                <w:noProof/>
                <w:webHidden/>
              </w:rPr>
            </w:r>
            <w:r>
              <w:rPr>
                <w:noProof/>
                <w:webHidden/>
              </w:rPr>
              <w:fldChar w:fldCharType="separate"/>
            </w:r>
            <w:r>
              <w:rPr>
                <w:noProof/>
                <w:webHidden/>
              </w:rPr>
              <w:t>40</w:t>
            </w:r>
            <w:r>
              <w:rPr>
                <w:noProof/>
                <w:webHidden/>
              </w:rPr>
              <w:fldChar w:fldCharType="end"/>
            </w:r>
          </w:hyperlink>
        </w:p>
        <w:p w:rsidR="00D5639B" w:rsidRDefault="00D5639B" w14:paraId="43EFD70E" w14:textId="3D2B215E">
          <w:pPr>
            <w:pStyle w:val="TOC1"/>
            <w:rPr>
              <w:rFonts w:asciiTheme="minorHAnsi" w:hAnsiTheme="minorHAnsi" w:eastAsiaTheme="minorEastAsia" w:cstheme="minorBidi"/>
              <w:b w:val="0"/>
              <w:caps w:val="0"/>
              <w:noProof/>
              <w:kern w:val="2"/>
              <w:sz w:val="24"/>
              <w:szCs w:val="24"/>
              <w14:ligatures w14:val="standardContextual"/>
            </w:rPr>
          </w:pPr>
          <w:hyperlink w:history="1" w:anchor="_Toc227451380">
            <w:r w:rsidRPr="00F10278">
              <w:rPr>
                <w:rStyle w:val="Hyperlink"/>
                <w:noProof/>
              </w:rPr>
              <w:t>Part 10</w:t>
            </w:r>
            <w:r>
              <w:rPr>
                <w:rFonts w:asciiTheme="minorHAnsi" w:hAnsiTheme="minorHAnsi" w:eastAsiaTheme="minorEastAsia" w:cstheme="minorBidi"/>
                <w:b w:val="0"/>
                <w:caps w:val="0"/>
                <w:noProof/>
                <w:kern w:val="2"/>
                <w:sz w:val="24"/>
                <w:szCs w:val="24"/>
                <w14:ligatures w14:val="standardContextual"/>
              </w:rPr>
              <w:tab/>
            </w:r>
            <w:r w:rsidRPr="00F10278">
              <w:rPr>
                <w:rStyle w:val="Hyperlink"/>
                <w:noProof/>
              </w:rPr>
              <w:t>Operation and Maintenance</w:t>
            </w:r>
            <w:r>
              <w:rPr>
                <w:noProof/>
                <w:webHidden/>
              </w:rPr>
              <w:tab/>
            </w:r>
            <w:r>
              <w:rPr>
                <w:noProof/>
                <w:webHidden/>
              </w:rPr>
              <w:fldChar w:fldCharType="begin"/>
            </w:r>
            <w:r>
              <w:rPr>
                <w:noProof/>
                <w:webHidden/>
              </w:rPr>
              <w:instrText xml:space="preserve"> PAGEREF _Toc227451380 \h </w:instrText>
            </w:r>
            <w:r>
              <w:rPr>
                <w:noProof/>
                <w:webHidden/>
              </w:rPr>
            </w:r>
            <w:r>
              <w:rPr>
                <w:noProof/>
                <w:webHidden/>
              </w:rPr>
              <w:fldChar w:fldCharType="separate"/>
            </w:r>
            <w:r>
              <w:rPr>
                <w:noProof/>
                <w:webHidden/>
              </w:rPr>
              <w:t>40</w:t>
            </w:r>
            <w:r>
              <w:rPr>
                <w:noProof/>
                <w:webHidden/>
              </w:rPr>
              <w:fldChar w:fldCharType="end"/>
            </w:r>
          </w:hyperlink>
        </w:p>
        <w:p w:rsidR="00D5639B" w:rsidRDefault="00D5639B" w14:paraId="631A0B00" w14:textId="6E765130">
          <w:pPr>
            <w:pStyle w:val="TOC2"/>
            <w:rPr>
              <w:rFonts w:asciiTheme="minorHAnsi" w:hAnsiTheme="minorHAnsi" w:eastAsiaTheme="minorEastAsia"/>
              <w:noProof/>
              <w:kern w:val="2"/>
              <w:sz w:val="24"/>
              <w:szCs w:val="24"/>
              <w14:ligatures w14:val="standardContextual"/>
            </w:rPr>
          </w:pPr>
          <w:hyperlink w:history="1" w:anchor="_Toc227451381">
            <w:r w:rsidRPr="00F10278">
              <w:rPr>
                <w:rStyle w:val="Hyperlink"/>
                <w:rFonts w:cs="Arial"/>
                <w:caps/>
                <w:noProof/>
                <w:specVanish/>
              </w:rPr>
              <w:t>10.1</w:t>
            </w:r>
            <w:r>
              <w:rPr>
                <w:rFonts w:asciiTheme="minorHAnsi" w:hAnsiTheme="minorHAnsi" w:eastAsiaTheme="minorEastAsia"/>
                <w:noProof/>
                <w:kern w:val="2"/>
                <w:sz w:val="24"/>
                <w:szCs w:val="24"/>
                <w14:ligatures w14:val="standardContextual"/>
              </w:rPr>
              <w:tab/>
            </w:r>
            <w:r w:rsidRPr="00F10278">
              <w:rPr>
                <w:rStyle w:val="Hyperlink"/>
                <w:rFonts w:cs="Arial"/>
                <w:noProof/>
              </w:rPr>
              <w:t>Operation and Maintenance.</w:t>
            </w:r>
            <w:r>
              <w:rPr>
                <w:noProof/>
                <w:webHidden/>
              </w:rPr>
              <w:tab/>
            </w:r>
            <w:r>
              <w:rPr>
                <w:noProof/>
                <w:webHidden/>
              </w:rPr>
              <w:fldChar w:fldCharType="begin"/>
            </w:r>
            <w:r>
              <w:rPr>
                <w:noProof/>
                <w:webHidden/>
              </w:rPr>
              <w:instrText xml:space="preserve"> PAGEREF _Toc227451381 \h </w:instrText>
            </w:r>
            <w:r>
              <w:rPr>
                <w:noProof/>
                <w:webHidden/>
              </w:rPr>
            </w:r>
            <w:r>
              <w:rPr>
                <w:noProof/>
                <w:webHidden/>
              </w:rPr>
              <w:fldChar w:fldCharType="separate"/>
            </w:r>
            <w:r>
              <w:rPr>
                <w:noProof/>
                <w:webHidden/>
              </w:rPr>
              <w:t>40</w:t>
            </w:r>
            <w:r>
              <w:rPr>
                <w:noProof/>
                <w:webHidden/>
              </w:rPr>
              <w:fldChar w:fldCharType="end"/>
            </w:r>
          </w:hyperlink>
        </w:p>
        <w:p w:rsidR="00D5639B" w:rsidRDefault="00D5639B" w14:paraId="7924F3CF" w14:textId="702F7C77">
          <w:pPr>
            <w:pStyle w:val="TOC2"/>
            <w:rPr>
              <w:rFonts w:asciiTheme="minorHAnsi" w:hAnsiTheme="minorHAnsi" w:eastAsiaTheme="minorEastAsia"/>
              <w:noProof/>
              <w:kern w:val="2"/>
              <w:sz w:val="24"/>
              <w:szCs w:val="24"/>
              <w14:ligatures w14:val="standardContextual"/>
            </w:rPr>
          </w:pPr>
          <w:hyperlink w:history="1" w:anchor="_Toc227451382">
            <w:r w:rsidRPr="00F10278">
              <w:rPr>
                <w:rStyle w:val="Hyperlink"/>
                <w:rFonts w:cs="Arial"/>
                <w:caps/>
                <w:noProof/>
                <w:specVanish/>
              </w:rPr>
              <w:t>10.2</w:t>
            </w:r>
            <w:r>
              <w:rPr>
                <w:rFonts w:asciiTheme="minorHAnsi" w:hAnsiTheme="minorHAnsi" w:eastAsiaTheme="minorEastAsia"/>
                <w:noProof/>
                <w:kern w:val="2"/>
                <w:sz w:val="24"/>
                <w:szCs w:val="24"/>
                <w14:ligatures w14:val="standardContextual"/>
              </w:rPr>
              <w:tab/>
            </w:r>
            <w:r w:rsidRPr="00F10278">
              <w:rPr>
                <w:rStyle w:val="Hyperlink"/>
                <w:rFonts w:cs="Arial"/>
                <w:noProof/>
              </w:rPr>
              <w:t>Maintenance Scheduling.</w:t>
            </w:r>
            <w:r>
              <w:rPr>
                <w:noProof/>
                <w:webHidden/>
              </w:rPr>
              <w:tab/>
            </w:r>
            <w:r>
              <w:rPr>
                <w:noProof/>
                <w:webHidden/>
              </w:rPr>
              <w:fldChar w:fldCharType="begin"/>
            </w:r>
            <w:r>
              <w:rPr>
                <w:noProof/>
                <w:webHidden/>
              </w:rPr>
              <w:instrText xml:space="preserve"> PAGEREF _Toc227451382 \h </w:instrText>
            </w:r>
            <w:r>
              <w:rPr>
                <w:noProof/>
                <w:webHidden/>
              </w:rPr>
            </w:r>
            <w:r>
              <w:rPr>
                <w:noProof/>
                <w:webHidden/>
              </w:rPr>
              <w:fldChar w:fldCharType="separate"/>
            </w:r>
            <w:r>
              <w:rPr>
                <w:noProof/>
                <w:webHidden/>
              </w:rPr>
              <w:t>41</w:t>
            </w:r>
            <w:r>
              <w:rPr>
                <w:noProof/>
                <w:webHidden/>
              </w:rPr>
              <w:fldChar w:fldCharType="end"/>
            </w:r>
          </w:hyperlink>
        </w:p>
        <w:p w:rsidR="00D5639B" w:rsidRDefault="00D5639B" w14:paraId="19AA5339" w14:textId="30B4D1CB">
          <w:pPr>
            <w:pStyle w:val="TOC2"/>
            <w:rPr>
              <w:rFonts w:asciiTheme="minorHAnsi" w:hAnsiTheme="minorHAnsi" w:eastAsiaTheme="minorEastAsia"/>
              <w:noProof/>
              <w:kern w:val="2"/>
              <w:sz w:val="24"/>
              <w:szCs w:val="24"/>
              <w14:ligatures w14:val="standardContextual"/>
            </w:rPr>
          </w:pPr>
          <w:hyperlink w:history="1" w:anchor="_Toc227451383">
            <w:r w:rsidRPr="00F10278">
              <w:rPr>
                <w:rStyle w:val="Hyperlink"/>
                <w:rFonts w:cs="Arial"/>
                <w:caps/>
                <w:noProof/>
                <w:specVanish/>
              </w:rPr>
              <w:t>10.3</w:t>
            </w:r>
            <w:r>
              <w:rPr>
                <w:rFonts w:asciiTheme="minorHAnsi" w:hAnsiTheme="minorHAnsi" w:eastAsiaTheme="minorEastAsia"/>
                <w:noProof/>
                <w:kern w:val="2"/>
                <w:sz w:val="24"/>
                <w:szCs w:val="24"/>
                <w14:ligatures w14:val="standardContextual"/>
              </w:rPr>
              <w:tab/>
            </w:r>
            <w:r w:rsidRPr="00F10278">
              <w:rPr>
                <w:rStyle w:val="Hyperlink"/>
                <w:rFonts w:cs="Arial"/>
                <w:noProof/>
              </w:rPr>
              <w:t>Renewable Resource Outages.</w:t>
            </w:r>
            <w:r>
              <w:rPr>
                <w:noProof/>
                <w:webHidden/>
              </w:rPr>
              <w:tab/>
            </w:r>
            <w:r>
              <w:rPr>
                <w:noProof/>
                <w:webHidden/>
              </w:rPr>
              <w:fldChar w:fldCharType="begin"/>
            </w:r>
            <w:r>
              <w:rPr>
                <w:noProof/>
                <w:webHidden/>
              </w:rPr>
              <w:instrText xml:space="preserve"> PAGEREF _Toc227451383 \h </w:instrText>
            </w:r>
            <w:r>
              <w:rPr>
                <w:noProof/>
                <w:webHidden/>
              </w:rPr>
            </w:r>
            <w:r>
              <w:rPr>
                <w:noProof/>
                <w:webHidden/>
              </w:rPr>
              <w:fldChar w:fldCharType="separate"/>
            </w:r>
            <w:r>
              <w:rPr>
                <w:noProof/>
                <w:webHidden/>
              </w:rPr>
              <w:t>42</w:t>
            </w:r>
            <w:r>
              <w:rPr>
                <w:noProof/>
                <w:webHidden/>
              </w:rPr>
              <w:fldChar w:fldCharType="end"/>
            </w:r>
          </w:hyperlink>
        </w:p>
        <w:p w:rsidR="00D5639B" w:rsidRDefault="00D5639B" w14:paraId="36477179" w14:textId="10BA9D8A">
          <w:pPr>
            <w:pStyle w:val="TOC2"/>
            <w:rPr>
              <w:rFonts w:asciiTheme="minorHAnsi" w:hAnsiTheme="minorHAnsi" w:eastAsiaTheme="minorEastAsia"/>
              <w:noProof/>
              <w:kern w:val="2"/>
              <w:sz w:val="24"/>
              <w:szCs w:val="24"/>
              <w14:ligatures w14:val="standardContextual"/>
            </w:rPr>
          </w:pPr>
          <w:hyperlink w:history="1" w:anchor="_Toc227451384">
            <w:r w:rsidRPr="00F10278">
              <w:rPr>
                <w:rStyle w:val="Hyperlink"/>
                <w:caps/>
                <w:noProof/>
                <w:specVanish/>
              </w:rPr>
              <w:t>10.4</w:t>
            </w:r>
            <w:r>
              <w:rPr>
                <w:rFonts w:asciiTheme="minorHAnsi" w:hAnsiTheme="minorHAnsi" w:eastAsiaTheme="minorEastAsia"/>
                <w:noProof/>
                <w:kern w:val="2"/>
                <w:sz w:val="24"/>
                <w:szCs w:val="24"/>
                <w14:ligatures w14:val="standardContextual"/>
              </w:rPr>
              <w:tab/>
            </w:r>
            <w:r w:rsidRPr="00F10278">
              <w:rPr>
                <w:rStyle w:val="Hyperlink"/>
                <w:noProof/>
              </w:rPr>
              <w:t>Access to the Site and the Facility.</w:t>
            </w:r>
            <w:r>
              <w:rPr>
                <w:noProof/>
                <w:webHidden/>
              </w:rPr>
              <w:tab/>
            </w:r>
            <w:r>
              <w:rPr>
                <w:noProof/>
                <w:webHidden/>
              </w:rPr>
              <w:fldChar w:fldCharType="begin"/>
            </w:r>
            <w:r>
              <w:rPr>
                <w:noProof/>
                <w:webHidden/>
              </w:rPr>
              <w:instrText xml:space="preserve"> PAGEREF _Toc227451384 \h </w:instrText>
            </w:r>
            <w:r>
              <w:rPr>
                <w:noProof/>
                <w:webHidden/>
              </w:rPr>
            </w:r>
            <w:r>
              <w:rPr>
                <w:noProof/>
                <w:webHidden/>
              </w:rPr>
              <w:fldChar w:fldCharType="separate"/>
            </w:r>
            <w:r>
              <w:rPr>
                <w:noProof/>
                <w:webHidden/>
              </w:rPr>
              <w:t>42</w:t>
            </w:r>
            <w:r>
              <w:rPr>
                <w:noProof/>
                <w:webHidden/>
              </w:rPr>
              <w:fldChar w:fldCharType="end"/>
            </w:r>
          </w:hyperlink>
        </w:p>
        <w:p w:rsidR="00D5639B" w:rsidRDefault="00D5639B" w14:paraId="6DD8F889" w14:textId="76BC8CF8">
          <w:pPr>
            <w:pStyle w:val="TOC2"/>
            <w:rPr>
              <w:rFonts w:asciiTheme="minorHAnsi" w:hAnsiTheme="minorHAnsi" w:eastAsiaTheme="minorEastAsia"/>
              <w:noProof/>
              <w:kern w:val="2"/>
              <w:sz w:val="24"/>
              <w:szCs w:val="24"/>
              <w14:ligatures w14:val="standardContextual"/>
            </w:rPr>
          </w:pPr>
          <w:hyperlink w:history="1" w:anchor="_Toc227451385">
            <w:r w:rsidRPr="00F10278">
              <w:rPr>
                <w:rStyle w:val="Hyperlink"/>
                <w:rFonts w:cs="Arial"/>
                <w:caps/>
                <w:noProof/>
                <w:specVanish/>
              </w:rPr>
              <w:t>10.5</w:t>
            </w:r>
            <w:r>
              <w:rPr>
                <w:rFonts w:asciiTheme="minorHAnsi" w:hAnsiTheme="minorHAnsi" w:eastAsiaTheme="minorEastAsia"/>
                <w:noProof/>
                <w:kern w:val="2"/>
                <w:sz w:val="24"/>
                <w:szCs w:val="24"/>
                <w14:ligatures w14:val="standardContextual"/>
              </w:rPr>
              <w:tab/>
            </w:r>
            <w:r w:rsidRPr="00F10278">
              <w:rPr>
                <w:rStyle w:val="Hyperlink"/>
                <w:rFonts w:cs="Arial"/>
                <w:noProof/>
              </w:rPr>
              <w:t>Availability of Records.</w:t>
            </w:r>
            <w:r>
              <w:rPr>
                <w:noProof/>
                <w:webHidden/>
              </w:rPr>
              <w:tab/>
            </w:r>
            <w:r>
              <w:rPr>
                <w:noProof/>
                <w:webHidden/>
              </w:rPr>
              <w:fldChar w:fldCharType="begin"/>
            </w:r>
            <w:r>
              <w:rPr>
                <w:noProof/>
                <w:webHidden/>
              </w:rPr>
              <w:instrText xml:space="preserve"> PAGEREF _Toc227451385 \h </w:instrText>
            </w:r>
            <w:r>
              <w:rPr>
                <w:noProof/>
                <w:webHidden/>
              </w:rPr>
            </w:r>
            <w:r>
              <w:rPr>
                <w:noProof/>
                <w:webHidden/>
              </w:rPr>
              <w:fldChar w:fldCharType="separate"/>
            </w:r>
            <w:r>
              <w:rPr>
                <w:noProof/>
                <w:webHidden/>
              </w:rPr>
              <w:t>42</w:t>
            </w:r>
            <w:r>
              <w:rPr>
                <w:noProof/>
                <w:webHidden/>
              </w:rPr>
              <w:fldChar w:fldCharType="end"/>
            </w:r>
          </w:hyperlink>
        </w:p>
        <w:p w:rsidR="00D5639B" w:rsidRDefault="00D5639B" w14:paraId="37C387D9" w14:textId="4F2D0C5B">
          <w:pPr>
            <w:pStyle w:val="TOC2"/>
            <w:rPr>
              <w:rFonts w:asciiTheme="minorHAnsi" w:hAnsiTheme="minorHAnsi" w:eastAsiaTheme="minorEastAsia"/>
              <w:noProof/>
              <w:kern w:val="2"/>
              <w:sz w:val="24"/>
              <w:szCs w:val="24"/>
              <w14:ligatures w14:val="standardContextual"/>
            </w:rPr>
          </w:pPr>
          <w:hyperlink w:history="1" w:anchor="_Toc227451386">
            <w:r w:rsidRPr="00F10278">
              <w:rPr>
                <w:rStyle w:val="Hyperlink"/>
                <w:rFonts w:cs="Arial"/>
                <w:caps/>
                <w:noProof/>
                <w:specVanish/>
              </w:rPr>
              <w:t>10.6</w:t>
            </w:r>
            <w:r>
              <w:rPr>
                <w:rFonts w:asciiTheme="minorHAnsi" w:hAnsiTheme="minorHAnsi" w:eastAsiaTheme="minorEastAsia"/>
                <w:noProof/>
                <w:kern w:val="2"/>
                <w:sz w:val="24"/>
                <w:szCs w:val="24"/>
                <w14:ligatures w14:val="standardContextual"/>
              </w:rPr>
              <w:tab/>
            </w:r>
            <w:r w:rsidRPr="00F10278">
              <w:rPr>
                <w:rStyle w:val="Hyperlink"/>
                <w:rFonts w:cs="Arial"/>
                <w:noProof/>
              </w:rPr>
              <w:t>Effect of GPC Action.</w:t>
            </w:r>
            <w:r>
              <w:rPr>
                <w:noProof/>
                <w:webHidden/>
              </w:rPr>
              <w:tab/>
            </w:r>
            <w:r>
              <w:rPr>
                <w:noProof/>
                <w:webHidden/>
              </w:rPr>
              <w:fldChar w:fldCharType="begin"/>
            </w:r>
            <w:r>
              <w:rPr>
                <w:noProof/>
                <w:webHidden/>
              </w:rPr>
              <w:instrText xml:space="preserve"> PAGEREF _Toc227451386 \h </w:instrText>
            </w:r>
            <w:r>
              <w:rPr>
                <w:noProof/>
                <w:webHidden/>
              </w:rPr>
            </w:r>
            <w:r>
              <w:rPr>
                <w:noProof/>
                <w:webHidden/>
              </w:rPr>
              <w:fldChar w:fldCharType="separate"/>
            </w:r>
            <w:r>
              <w:rPr>
                <w:noProof/>
                <w:webHidden/>
              </w:rPr>
              <w:t>43</w:t>
            </w:r>
            <w:r>
              <w:rPr>
                <w:noProof/>
                <w:webHidden/>
              </w:rPr>
              <w:fldChar w:fldCharType="end"/>
            </w:r>
          </w:hyperlink>
        </w:p>
        <w:p w:rsidR="00D5639B" w:rsidRDefault="00D5639B" w14:paraId="633F4ED8" w14:textId="4114F0E0">
          <w:pPr>
            <w:pStyle w:val="TOC2"/>
            <w:rPr>
              <w:rFonts w:asciiTheme="minorHAnsi" w:hAnsiTheme="minorHAnsi" w:eastAsiaTheme="minorEastAsia"/>
              <w:noProof/>
              <w:kern w:val="2"/>
              <w:sz w:val="24"/>
              <w:szCs w:val="24"/>
              <w14:ligatures w14:val="standardContextual"/>
            </w:rPr>
          </w:pPr>
          <w:hyperlink w:history="1" w:anchor="_Toc227451387">
            <w:r w:rsidRPr="00F10278">
              <w:rPr>
                <w:rStyle w:val="Hyperlink"/>
                <w:rFonts w:cs="Arial"/>
                <w:caps/>
                <w:noProof/>
                <w:specVanish/>
              </w:rPr>
              <w:t>10.7</w:t>
            </w:r>
            <w:r>
              <w:rPr>
                <w:rFonts w:asciiTheme="minorHAnsi" w:hAnsiTheme="minorHAnsi" w:eastAsiaTheme="minorEastAsia"/>
                <w:noProof/>
                <w:kern w:val="2"/>
                <w:sz w:val="24"/>
                <w:szCs w:val="24"/>
                <w14:ligatures w14:val="standardContextual"/>
              </w:rPr>
              <w:tab/>
            </w:r>
            <w:r w:rsidRPr="00F10278">
              <w:rPr>
                <w:rStyle w:val="Hyperlink"/>
                <w:rFonts w:cs="Arial"/>
                <w:noProof/>
              </w:rPr>
              <w:t>Operating Committee.</w:t>
            </w:r>
            <w:r>
              <w:rPr>
                <w:noProof/>
                <w:webHidden/>
              </w:rPr>
              <w:tab/>
            </w:r>
            <w:r>
              <w:rPr>
                <w:noProof/>
                <w:webHidden/>
              </w:rPr>
              <w:fldChar w:fldCharType="begin"/>
            </w:r>
            <w:r>
              <w:rPr>
                <w:noProof/>
                <w:webHidden/>
              </w:rPr>
              <w:instrText xml:space="preserve"> PAGEREF _Toc227451387 \h </w:instrText>
            </w:r>
            <w:r>
              <w:rPr>
                <w:noProof/>
                <w:webHidden/>
              </w:rPr>
            </w:r>
            <w:r>
              <w:rPr>
                <w:noProof/>
                <w:webHidden/>
              </w:rPr>
              <w:fldChar w:fldCharType="separate"/>
            </w:r>
            <w:r>
              <w:rPr>
                <w:noProof/>
                <w:webHidden/>
              </w:rPr>
              <w:t>43</w:t>
            </w:r>
            <w:r>
              <w:rPr>
                <w:noProof/>
                <w:webHidden/>
              </w:rPr>
              <w:fldChar w:fldCharType="end"/>
            </w:r>
          </w:hyperlink>
        </w:p>
        <w:p w:rsidR="00D5639B" w:rsidRDefault="00D5639B" w14:paraId="0EC0AB75" w14:textId="7D603F8E">
          <w:pPr>
            <w:pStyle w:val="TOC2"/>
            <w:rPr>
              <w:rFonts w:asciiTheme="minorHAnsi" w:hAnsiTheme="minorHAnsi" w:eastAsiaTheme="minorEastAsia"/>
              <w:noProof/>
              <w:kern w:val="2"/>
              <w:sz w:val="24"/>
              <w:szCs w:val="24"/>
              <w14:ligatures w14:val="standardContextual"/>
            </w:rPr>
          </w:pPr>
          <w:hyperlink w:history="1" w:anchor="_Toc227451388">
            <w:r w:rsidRPr="00F10278">
              <w:rPr>
                <w:rStyle w:val="Hyperlink"/>
                <w:rFonts w:cs="Arial"/>
                <w:caps/>
                <w:noProof/>
                <w:specVanish/>
              </w:rPr>
              <w:t>10.8</w:t>
            </w:r>
            <w:r>
              <w:rPr>
                <w:rFonts w:asciiTheme="minorHAnsi" w:hAnsiTheme="minorHAnsi" w:eastAsiaTheme="minorEastAsia"/>
                <w:noProof/>
                <w:kern w:val="2"/>
                <w:sz w:val="24"/>
                <w:szCs w:val="24"/>
                <w14:ligatures w14:val="standardContextual"/>
              </w:rPr>
              <w:tab/>
            </w:r>
            <w:r w:rsidRPr="00F10278">
              <w:rPr>
                <w:rStyle w:val="Hyperlink"/>
                <w:rFonts w:cs="Arial"/>
                <w:noProof/>
              </w:rPr>
              <w:t>AGC.</w:t>
            </w:r>
            <w:r>
              <w:rPr>
                <w:noProof/>
                <w:webHidden/>
              </w:rPr>
              <w:tab/>
            </w:r>
            <w:r>
              <w:rPr>
                <w:noProof/>
                <w:webHidden/>
              </w:rPr>
              <w:fldChar w:fldCharType="begin"/>
            </w:r>
            <w:r>
              <w:rPr>
                <w:noProof/>
                <w:webHidden/>
              </w:rPr>
              <w:instrText xml:space="preserve"> PAGEREF _Toc227451388 \h </w:instrText>
            </w:r>
            <w:r>
              <w:rPr>
                <w:noProof/>
                <w:webHidden/>
              </w:rPr>
            </w:r>
            <w:r>
              <w:rPr>
                <w:noProof/>
                <w:webHidden/>
              </w:rPr>
              <w:fldChar w:fldCharType="separate"/>
            </w:r>
            <w:r>
              <w:rPr>
                <w:noProof/>
                <w:webHidden/>
              </w:rPr>
              <w:t>43</w:t>
            </w:r>
            <w:r>
              <w:rPr>
                <w:noProof/>
                <w:webHidden/>
              </w:rPr>
              <w:fldChar w:fldCharType="end"/>
            </w:r>
          </w:hyperlink>
        </w:p>
        <w:p w:rsidR="00D5639B" w:rsidRDefault="00D5639B" w14:paraId="107E6C11" w14:textId="0BBF0A69">
          <w:pPr>
            <w:pStyle w:val="TOC2"/>
            <w:rPr>
              <w:rFonts w:asciiTheme="minorHAnsi" w:hAnsiTheme="minorHAnsi" w:eastAsiaTheme="minorEastAsia"/>
              <w:noProof/>
              <w:kern w:val="2"/>
              <w:sz w:val="24"/>
              <w:szCs w:val="24"/>
              <w14:ligatures w14:val="standardContextual"/>
            </w:rPr>
          </w:pPr>
          <w:hyperlink w:history="1" w:anchor="_Toc227451389">
            <w:r w:rsidRPr="00F10278">
              <w:rPr>
                <w:rStyle w:val="Hyperlink"/>
                <w:rFonts w:cs="Arial"/>
                <w:caps/>
                <w:noProof/>
                <w:specVanish/>
              </w:rPr>
              <w:t>10.9</w:t>
            </w:r>
            <w:r>
              <w:rPr>
                <w:rFonts w:asciiTheme="minorHAnsi" w:hAnsiTheme="minorHAnsi" w:eastAsiaTheme="minorEastAsia"/>
                <w:noProof/>
                <w:kern w:val="2"/>
                <w:sz w:val="24"/>
                <w:szCs w:val="24"/>
                <w14:ligatures w14:val="standardContextual"/>
              </w:rPr>
              <w:tab/>
            </w:r>
            <w:r w:rsidRPr="00F10278">
              <w:rPr>
                <w:rStyle w:val="Hyperlink"/>
                <w:rFonts w:cs="Arial"/>
                <w:noProof/>
              </w:rPr>
              <w:t>AGC Performance Requirements.</w:t>
            </w:r>
            <w:r>
              <w:rPr>
                <w:noProof/>
                <w:webHidden/>
              </w:rPr>
              <w:tab/>
            </w:r>
            <w:r>
              <w:rPr>
                <w:noProof/>
                <w:webHidden/>
              </w:rPr>
              <w:fldChar w:fldCharType="begin"/>
            </w:r>
            <w:r>
              <w:rPr>
                <w:noProof/>
                <w:webHidden/>
              </w:rPr>
              <w:instrText xml:space="preserve"> PAGEREF _Toc227451389 \h </w:instrText>
            </w:r>
            <w:r>
              <w:rPr>
                <w:noProof/>
                <w:webHidden/>
              </w:rPr>
            </w:r>
            <w:r>
              <w:rPr>
                <w:noProof/>
                <w:webHidden/>
              </w:rPr>
              <w:fldChar w:fldCharType="separate"/>
            </w:r>
            <w:r>
              <w:rPr>
                <w:noProof/>
                <w:webHidden/>
              </w:rPr>
              <w:t>44</w:t>
            </w:r>
            <w:r>
              <w:rPr>
                <w:noProof/>
                <w:webHidden/>
              </w:rPr>
              <w:fldChar w:fldCharType="end"/>
            </w:r>
          </w:hyperlink>
        </w:p>
        <w:p w:rsidR="00D5639B" w:rsidRDefault="00D5639B" w14:paraId="5D04835E" w14:textId="6442EA3A">
          <w:pPr>
            <w:pStyle w:val="TOC2"/>
            <w:rPr>
              <w:rFonts w:asciiTheme="minorHAnsi" w:hAnsiTheme="minorHAnsi" w:eastAsiaTheme="minorEastAsia"/>
              <w:noProof/>
              <w:kern w:val="2"/>
              <w:sz w:val="24"/>
              <w:szCs w:val="24"/>
              <w14:ligatures w14:val="standardContextual"/>
            </w:rPr>
          </w:pPr>
          <w:hyperlink w:history="1" w:anchor="_Toc227451390">
            <w:r w:rsidRPr="00F10278">
              <w:rPr>
                <w:rStyle w:val="Hyperlink"/>
                <w:rFonts w:cs="Arial"/>
                <w:caps/>
                <w:noProof/>
                <w:specVanish/>
              </w:rPr>
              <w:t>10.10</w:t>
            </w:r>
            <w:r>
              <w:rPr>
                <w:rFonts w:asciiTheme="minorHAnsi" w:hAnsiTheme="minorHAnsi" w:eastAsiaTheme="minorEastAsia"/>
                <w:noProof/>
                <w:kern w:val="2"/>
                <w:sz w:val="24"/>
                <w:szCs w:val="24"/>
                <w14:ligatures w14:val="standardContextual"/>
              </w:rPr>
              <w:tab/>
            </w:r>
            <w:r w:rsidRPr="00F10278">
              <w:rPr>
                <w:rStyle w:val="Hyperlink"/>
                <w:rFonts w:cs="Arial"/>
                <w:noProof/>
              </w:rPr>
              <w:t>Potential High Limit for the Renewable Resource; Curtailed Energy.</w:t>
            </w:r>
            <w:r>
              <w:rPr>
                <w:noProof/>
                <w:webHidden/>
              </w:rPr>
              <w:tab/>
            </w:r>
            <w:r>
              <w:rPr>
                <w:noProof/>
                <w:webHidden/>
              </w:rPr>
              <w:fldChar w:fldCharType="begin"/>
            </w:r>
            <w:r>
              <w:rPr>
                <w:noProof/>
                <w:webHidden/>
              </w:rPr>
              <w:instrText xml:space="preserve"> PAGEREF _Toc227451390 \h </w:instrText>
            </w:r>
            <w:r>
              <w:rPr>
                <w:noProof/>
                <w:webHidden/>
              </w:rPr>
            </w:r>
            <w:r>
              <w:rPr>
                <w:noProof/>
                <w:webHidden/>
              </w:rPr>
              <w:fldChar w:fldCharType="separate"/>
            </w:r>
            <w:r>
              <w:rPr>
                <w:noProof/>
                <w:webHidden/>
              </w:rPr>
              <w:t>44</w:t>
            </w:r>
            <w:r>
              <w:rPr>
                <w:noProof/>
                <w:webHidden/>
              </w:rPr>
              <w:fldChar w:fldCharType="end"/>
            </w:r>
          </w:hyperlink>
        </w:p>
        <w:p w:rsidR="00D5639B" w:rsidRDefault="00D5639B" w14:paraId="11309A06" w14:textId="5E202665">
          <w:pPr>
            <w:pStyle w:val="TOC2"/>
            <w:rPr>
              <w:rFonts w:asciiTheme="minorHAnsi" w:hAnsiTheme="minorHAnsi" w:eastAsiaTheme="minorEastAsia"/>
              <w:noProof/>
              <w:kern w:val="2"/>
              <w:sz w:val="24"/>
              <w:szCs w:val="24"/>
              <w14:ligatures w14:val="standardContextual"/>
            </w:rPr>
          </w:pPr>
          <w:hyperlink w:history="1" w:anchor="_Toc227451391">
            <w:r w:rsidRPr="00F10278">
              <w:rPr>
                <w:rStyle w:val="Hyperlink"/>
                <w:rFonts w:cs="Arial"/>
                <w:caps/>
                <w:noProof/>
                <w:specVanish/>
              </w:rPr>
              <w:t>10.11</w:t>
            </w:r>
            <w:r>
              <w:rPr>
                <w:rFonts w:asciiTheme="minorHAnsi" w:hAnsiTheme="minorHAnsi" w:eastAsiaTheme="minorEastAsia"/>
                <w:noProof/>
                <w:kern w:val="2"/>
                <w:sz w:val="24"/>
                <w:szCs w:val="24"/>
                <w14:ligatures w14:val="standardContextual"/>
              </w:rPr>
              <w:tab/>
            </w:r>
            <w:r w:rsidRPr="00F10278">
              <w:rPr>
                <w:rStyle w:val="Hyperlink"/>
                <w:rFonts w:cs="Arial"/>
                <w:noProof/>
              </w:rPr>
              <w:t>Performance Metrics.</w:t>
            </w:r>
            <w:r>
              <w:rPr>
                <w:noProof/>
                <w:webHidden/>
              </w:rPr>
              <w:tab/>
            </w:r>
            <w:r>
              <w:rPr>
                <w:noProof/>
                <w:webHidden/>
              </w:rPr>
              <w:fldChar w:fldCharType="begin"/>
            </w:r>
            <w:r>
              <w:rPr>
                <w:noProof/>
                <w:webHidden/>
              </w:rPr>
              <w:instrText xml:space="preserve"> PAGEREF _Toc227451391 \h </w:instrText>
            </w:r>
            <w:r>
              <w:rPr>
                <w:noProof/>
                <w:webHidden/>
              </w:rPr>
            </w:r>
            <w:r>
              <w:rPr>
                <w:noProof/>
                <w:webHidden/>
              </w:rPr>
              <w:fldChar w:fldCharType="separate"/>
            </w:r>
            <w:r>
              <w:rPr>
                <w:noProof/>
                <w:webHidden/>
              </w:rPr>
              <w:t>45</w:t>
            </w:r>
            <w:r>
              <w:rPr>
                <w:noProof/>
                <w:webHidden/>
              </w:rPr>
              <w:fldChar w:fldCharType="end"/>
            </w:r>
          </w:hyperlink>
        </w:p>
        <w:p w:rsidR="00D5639B" w:rsidRDefault="00D5639B" w14:paraId="109188BD" w14:textId="1C01F26C">
          <w:pPr>
            <w:pStyle w:val="TOC2"/>
            <w:rPr>
              <w:rFonts w:asciiTheme="minorHAnsi" w:hAnsiTheme="minorHAnsi" w:eastAsiaTheme="minorEastAsia"/>
              <w:noProof/>
              <w:kern w:val="2"/>
              <w:sz w:val="24"/>
              <w:szCs w:val="24"/>
              <w14:ligatures w14:val="standardContextual"/>
            </w:rPr>
          </w:pPr>
          <w:hyperlink w:history="1" w:anchor="_Toc227451392">
            <w:r w:rsidRPr="00F10278">
              <w:rPr>
                <w:rStyle w:val="Hyperlink"/>
                <w:rFonts w:cs="Arial"/>
                <w:caps/>
                <w:noProof/>
                <w:specVanish/>
              </w:rPr>
              <w:t>10.12</w:t>
            </w:r>
            <w:r>
              <w:rPr>
                <w:rFonts w:asciiTheme="minorHAnsi" w:hAnsiTheme="minorHAnsi" w:eastAsiaTheme="minorEastAsia"/>
                <w:noProof/>
                <w:kern w:val="2"/>
                <w:sz w:val="24"/>
                <w:szCs w:val="24"/>
                <w14:ligatures w14:val="standardContextual"/>
              </w:rPr>
              <w:tab/>
            </w:r>
            <w:r w:rsidRPr="00F10278">
              <w:rPr>
                <w:rStyle w:val="Hyperlink"/>
                <w:rFonts w:cs="Arial"/>
                <w:noProof/>
              </w:rPr>
              <w:t>Reactive Power.</w:t>
            </w:r>
            <w:r>
              <w:rPr>
                <w:noProof/>
                <w:webHidden/>
              </w:rPr>
              <w:tab/>
            </w:r>
            <w:r>
              <w:rPr>
                <w:noProof/>
                <w:webHidden/>
              </w:rPr>
              <w:fldChar w:fldCharType="begin"/>
            </w:r>
            <w:r>
              <w:rPr>
                <w:noProof/>
                <w:webHidden/>
              </w:rPr>
              <w:instrText xml:space="preserve"> PAGEREF _Toc227451392 \h </w:instrText>
            </w:r>
            <w:r>
              <w:rPr>
                <w:noProof/>
                <w:webHidden/>
              </w:rPr>
            </w:r>
            <w:r>
              <w:rPr>
                <w:noProof/>
                <w:webHidden/>
              </w:rPr>
              <w:fldChar w:fldCharType="separate"/>
            </w:r>
            <w:r>
              <w:rPr>
                <w:noProof/>
                <w:webHidden/>
              </w:rPr>
              <w:t>45</w:t>
            </w:r>
            <w:r>
              <w:rPr>
                <w:noProof/>
                <w:webHidden/>
              </w:rPr>
              <w:fldChar w:fldCharType="end"/>
            </w:r>
          </w:hyperlink>
        </w:p>
        <w:p w:rsidR="00D5639B" w:rsidRDefault="00D5639B" w14:paraId="3A3762BF" w14:textId="3A886699">
          <w:pPr>
            <w:pStyle w:val="TOC2"/>
            <w:rPr>
              <w:rFonts w:asciiTheme="minorHAnsi" w:hAnsiTheme="minorHAnsi" w:eastAsiaTheme="minorEastAsia"/>
              <w:noProof/>
              <w:kern w:val="2"/>
              <w:sz w:val="24"/>
              <w:szCs w:val="24"/>
              <w14:ligatures w14:val="standardContextual"/>
            </w:rPr>
          </w:pPr>
          <w:hyperlink w:history="1" w:anchor="_Toc227451393">
            <w:r w:rsidRPr="00F10278">
              <w:rPr>
                <w:rStyle w:val="Hyperlink"/>
                <w:rFonts w:cs="Arial"/>
                <w:caps/>
                <w:noProof/>
                <w:specVanish/>
              </w:rPr>
              <w:t>10.13</w:t>
            </w:r>
            <w:r>
              <w:rPr>
                <w:rFonts w:asciiTheme="minorHAnsi" w:hAnsiTheme="minorHAnsi" w:eastAsiaTheme="minorEastAsia"/>
                <w:noProof/>
                <w:kern w:val="2"/>
                <w:sz w:val="24"/>
                <w:szCs w:val="24"/>
                <w14:ligatures w14:val="standardContextual"/>
              </w:rPr>
              <w:tab/>
            </w:r>
            <w:r w:rsidRPr="00F10278">
              <w:rPr>
                <w:rStyle w:val="Hyperlink"/>
                <w:rFonts w:cs="Arial"/>
                <w:noProof/>
              </w:rPr>
              <w:t>Cyber Security.</w:t>
            </w:r>
            <w:r>
              <w:rPr>
                <w:noProof/>
                <w:webHidden/>
              </w:rPr>
              <w:tab/>
            </w:r>
            <w:r>
              <w:rPr>
                <w:noProof/>
                <w:webHidden/>
              </w:rPr>
              <w:fldChar w:fldCharType="begin"/>
            </w:r>
            <w:r>
              <w:rPr>
                <w:noProof/>
                <w:webHidden/>
              </w:rPr>
              <w:instrText xml:space="preserve"> PAGEREF _Toc227451393 \h </w:instrText>
            </w:r>
            <w:r>
              <w:rPr>
                <w:noProof/>
                <w:webHidden/>
              </w:rPr>
            </w:r>
            <w:r>
              <w:rPr>
                <w:noProof/>
                <w:webHidden/>
              </w:rPr>
              <w:fldChar w:fldCharType="separate"/>
            </w:r>
            <w:r>
              <w:rPr>
                <w:noProof/>
                <w:webHidden/>
              </w:rPr>
              <w:t>46</w:t>
            </w:r>
            <w:r>
              <w:rPr>
                <w:noProof/>
                <w:webHidden/>
              </w:rPr>
              <w:fldChar w:fldCharType="end"/>
            </w:r>
          </w:hyperlink>
        </w:p>
        <w:p w:rsidR="00D5639B" w:rsidRDefault="00D5639B" w14:paraId="79D41A0A" w14:textId="093A5FD7">
          <w:pPr>
            <w:pStyle w:val="TOC1"/>
            <w:rPr>
              <w:rFonts w:asciiTheme="minorHAnsi" w:hAnsiTheme="minorHAnsi" w:eastAsiaTheme="minorEastAsia" w:cstheme="minorBidi"/>
              <w:b w:val="0"/>
              <w:caps w:val="0"/>
              <w:noProof/>
              <w:kern w:val="2"/>
              <w:sz w:val="24"/>
              <w:szCs w:val="24"/>
              <w14:ligatures w14:val="standardContextual"/>
            </w:rPr>
          </w:pPr>
          <w:hyperlink w:history="1" w:anchor="_Toc227451394">
            <w:r w:rsidRPr="00F10278">
              <w:rPr>
                <w:rStyle w:val="Hyperlink"/>
                <w:noProof/>
              </w:rPr>
              <w:t>Part 11</w:t>
            </w:r>
            <w:r>
              <w:rPr>
                <w:rFonts w:asciiTheme="minorHAnsi" w:hAnsiTheme="minorHAnsi" w:eastAsiaTheme="minorEastAsia" w:cstheme="minorBidi"/>
                <w:b w:val="0"/>
                <w:caps w:val="0"/>
                <w:noProof/>
                <w:kern w:val="2"/>
                <w:sz w:val="24"/>
                <w:szCs w:val="24"/>
                <w14:ligatures w14:val="standardContextual"/>
              </w:rPr>
              <w:tab/>
            </w:r>
            <w:r w:rsidRPr="00F10278">
              <w:rPr>
                <w:rStyle w:val="Hyperlink"/>
                <w:noProof/>
              </w:rPr>
              <w:t>BESS; Renewable Resource; Grid Charging</w:t>
            </w:r>
            <w:r>
              <w:rPr>
                <w:noProof/>
                <w:webHidden/>
              </w:rPr>
              <w:tab/>
            </w:r>
            <w:r>
              <w:rPr>
                <w:noProof/>
                <w:webHidden/>
              </w:rPr>
              <w:fldChar w:fldCharType="begin"/>
            </w:r>
            <w:r>
              <w:rPr>
                <w:noProof/>
                <w:webHidden/>
              </w:rPr>
              <w:instrText xml:space="preserve"> PAGEREF _Toc227451394 \h </w:instrText>
            </w:r>
            <w:r>
              <w:rPr>
                <w:noProof/>
                <w:webHidden/>
              </w:rPr>
            </w:r>
            <w:r>
              <w:rPr>
                <w:noProof/>
                <w:webHidden/>
              </w:rPr>
              <w:fldChar w:fldCharType="separate"/>
            </w:r>
            <w:r>
              <w:rPr>
                <w:noProof/>
                <w:webHidden/>
              </w:rPr>
              <w:t>46</w:t>
            </w:r>
            <w:r>
              <w:rPr>
                <w:noProof/>
                <w:webHidden/>
              </w:rPr>
              <w:fldChar w:fldCharType="end"/>
            </w:r>
          </w:hyperlink>
        </w:p>
        <w:p w:rsidR="00D5639B" w:rsidRDefault="00D5639B" w14:paraId="58F7FDF9" w14:textId="5EDAC9F4">
          <w:pPr>
            <w:pStyle w:val="TOC2"/>
            <w:rPr>
              <w:rFonts w:asciiTheme="minorHAnsi" w:hAnsiTheme="minorHAnsi" w:eastAsiaTheme="minorEastAsia"/>
              <w:noProof/>
              <w:kern w:val="2"/>
              <w:sz w:val="24"/>
              <w:szCs w:val="24"/>
              <w14:ligatures w14:val="standardContextual"/>
            </w:rPr>
          </w:pPr>
          <w:hyperlink w:history="1" w:anchor="_Toc227451395">
            <w:r w:rsidRPr="00F10278">
              <w:rPr>
                <w:rStyle w:val="Hyperlink"/>
                <w:rFonts w:cs="Arial"/>
                <w:caps/>
                <w:noProof/>
                <w:specVanish/>
              </w:rPr>
              <w:t>11.1</w:t>
            </w:r>
            <w:r>
              <w:rPr>
                <w:rFonts w:asciiTheme="minorHAnsi" w:hAnsiTheme="minorHAnsi" w:eastAsiaTheme="minorEastAsia"/>
                <w:noProof/>
                <w:kern w:val="2"/>
                <w:sz w:val="24"/>
                <w:szCs w:val="24"/>
                <w14:ligatures w14:val="standardContextual"/>
              </w:rPr>
              <w:tab/>
            </w:r>
            <w:r w:rsidRPr="00F10278">
              <w:rPr>
                <w:rStyle w:val="Hyperlink"/>
                <w:rFonts w:cs="Arial"/>
                <w:noProof/>
              </w:rPr>
              <w:t>Use of BESS.</w:t>
            </w:r>
            <w:r>
              <w:rPr>
                <w:noProof/>
                <w:webHidden/>
              </w:rPr>
              <w:tab/>
            </w:r>
            <w:r>
              <w:rPr>
                <w:noProof/>
                <w:webHidden/>
              </w:rPr>
              <w:fldChar w:fldCharType="begin"/>
            </w:r>
            <w:r>
              <w:rPr>
                <w:noProof/>
                <w:webHidden/>
              </w:rPr>
              <w:instrText xml:space="preserve"> PAGEREF _Toc227451395 \h </w:instrText>
            </w:r>
            <w:r>
              <w:rPr>
                <w:noProof/>
                <w:webHidden/>
              </w:rPr>
            </w:r>
            <w:r>
              <w:rPr>
                <w:noProof/>
                <w:webHidden/>
              </w:rPr>
              <w:fldChar w:fldCharType="separate"/>
            </w:r>
            <w:r>
              <w:rPr>
                <w:noProof/>
                <w:webHidden/>
              </w:rPr>
              <w:t>46</w:t>
            </w:r>
            <w:r>
              <w:rPr>
                <w:noProof/>
                <w:webHidden/>
              </w:rPr>
              <w:fldChar w:fldCharType="end"/>
            </w:r>
          </w:hyperlink>
        </w:p>
        <w:p w:rsidR="00D5639B" w:rsidRDefault="00D5639B" w14:paraId="3CD71B8A" w14:textId="49ED087E">
          <w:pPr>
            <w:pStyle w:val="TOC2"/>
            <w:rPr>
              <w:rFonts w:asciiTheme="minorHAnsi" w:hAnsiTheme="minorHAnsi" w:eastAsiaTheme="minorEastAsia"/>
              <w:noProof/>
              <w:kern w:val="2"/>
              <w:sz w:val="24"/>
              <w:szCs w:val="24"/>
              <w14:ligatures w14:val="standardContextual"/>
            </w:rPr>
          </w:pPr>
          <w:hyperlink w:history="1" w:anchor="_Toc227451396">
            <w:r w:rsidRPr="00F10278">
              <w:rPr>
                <w:rStyle w:val="Hyperlink"/>
                <w:rFonts w:cs="Arial"/>
                <w:caps/>
                <w:noProof/>
                <w:specVanish/>
              </w:rPr>
              <w:t>11.2</w:t>
            </w:r>
            <w:r>
              <w:rPr>
                <w:rFonts w:asciiTheme="minorHAnsi" w:hAnsiTheme="minorHAnsi" w:eastAsiaTheme="minorEastAsia"/>
                <w:noProof/>
                <w:kern w:val="2"/>
                <w:sz w:val="24"/>
                <w:szCs w:val="24"/>
                <w14:ligatures w14:val="standardContextual"/>
              </w:rPr>
              <w:tab/>
            </w:r>
            <w:r w:rsidRPr="00F10278">
              <w:rPr>
                <w:rStyle w:val="Hyperlink"/>
                <w:rFonts w:cs="Arial"/>
                <w:noProof/>
              </w:rPr>
              <w:t>Limit on Delivered Energy; Curtailment of Energy from Renewable Resource.</w:t>
            </w:r>
            <w:r>
              <w:rPr>
                <w:noProof/>
                <w:webHidden/>
              </w:rPr>
              <w:tab/>
            </w:r>
            <w:r>
              <w:rPr>
                <w:noProof/>
                <w:webHidden/>
              </w:rPr>
              <w:fldChar w:fldCharType="begin"/>
            </w:r>
            <w:r>
              <w:rPr>
                <w:noProof/>
                <w:webHidden/>
              </w:rPr>
              <w:instrText xml:space="preserve"> PAGEREF _Toc227451396 \h </w:instrText>
            </w:r>
            <w:r>
              <w:rPr>
                <w:noProof/>
                <w:webHidden/>
              </w:rPr>
            </w:r>
            <w:r>
              <w:rPr>
                <w:noProof/>
                <w:webHidden/>
              </w:rPr>
              <w:fldChar w:fldCharType="separate"/>
            </w:r>
            <w:r>
              <w:rPr>
                <w:noProof/>
                <w:webHidden/>
              </w:rPr>
              <w:t>46</w:t>
            </w:r>
            <w:r>
              <w:rPr>
                <w:noProof/>
                <w:webHidden/>
              </w:rPr>
              <w:fldChar w:fldCharType="end"/>
            </w:r>
          </w:hyperlink>
        </w:p>
        <w:p w:rsidR="00D5639B" w:rsidRDefault="00D5639B" w14:paraId="23484E0F" w14:textId="2D3CD209">
          <w:pPr>
            <w:pStyle w:val="TOC2"/>
            <w:rPr>
              <w:rFonts w:asciiTheme="minorHAnsi" w:hAnsiTheme="minorHAnsi" w:eastAsiaTheme="minorEastAsia"/>
              <w:noProof/>
              <w:kern w:val="2"/>
              <w:sz w:val="24"/>
              <w:szCs w:val="24"/>
              <w14:ligatures w14:val="standardContextual"/>
            </w:rPr>
          </w:pPr>
          <w:hyperlink w:history="1" w:anchor="_Toc227451397">
            <w:r w:rsidRPr="00F10278">
              <w:rPr>
                <w:rStyle w:val="Hyperlink"/>
                <w:rFonts w:cs="Arial"/>
                <w:caps/>
                <w:noProof/>
                <w:specVanish/>
              </w:rPr>
              <w:t>11.3</w:t>
            </w:r>
            <w:r>
              <w:rPr>
                <w:rFonts w:asciiTheme="minorHAnsi" w:hAnsiTheme="minorHAnsi" w:eastAsiaTheme="minorEastAsia"/>
                <w:noProof/>
                <w:kern w:val="2"/>
                <w:sz w:val="24"/>
                <w:szCs w:val="24"/>
                <w14:ligatures w14:val="standardContextual"/>
              </w:rPr>
              <w:tab/>
            </w:r>
            <w:r w:rsidRPr="00F10278">
              <w:rPr>
                <w:rStyle w:val="Hyperlink"/>
                <w:rFonts w:cs="Arial"/>
                <w:noProof/>
              </w:rPr>
              <w:t>Grid Charging; Renewable Resource Charging.</w:t>
            </w:r>
            <w:r>
              <w:rPr>
                <w:noProof/>
                <w:webHidden/>
              </w:rPr>
              <w:tab/>
            </w:r>
            <w:r>
              <w:rPr>
                <w:noProof/>
                <w:webHidden/>
              </w:rPr>
              <w:fldChar w:fldCharType="begin"/>
            </w:r>
            <w:r>
              <w:rPr>
                <w:noProof/>
                <w:webHidden/>
              </w:rPr>
              <w:instrText xml:space="preserve"> PAGEREF _Toc227451397 \h </w:instrText>
            </w:r>
            <w:r>
              <w:rPr>
                <w:noProof/>
                <w:webHidden/>
              </w:rPr>
            </w:r>
            <w:r>
              <w:rPr>
                <w:noProof/>
                <w:webHidden/>
              </w:rPr>
              <w:fldChar w:fldCharType="separate"/>
            </w:r>
            <w:r>
              <w:rPr>
                <w:noProof/>
                <w:webHidden/>
              </w:rPr>
              <w:t>46</w:t>
            </w:r>
            <w:r>
              <w:rPr>
                <w:noProof/>
                <w:webHidden/>
              </w:rPr>
              <w:fldChar w:fldCharType="end"/>
            </w:r>
          </w:hyperlink>
        </w:p>
        <w:p w:rsidR="00D5639B" w:rsidRDefault="00D5639B" w14:paraId="27E74F85" w14:textId="24237205">
          <w:pPr>
            <w:pStyle w:val="TOC1"/>
            <w:rPr>
              <w:rFonts w:asciiTheme="minorHAnsi" w:hAnsiTheme="minorHAnsi" w:eastAsiaTheme="minorEastAsia" w:cstheme="minorBidi"/>
              <w:b w:val="0"/>
              <w:caps w:val="0"/>
              <w:noProof/>
              <w:kern w:val="2"/>
              <w:sz w:val="24"/>
              <w:szCs w:val="24"/>
              <w14:ligatures w14:val="standardContextual"/>
            </w:rPr>
          </w:pPr>
          <w:hyperlink w:history="1" w:anchor="_Toc227451398">
            <w:r w:rsidRPr="00F10278">
              <w:rPr>
                <w:rStyle w:val="Hyperlink"/>
                <w:noProof/>
              </w:rPr>
              <w:t>Part 12</w:t>
            </w:r>
            <w:r>
              <w:rPr>
                <w:rFonts w:asciiTheme="minorHAnsi" w:hAnsiTheme="minorHAnsi" w:eastAsiaTheme="minorEastAsia" w:cstheme="minorBidi"/>
                <w:b w:val="0"/>
                <w:caps w:val="0"/>
                <w:noProof/>
                <w:kern w:val="2"/>
                <w:sz w:val="24"/>
                <w:szCs w:val="24"/>
                <w14:ligatures w14:val="standardContextual"/>
              </w:rPr>
              <w:tab/>
            </w:r>
            <w:r w:rsidRPr="00F10278">
              <w:rPr>
                <w:rStyle w:val="Hyperlink"/>
                <w:noProof/>
              </w:rPr>
              <w:t>Energy DISPATCH</w:t>
            </w:r>
            <w:r>
              <w:rPr>
                <w:noProof/>
                <w:webHidden/>
              </w:rPr>
              <w:tab/>
            </w:r>
            <w:r>
              <w:rPr>
                <w:noProof/>
                <w:webHidden/>
              </w:rPr>
              <w:fldChar w:fldCharType="begin"/>
            </w:r>
            <w:r>
              <w:rPr>
                <w:noProof/>
                <w:webHidden/>
              </w:rPr>
              <w:instrText xml:space="preserve"> PAGEREF _Toc227451398 \h </w:instrText>
            </w:r>
            <w:r>
              <w:rPr>
                <w:noProof/>
                <w:webHidden/>
              </w:rPr>
            </w:r>
            <w:r>
              <w:rPr>
                <w:noProof/>
                <w:webHidden/>
              </w:rPr>
              <w:fldChar w:fldCharType="separate"/>
            </w:r>
            <w:r>
              <w:rPr>
                <w:noProof/>
                <w:webHidden/>
              </w:rPr>
              <w:t>46</w:t>
            </w:r>
            <w:r>
              <w:rPr>
                <w:noProof/>
                <w:webHidden/>
              </w:rPr>
              <w:fldChar w:fldCharType="end"/>
            </w:r>
          </w:hyperlink>
        </w:p>
        <w:p w:rsidR="00D5639B" w:rsidRDefault="00D5639B" w14:paraId="6FE27263" w14:textId="08AF050A">
          <w:pPr>
            <w:pStyle w:val="TOC2"/>
            <w:rPr>
              <w:rFonts w:asciiTheme="minorHAnsi" w:hAnsiTheme="minorHAnsi" w:eastAsiaTheme="minorEastAsia"/>
              <w:noProof/>
              <w:kern w:val="2"/>
              <w:sz w:val="24"/>
              <w:szCs w:val="24"/>
              <w14:ligatures w14:val="standardContextual"/>
            </w:rPr>
          </w:pPr>
          <w:hyperlink w:history="1" w:anchor="_Toc227451399">
            <w:r w:rsidRPr="00F10278">
              <w:rPr>
                <w:rStyle w:val="Hyperlink"/>
                <w:rFonts w:cs="Arial"/>
                <w:caps/>
                <w:noProof/>
                <w:specVanish/>
              </w:rPr>
              <w:t>12.1</w:t>
            </w:r>
            <w:r>
              <w:rPr>
                <w:rFonts w:asciiTheme="minorHAnsi" w:hAnsiTheme="minorHAnsi" w:eastAsiaTheme="minorEastAsia"/>
                <w:noProof/>
                <w:kern w:val="2"/>
                <w:sz w:val="24"/>
                <w:szCs w:val="24"/>
                <w14:ligatures w14:val="standardContextual"/>
              </w:rPr>
              <w:tab/>
            </w:r>
            <w:r w:rsidRPr="00F10278">
              <w:rPr>
                <w:rStyle w:val="Hyperlink"/>
                <w:rFonts w:cs="Arial"/>
                <w:noProof/>
              </w:rPr>
              <w:t>Energy Dispatch.</w:t>
            </w:r>
            <w:r>
              <w:rPr>
                <w:noProof/>
                <w:webHidden/>
              </w:rPr>
              <w:tab/>
            </w:r>
            <w:r>
              <w:rPr>
                <w:noProof/>
                <w:webHidden/>
              </w:rPr>
              <w:fldChar w:fldCharType="begin"/>
            </w:r>
            <w:r>
              <w:rPr>
                <w:noProof/>
                <w:webHidden/>
              </w:rPr>
              <w:instrText xml:space="preserve"> PAGEREF _Toc227451399 \h </w:instrText>
            </w:r>
            <w:r>
              <w:rPr>
                <w:noProof/>
                <w:webHidden/>
              </w:rPr>
            </w:r>
            <w:r>
              <w:rPr>
                <w:noProof/>
                <w:webHidden/>
              </w:rPr>
              <w:fldChar w:fldCharType="separate"/>
            </w:r>
            <w:r>
              <w:rPr>
                <w:noProof/>
                <w:webHidden/>
              </w:rPr>
              <w:t>46</w:t>
            </w:r>
            <w:r>
              <w:rPr>
                <w:noProof/>
                <w:webHidden/>
              </w:rPr>
              <w:fldChar w:fldCharType="end"/>
            </w:r>
          </w:hyperlink>
        </w:p>
        <w:p w:rsidR="00D5639B" w:rsidRDefault="00D5639B" w14:paraId="5D4B2E55" w14:textId="4FA7E3AB">
          <w:pPr>
            <w:pStyle w:val="TOC2"/>
            <w:rPr>
              <w:rFonts w:asciiTheme="minorHAnsi" w:hAnsiTheme="minorHAnsi" w:eastAsiaTheme="minorEastAsia"/>
              <w:noProof/>
              <w:kern w:val="2"/>
              <w:sz w:val="24"/>
              <w:szCs w:val="24"/>
              <w14:ligatures w14:val="standardContextual"/>
            </w:rPr>
          </w:pPr>
          <w:hyperlink w:history="1" w:anchor="_Toc227451400">
            <w:r w:rsidRPr="00F10278">
              <w:rPr>
                <w:rStyle w:val="Hyperlink"/>
                <w:rFonts w:cs="Arial"/>
                <w:caps/>
                <w:noProof/>
                <w:specVanish/>
              </w:rPr>
              <w:t>12.2</w:t>
            </w:r>
            <w:r>
              <w:rPr>
                <w:rFonts w:asciiTheme="minorHAnsi" w:hAnsiTheme="minorHAnsi" w:eastAsiaTheme="minorEastAsia"/>
                <w:noProof/>
                <w:kern w:val="2"/>
                <w:sz w:val="24"/>
                <w:szCs w:val="24"/>
                <w14:ligatures w14:val="standardContextual"/>
              </w:rPr>
              <w:tab/>
            </w:r>
            <w:r w:rsidRPr="00F10278">
              <w:rPr>
                <w:rStyle w:val="Hyperlink"/>
                <w:rFonts w:cs="Arial"/>
                <w:noProof/>
              </w:rPr>
              <w:t>Coordination and Dispatch.</w:t>
            </w:r>
            <w:r>
              <w:rPr>
                <w:noProof/>
                <w:webHidden/>
              </w:rPr>
              <w:tab/>
            </w:r>
            <w:r>
              <w:rPr>
                <w:noProof/>
                <w:webHidden/>
              </w:rPr>
              <w:fldChar w:fldCharType="begin"/>
            </w:r>
            <w:r>
              <w:rPr>
                <w:noProof/>
                <w:webHidden/>
              </w:rPr>
              <w:instrText xml:space="preserve"> PAGEREF _Toc227451400 \h </w:instrText>
            </w:r>
            <w:r>
              <w:rPr>
                <w:noProof/>
                <w:webHidden/>
              </w:rPr>
            </w:r>
            <w:r>
              <w:rPr>
                <w:noProof/>
                <w:webHidden/>
              </w:rPr>
              <w:fldChar w:fldCharType="separate"/>
            </w:r>
            <w:r>
              <w:rPr>
                <w:noProof/>
                <w:webHidden/>
              </w:rPr>
              <w:t>47</w:t>
            </w:r>
            <w:r>
              <w:rPr>
                <w:noProof/>
                <w:webHidden/>
              </w:rPr>
              <w:fldChar w:fldCharType="end"/>
            </w:r>
          </w:hyperlink>
        </w:p>
        <w:p w:rsidR="00D5639B" w:rsidRDefault="00D5639B" w14:paraId="283D6226" w14:textId="09DD0FC8">
          <w:pPr>
            <w:pStyle w:val="TOC2"/>
            <w:rPr>
              <w:rFonts w:asciiTheme="minorHAnsi" w:hAnsiTheme="minorHAnsi" w:eastAsiaTheme="minorEastAsia"/>
              <w:noProof/>
              <w:kern w:val="2"/>
              <w:sz w:val="24"/>
              <w:szCs w:val="24"/>
              <w14:ligatures w14:val="standardContextual"/>
            </w:rPr>
          </w:pPr>
          <w:hyperlink w:history="1" w:anchor="_Toc227451401">
            <w:r w:rsidRPr="00F10278">
              <w:rPr>
                <w:rStyle w:val="Hyperlink"/>
                <w:rFonts w:cs="Arial"/>
                <w:caps/>
                <w:noProof/>
                <w:specVanish/>
              </w:rPr>
              <w:t>12.3</w:t>
            </w:r>
            <w:r>
              <w:rPr>
                <w:rFonts w:asciiTheme="minorHAnsi" w:hAnsiTheme="minorHAnsi" w:eastAsiaTheme="minorEastAsia"/>
                <w:noProof/>
                <w:kern w:val="2"/>
                <w:sz w:val="24"/>
                <w:szCs w:val="24"/>
                <w14:ligatures w14:val="standardContextual"/>
              </w:rPr>
              <w:tab/>
            </w:r>
            <w:r w:rsidRPr="00F10278">
              <w:rPr>
                <w:rStyle w:val="Hyperlink"/>
                <w:rFonts w:cs="Arial"/>
                <w:noProof/>
              </w:rPr>
              <w:t>Effect of Grid Emergencies.</w:t>
            </w:r>
            <w:r>
              <w:rPr>
                <w:noProof/>
                <w:webHidden/>
              </w:rPr>
              <w:tab/>
            </w:r>
            <w:r>
              <w:rPr>
                <w:noProof/>
                <w:webHidden/>
              </w:rPr>
              <w:fldChar w:fldCharType="begin"/>
            </w:r>
            <w:r>
              <w:rPr>
                <w:noProof/>
                <w:webHidden/>
              </w:rPr>
              <w:instrText xml:space="preserve"> PAGEREF _Toc227451401 \h </w:instrText>
            </w:r>
            <w:r>
              <w:rPr>
                <w:noProof/>
                <w:webHidden/>
              </w:rPr>
            </w:r>
            <w:r>
              <w:rPr>
                <w:noProof/>
                <w:webHidden/>
              </w:rPr>
              <w:fldChar w:fldCharType="separate"/>
            </w:r>
            <w:r>
              <w:rPr>
                <w:noProof/>
                <w:webHidden/>
              </w:rPr>
              <w:t>47</w:t>
            </w:r>
            <w:r>
              <w:rPr>
                <w:noProof/>
                <w:webHidden/>
              </w:rPr>
              <w:fldChar w:fldCharType="end"/>
            </w:r>
          </w:hyperlink>
        </w:p>
        <w:p w:rsidR="00D5639B" w:rsidRDefault="00D5639B" w14:paraId="55EB1B87" w14:textId="748A1854">
          <w:pPr>
            <w:pStyle w:val="TOC2"/>
            <w:rPr>
              <w:rFonts w:asciiTheme="minorHAnsi" w:hAnsiTheme="minorHAnsi" w:eastAsiaTheme="minorEastAsia"/>
              <w:noProof/>
              <w:kern w:val="2"/>
              <w:sz w:val="24"/>
              <w:szCs w:val="24"/>
              <w14:ligatures w14:val="standardContextual"/>
            </w:rPr>
          </w:pPr>
          <w:hyperlink w:history="1" w:anchor="_Toc227451402">
            <w:r w:rsidRPr="00F10278">
              <w:rPr>
                <w:rStyle w:val="Hyperlink"/>
                <w:rFonts w:cs="Arial"/>
                <w:caps/>
                <w:noProof/>
                <w:specVanish/>
              </w:rPr>
              <w:t>12.4</w:t>
            </w:r>
            <w:r>
              <w:rPr>
                <w:rFonts w:asciiTheme="minorHAnsi" w:hAnsiTheme="minorHAnsi" w:eastAsiaTheme="minorEastAsia"/>
                <w:noProof/>
                <w:kern w:val="2"/>
                <w:sz w:val="24"/>
                <w:szCs w:val="24"/>
                <w14:ligatures w14:val="standardContextual"/>
              </w:rPr>
              <w:tab/>
            </w:r>
            <w:r w:rsidRPr="00F10278">
              <w:rPr>
                <w:rStyle w:val="Hyperlink"/>
                <w:rFonts w:cs="Arial"/>
                <w:noProof/>
              </w:rPr>
              <w:t>Effect of Insufficient Capability in the Transmission System.</w:t>
            </w:r>
            <w:r>
              <w:rPr>
                <w:noProof/>
                <w:webHidden/>
              </w:rPr>
              <w:tab/>
            </w:r>
            <w:r>
              <w:rPr>
                <w:noProof/>
                <w:webHidden/>
              </w:rPr>
              <w:fldChar w:fldCharType="begin"/>
            </w:r>
            <w:r>
              <w:rPr>
                <w:noProof/>
                <w:webHidden/>
              </w:rPr>
              <w:instrText xml:space="preserve"> PAGEREF _Toc227451402 \h </w:instrText>
            </w:r>
            <w:r>
              <w:rPr>
                <w:noProof/>
                <w:webHidden/>
              </w:rPr>
            </w:r>
            <w:r>
              <w:rPr>
                <w:noProof/>
                <w:webHidden/>
              </w:rPr>
              <w:fldChar w:fldCharType="separate"/>
            </w:r>
            <w:r>
              <w:rPr>
                <w:noProof/>
                <w:webHidden/>
              </w:rPr>
              <w:t>47</w:t>
            </w:r>
            <w:r>
              <w:rPr>
                <w:noProof/>
                <w:webHidden/>
              </w:rPr>
              <w:fldChar w:fldCharType="end"/>
            </w:r>
          </w:hyperlink>
        </w:p>
        <w:p w:rsidR="00D5639B" w:rsidRDefault="00D5639B" w14:paraId="378BEE13" w14:textId="1AB79353">
          <w:pPr>
            <w:pStyle w:val="TOC1"/>
            <w:rPr>
              <w:rFonts w:asciiTheme="minorHAnsi" w:hAnsiTheme="minorHAnsi" w:eastAsiaTheme="minorEastAsia" w:cstheme="minorBidi"/>
              <w:b w:val="0"/>
              <w:caps w:val="0"/>
              <w:noProof/>
              <w:kern w:val="2"/>
              <w:sz w:val="24"/>
              <w:szCs w:val="24"/>
              <w14:ligatures w14:val="standardContextual"/>
            </w:rPr>
          </w:pPr>
          <w:hyperlink w:history="1" w:anchor="_Toc227451403">
            <w:r w:rsidRPr="00F10278">
              <w:rPr>
                <w:rStyle w:val="Hyperlink"/>
                <w:noProof/>
              </w:rPr>
              <w:t>Part 13</w:t>
            </w:r>
            <w:r>
              <w:rPr>
                <w:rFonts w:asciiTheme="minorHAnsi" w:hAnsiTheme="minorHAnsi" w:eastAsiaTheme="minorEastAsia" w:cstheme="minorBidi"/>
                <w:b w:val="0"/>
                <w:caps w:val="0"/>
                <w:noProof/>
                <w:kern w:val="2"/>
                <w:sz w:val="24"/>
                <w:szCs w:val="24"/>
                <w14:ligatures w14:val="standardContextual"/>
              </w:rPr>
              <w:tab/>
            </w:r>
            <w:r w:rsidRPr="00F10278">
              <w:rPr>
                <w:rStyle w:val="Hyperlink"/>
                <w:noProof/>
              </w:rPr>
              <w:t>Insurance</w:t>
            </w:r>
            <w:r>
              <w:rPr>
                <w:noProof/>
                <w:webHidden/>
              </w:rPr>
              <w:tab/>
            </w:r>
            <w:r>
              <w:rPr>
                <w:noProof/>
                <w:webHidden/>
              </w:rPr>
              <w:fldChar w:fldCharType="begin"/>
            </w:r>
            <w:r>
              <w:rPr>
                <w:noProof/>
                <w:webHidden/>
              </w:rPr>
              <w:instrText xml:space="preserve"> PAGEREF _Toc227451403 \h </w:instrText>
            </w:r>
            <w:r>
              <w:rPr>
                <w:noProof/>
                <w:webHidden/>
              </w:rPr>
            </w:r>
            <w:r>
              <w:rPr>
                <w:noProof/>
                <w:webHidden/>
              </w:rPr>
              <w:fldChar w:fldCharType="separate"/>
            </w:r>
            <w:r>
              <w:rPr>
                <w:noProof/>
                <w:webHidden/>
              </w:rPr>
              <w:t>47</w:t>
            </w:r>
            <w:r>
              <w:rPr>
                <w:noProof/>
                <w:webHidden/>
              </w:rPr>
              <w:fldChar w:fldCharType="end"/>
            </w:r>
          </w:hyperlink>
        </w:p>
        <w:p w:rsidR="00D5639B" w:rsidRDefault="00D5639B" w14:paraId="0E391530" w14:textId="5DB78D6F">
          <w:pPr>
            <w:pStyle w:val="TOC2"/>
            <w:rPr>
              <w:rFonts w:asciiTheme="minorHAnsi" w:hAnsiTheme="minorHAnsi" w:eastAsiaTheme="minorEastAsia"/>
              <w:noProof/>
              <w:kern w:val="2"/>
              <w:sz w:val="24"/>
              <w:szCs w:val="24"/>
              <w14:ligatures w14:val="standardContextual"/>
            </w:rPr>
          </w:pPr>
          <w:hyperlink w:history="1" w:anchor="_Toc227451404">
            <w:r w:rsidRPr="00F10278">
              <w:rPr>
                <w:rStyle w:val="Hyperlink"/>
                <w:rFonts w:cs="Arial"/>
                <w:caps/>
                <w:noProof/>
                <w:specVanish/>
              </w:rPr>
              <w:t>13.1</w:t>
            </w:r>
            <w:r>
              <w:rPr>
                <w:rFonts w:asciiTheme="minorHAnsi" w:hAnsiTheme="minorHAnsi" w:eastAsiaTheme="minorEastAsia"/>
                <w:noProof/>
                <w:kern w:val="2"/>
                <w:sz w:val="24"/>
                <w:szCs w:val="24"/>
                <w14:ligatures w14:val="standardContextual"/>
              </w:rPr>
              <w:tab/>
            </w:r>
            <w:r w:rsidRPr="00F10278">
              <w:rPr>
                <w:rStyle w:val="Hyperlink"/>
                <w:rFonts w:cs="Arial"/>
                <w:noProof/>
              </w:rPr>
              <w:t>Insurance Required of Seller.</w:t>
            </w:r>
            <w:r>
              <w:rPr>
                <w:noProof/>
                <w:webHidden/>
              </w:rPr>
              <w:tab/>
            </w:r>
            <w:r>
              <w:rPr>
                <w:noProof/>
                <w:webHidden/>
              </w:rPr>
              <w:fldChar w:fldCharType="begin"/>
            </w:r>
            <w:r>
              <w:rPr>
                <w:noProof/>
                <w:webHidden/>
              </w:rPr>
              <w:instrText xml:space="preserve"> PAGEREF _Toc227451404 \h </w:instrText>
            </w:r>
            <w:r>
              <w:rPr>
                <w:noProof/>
                <w:webHidden/>
              </w:rPr>
            </w:r>
            <w:r>
              <w:rPr>
                <w:noProof/>
                <w:webHidden/>
              </w:rPr>
              <w:fldChar w:fldCharType="separate"/>
            </w:r>
            <w:r>
              <w:rPr>
                <w:noProof/>
                <w:webHidden/>
              </w:rPr>
              <w:t>47</w:t>
            </w:r>
            <w:r>
              <w:rPr>
                <w:noProof/>
                <w:webHidden/>
              </w:rPr>
              <w:fldChar w:fldCharType="end"/>
            </w:r>
          </w:hyperlink>
        </w:p>
        <w:p w:rsidR="00D5639B" w:rsidRDefault="00D5639B" w14:paraId="3EEE9473" w14:textId="22B8034A">
          <w:pPr>
            <w:pStyle w:val="TOC2"/>
            <w:rPr>
              <w:rFonts w:asciiTheme="minorHAnsi" w:hAnsiTheme="minorHAnsi" w:eastAsiaTheme="minorEastAsia"/>
              <w:noProof/>
              <w:kern w:val="2"/>
              <w:sz w:val="24"/>
              <w:szCs w:val="24"/>
              <w14:ligatures w14:val="standardContextual"/>
            </w:rPr>
          </w:pPr>
          <w:hyperlink w:history="1" w:anchor="_Toc227451405">
            <w:r w:rsidRPr="00F10278">
              <w:rPr>
                <w:rStyle w:val="Hyperlink"/>
                <w:rFonts w:cs="Arial"/>
                <w:caps/>
                <w:noProof/>
                <w:specVanish/>
              </w:rPr>
              <w:t>13.2</w:t>
            </w:r>
            <w:r>
              <w:rPr>
                <w:rFonts w:asciiTheme="minorHAnsi" w:hAnsiTheme="minorHAnsi" w:eastAsiaTheme="minorEastAsia"/>
                <w:noProof/>
                <w:kern w:val="2"/>
                <w:sz w:val="24"/>
                <w:szCs w:val="24"/>
                <w14:ligatures w14:val="standardContextual"/>
              </w:rPr>
              <w:tab/>
            </w:r>
            <w:r w:rsidRPr="00F10278">
              <w:rPr>
                <w:rStyle w:val="Hyperlink"/>
                <w:rFonts w:cs="Arial"/>
                <w:noProof/>
              </w:rPr>
              <w:t>Proof of Insurance.</w:t>
            </w:r>
            <w:r>
              <w:rPr>
                <w:noProof/>
                <w:webHidden/>
              </w:rPr>
              <w:tab/>
            </w:r>
            <w:r>
              <w:rPr>
                <w:noProof/>
                <w:webHidden/>
              </w:rPr>
              <w:fldChar w:fldCharType="begin"/>
            </w:r>
            <w:r>
              <w:rPr>
                <w:noProof/>
                <w:webHidden/>
              </w:rPr>
              <w:instrText xml:space="preserve"> PAGEREF _Toc227451405 \h </w:instrText>
            </w:r>
            <w:r>
              <w:rPr>
                <w:noProof/>
                <w:webHidden/>
              </w:rPr>
            </w:r>
            <w:r>
              <w:rPr>
                <w:noProof/>
                <w:webHidden/>
              </w:rPr>
              <w:fldChar w:fldCharType="separate"/>
            </w:r>
            <w:r>
              <w:rPr>
                <w:noProof/>
                <w:webHidden/>
              </w:rPr>
              <w:t>47</w:t>
            </w:r>
            <w:r>
              <w:rPr>
                <w:noProof/>
                <w:webHidden/>
              </w:rPr>
              <w:fldChar w:fldCharType="end"/>
            </w:r>
          </w:hyperlink>
        </w:p>
        <w:p w:rsidR="00D5639B" w:rsidRDefault="00D5639B" w14:paraId="61C1DA97" w14:textId="595D1F30">
          <w:pPr>
            <w:pStyle w:val="TOC2"/>
            <w:rPr>
              <w:rFonts w:asciiTheme="minorHAnsi" w:hAnsiTheme="minorHAnsi" w:eastAsiaTheme="minorEastAsia"/>
              <w:noProof/>
              <w:kern w:val="2"/>
              <w:sz w:val="24"/>
              <w:szCs w:val="24"/>
              <w14:ligatures w14:val="standardContextual"/>
            </w:rPr>
          </w:pPr>
          <w:hyperlink w:history="1" w:anchor="_Toc227451406">
            <w:r w:rsidRPr="00F10278">
              <w:rPr>
                <w:rStyle w:val="Hyperlink"/>
                <w:rFonts w:cs="Arial"/>
                <w:caps/>
                <w:noProof/>
                <w:specVanish/>
              </w:rPr>
              <w:t>13.3</w:t>
            </w:r>
            <w:r>
              <w:rPr>
                <w:rFonts w:asciiTheme="minorHAnsi" w:hAnsiTheme="minorHAnsi" w:eastAsiaTheme="minorEastAsia"/>
                <w:noProof/>
                <w:kern w:val="2"/>
                <w:sz w:val="24"/>
                <w:szCs w:val="24"/>
                <w14:ligatures w14:val="standardContextual"/>
              </w:rPr>
              <w:tab/>
            </w:r>
            <w:r w:rsidRPr="00F10278">
              <w:rPr>
                <w:rStyle w:val="Hyperlink"/>
                <w:rFonts w:cs="Arial"/>
                <w:noProof/>
              </w:rPr>
              <w:t>General Terms.</w:t>
            </w:r>
            <w:r>
              <w:rPr>
                <w:noProof/>
                <w:webHidden/>
              </w:rPr>
              <w:tab/>
            </w:r>
            <w:r>
              <w:rPr>
                <w:noProof/>
                <w:webHidden/>
              </w:rPr>
              <w:fldChar w:fldCharType="begin"/>
            </w:r>
            <w:r>
              <w:rPr>
                <w:noProof/>
                <w:webHidden/>
              </w:rPr>
              <w:instrText xml:space="preserve"> PAGEREF _Toc227451406 \h </w:instrText>
            </w:r>
            <w:r>
              <w:rPr>
                <w:noProof/>
                <w:webHidden/>
              </w:rPr>
            </w:r>
            <w:r>
              <w:rPr>
                <w:noProof/>
                <w:webHidden/>
              </w:rPr>
              <w:fldChar w:fldCharType="separate"/>
            </w:r>
            <w:r>
              <w:rPr>
                <w:noProof/>
                <w:webHidden/>
              </w:rPr>
              <w:t>48</w:t>
            </w:r>
            <w:r>
              <w:rPr>
                <w:noProof/>
                <w:webHidden/>
              </w:rPr>
              <w:fldChar w:fldCharType="end"/>
            </w:r>
          </w:hyperlink>
        </w:p>
        <w:p w:rsidR="00D5639B" w:rsidRDefault="00D5639B" w14:paraId="64EBB263" w14:textId="7A295B9C">
          <w:pPr>
            <w:pStyle w:val="TOC2"/>
            <w:rPr>
              <w:rFonts w:asciiTheme="minorHAnsi" w:hAnsiTheme="minorHAnsi" w:eastAsiaTheme="minorEastAsia"/>
              <w:noProof/>
              <w:kern w:val="2"/>
              <w:sz w:val="24"/>
              <w:szCs w:val="24"/>
              <w14:ligatures w14:val="standardContextual"/>
            </w:rPr>
          </w:pPr>
          <w:hyperlink w:history="1" w:anchor="_Toc227451407">
            <w:r w:rsidRPr="00F10278">
              <w:rPr>
                <w:rStyle w:val="Hyperlink"/>
                <w:rFonts w:cs="Arial"/>
                <w:caps/>
                <w:noProof/>
                <w:specVanish/>
              </w:rPr>
              <w:t>13.4</w:t>
            </w:r>
            <w:r>
              <w:rPr>
                <w:rFonts w:asciiTheme="minorHAnsi" w:hAnsiTheme="minorHAnsi" w:eastAsiaTheme="minorEastAsia"/>
                <w:noProof/>
                <w:kern w:val="2"/>
                <w:sz w:val="24"/>
                <w:szCs w:val="24"/>
                <w14:ligatures w14:val="standardContextual"/>
              </w:rPr>
              <w:tab/>
            </w:r>
            <w:r w:rsidRPr="00F10278">
              <w:rPr>
                <w:rStyle w:val="Hyperlink"/>
                <w:rFonts w:cs="Arial"/>
                <w:noProof/>
              </w:rPr>
              <w:t>Required Insurance.</w:t>
            </w:r>
            <w:r>
              <w:rPr>
                <w:noProof/>
                <w:webHidden/>
              </w:rPr>
              <w:tab/>
            </w:r>
            <w:r>
              <w:rPr>
                <w:noProof/>
                <w:webHidden/>
              </w:rPr>
              <w:fldChar w:fldCharType="begin"/>
            </w:r>
            <w:r>
              <w:rPr>
                <w:noProof/>
                <w:webHidden/>
              </w:rPr>
              <w:instrText xml:space="preserve"> PAGEREF _Toc227451407 \h </w:instrText>
            </w:r>
            <w:r>
              <w:rPr>
                <w:noProof/>
                <w:webHidden/>
              </w:rPr>
            </w:r>
            <w:r>
              <w:rPr>
                <w:noProof/>
                <w:webHidden/>
              </w:rPr>
              <w:fldChar w:fldCharType="separate"/>
            </w:r>
            <w:r>
              <w:rPr>
                <w:noProof/>
                <w:webHidden/>
              </w:rPr>
              <w:t>48</w:t>
            </w:r>
            <w:r>
              <w:rPr>
                <w:noProof/>
                <w:webHidden/>
              </w:rPr>
              <w:fldChar w:fldCharType="end"/>
            </w:r>
          </w:hyperlink>
        </w:p>
        <w:p w:rsidR="00D5639B" w:rsidRDefault="00D5639B" w14:paraId="41277082" w14:textId="36B12616">
          <w:pPr>
            <w:pStyle w:val="TOC2"/>
            <w:rPr>
              <w:rFonts w:asciiTheme="minorHAnsi" w:hAnsiTheme="minorHAnsi" w:eastAsiaTheme="minorEastAsia"/>
              <w:noProof/>
              <w:kern w:val="2"/>
              <w:sz w:val="24"/>
              <w:szCs w:val="24"/>
              <w14:ligatures w14:val="standardContextual"/>
            </w:rPr>
          </w:pPr>
          <w:hyperlink w:history="1" w:anchor="_Toc227451408">
            <w:r w:rsidRPr="00F10278">
              <w:rPr>
                <w:rStyle w:val="Hyperlink"/>
                <w:rFonts w:cs="Arial"/>
                <w:caps/>
                <w:noProof/>
                <w:specVanish/>
              </w:rPr>
              <w:t>13.5</w:t>
            </w:r>
            <w:r>
              <w:rPr>
                <w:rFonts w:asciiTheme="minorHAnsi" w:hAnsiTheme="minorHAnsi" w:eastAsiaTheme="minorEastAsia"/>
                <w:noProof/>
                <w:kern w:val="2"/>
                <w:sz w:val="24"/>
                <w:szCs w:val="24"/>
                <w14:ligatures w14:val="standardContextual"/>
              </w:rPr>
              <w:tab/>
            </w:r>
            <w:r w:rsidRPr="00F10278">
              <w:rPr>
                <w:rStyle w:val="Hyperlink"/>
                <w:rFonts w:cs="Arial"/>
                <w:noProof/>
              </w:rPr>
              <w:t>Notice of Change or Cancellation.</w:t>
            </w:r>
            <w:r>
              <w:rPr>
                <w:noProof/>
                <w:webHidden/>
              </w:rPr>
              <w:tab/>
            </w:r>
            <w:r>
              <w:rPr>
                <w:noProof/>
                <w:webHidden/>
              </w:rPr>
              <w:fldChar w:fldCharType="begin"/>
            </w:r>
            <w:r>
              <w:rPr>
                <w:noProof/>
                <w:webHidden/>
              </w:rPr>
              <w:instrText xml:space="preserve"> PAGEREF _Toc227451408 \h </w:instrText>
            </w:r>
            <w:r>
              <w:rPr>
                <w:noProof/>
                <w:webHidden/>
              </w:rPr>
            </w:r>
            <w:r>
              <w:rPr>
                <w:noProof/>
                <w:webHidden/>
              </w:rPr>
              <w:fldChar w:fldCharType="separate"/>
            </w:r>
            <w:r>
              <w:rPr>
                <w:noProof/>
                <w:webHidden/>
              </w:rPr>
              <w:t>49</w:t>
            </w:r>
            <w:r>
              <w:rPr>
                <w:noProof/>
                <w:webHidden/>
              </w:rPr>
              <w:fldChar w:fldCharType="end"/>
            </w:r>
          </w:hyperlink>
        </w:p>
        <w:p w:rsidR="00D5639B" w:rsidRDefault="00D5639B" w14:paraId="2113FE53" w14:textId="68CFAE02">
          <w:pPr>
            <w:pStyle w:val="TOC2"/>
            <w:rPr>
              <w:rFonts w:asciiTheme="minorHAnsi" w:hAnsiTheme="minorHAnsi" w:eastAsiaTheme="minorEastAsia"/>
              <w:noProof/>
              <w:kern w:val="2"/>
              <w:sz w:val="24"/>
              <w:szCs w:val="24"/>
              <w14:ligatures w14:val="standardContextual"/>
            </w:rPr>
          </w:pPr>
          <w:hyperlink w:history="1" w:anchor="_Toc227451409">
            <w:r w:rsidRPr="00F10278">
              <w:rPr>
                <w:rStyle w:val="Hyperlink"/>
                <w:rFonts w:cs="Arial"/>
                <w:caps/>
                <w:noProof/>
                <w:specVanish/>
              </w:rPr>
              <w:t>13.6</w:t>
            </w:r>
            <w:r>
              <w:rPr>
                <w:rFonts w:asciiTheme="minorHAnsi" w:hAnsiTheme="minorHAnsi" w:eastAsiaTheme="minorEastAsia"/>
                <w:noProof/>
                <w:kern w:val="2"/>
                <w:sz w:val="24"/>
                <w:szCs w:val="24"/>
                <w14:ligatures w14:val="standardContextual"/>
              </w:rPr>
              <w:tab/>
            </w:r>
            <w:r w:rsidRPr="00F10278">
              <w:rPr>
                <w:rStyle w:val="Hyperlink"/>
                <w:rFonts w:cs="Arial"/>
                <w:noProof/>
              </w:rPr>
              <w:t>Payment of Premiums.</w:t>
            </w:r>
            <w:r>
              <w:rPr>
                <w:noProof/>
                <w:webHidden/>
              </w:rPr>
              <w:tab/>
            </w:r>
            <w:r>
              <w:rPr>
                <w:noProof/>
                <w:webHidden/>
              </w:rPr>
              <w:fldChar w:fldCharType="begin"/>
            </w:r>
            <w:r>
              <w:rPr>
                <w:noProof/>
                <w:webHidden/>
              </w:rPr>
              <w:instrText xml:space="preserve"> PAGEREF _Toc227451409 \h </w:instrText>
            </w:r>
            <w:r>
              <w:rPr>
                <w:noProof/>
                <w:webHidden/>
              </w:rPr>
            </w:r>
            <w:r>
              <w:rPr>
                <w:noProof/>
                <w:webHidden/>
              </w:rPr>
              <w:fldChar w:fldCharType="separate"/>
            </w:r>
            <w:r>
              <w:rPr>
                <w:noProof/>
                <w:webHidden/>
              </w:rPr>
              <w:t>49</w:t>
            </w:r>
            <w:r>
              <w:rPr>
                <w:noProof/>
                <w:webHidden/>
              </w:rPr>
              <w:fldChar w:fldCharType="end"/>
            </w:r>
          </w:hyperlink>
        </w:p>
        <w:p w:rsidR="00D5639B" w:rsidRDefault="00D5639B" w14:paraId="17107A7D" w14:textId="54914725">
          <w:pPr>
            <w:pStyle w:val="TOC2"/>
            <w:rPr>
              <w:rFonts w:asciiTheme="minorHAnsi" w:hAnsiTheme="minorHAnsi" w:eastAsiaTheme="minorEastAsia"/>
              <w:noProof/>
              <w:kern w:val="2"/>
              <w:sz w:val="24"/>
              <w:szCs w:val="24"/>
              <w14:ligatures w14:val="standardContextual"/>
            </w:rPr>
          </w:pPr>
          <w:hyperlink w:history="1" w:anchor="_Toc227451410">
            <w:r w:rsidRPr="00F10278">
              <w:rPr>
                <w:rStyle w:val="Hyperlink"/>
                <w:rFonts w:cs="Arial"/>
                <w:caps/>
                <w:noProof/>
                <w:specVanish/>
              </w:rPr>
              <w:t>13.7</w:t>
            </w:r>
            <w:r>
              <w:rPr>
                <w:rFonts w:asciiTheme="minorHAnsi" w:hAnsiTheme="minorHAnsi" w:eastAsiaTheme="minorEastAsia"/>
                <w:noProof/>
                <w:kern w:val="2"/>
                <w:sz w:val="24"/>
                <w:szCs w:val="24"/>
                <w14:ligatures w14:val="standardContextual"/>
              </w:rPr>
              <w:tab/>
            </w:r>
            <w:r w:rsidRPr="00F10278">
              <w:rPr>
                <w:rStyle w:val="Hyperlink"/>
                <w:rFonts w:cs="Arial"/>
                <w:noProof/>
              </w:rPr>
              <w:t>No Waiver of Liability.</w:t>
            </w:r>
            <w:r>
              <w:rPr>
                <w:noProof/>
                <w:webHidden/>
              </w:rPr>
              <w:tab/>
            </w:r>
            <w:r>
              <w:rPr>
                <w:noProof/>
                <w:webHidden/>
              </w:rPr>
              <w:fldChar w:fldCharType="begin"/>
            </w:r>
            <w:r>
              <w:rPr>
                <w:noProof/>
                <w:webHidden/>
              </w:rPr>
              <w:instrText xml:space="preserve"> PAGEREF _Toc227451410 \h </w:instrText>
            </w:r>
            <w:r>
              <w:rPr>
                <w:noProof/>
                <w:webHidden/>
              </w:rPr>
            </w:r>
            <w:r>
              <w:rPr>
                <w:noProof/>
                <w:webHidden/>
              </w:rPr>
              <w:fldChar w:fldCharType="separate"/>
            </w:r>
            <w:r>
              <w:rPr>
                <w:noProof/>
                <w:webHidden/>
              </w:rPr>
              <w:t>49</w:t>
            </w:r>
            <w:r>
              <w:rPr>
                <w:noProof/>
                <w:webHidden/>
              </w:rPr>
              <w:fldChar w:fldCharType="end"/>
            </w:r>
          </w:hyperlink>
        </w:p>
        <w:p w:rsidR="00D5639B" w:rsidRDefault="00D5639B" w14:paraId="6E37DA0F" w14:textId="50481467">
          <w:pPr>
            <w:pStyle w:val="TOC1"/>
            <w:rPr>
              <w:rFonts w:asciiTheme="minorHAnsi" w:hAnsiTheme="minorHAnsi" w:eastAsiaTheme="minorEastAsia" w:cstheme="minorBidi"/>
              <w:b w:val="0"/>
              <w:caps w:val="0"/>
              <w:noProof/>
              <w:kern w:val="2"/>
              <w:sz w:val="24"/>
              <w:szCs w:val="24"/>
              <w14:ligatures w14:val="standardContextual"/>
            </w:rPr>
          </w:pPr>
          <w:hyperlink w:history="1" w:anchor="_Toc227451411">
            <w:r w:rsidRPr="00F10278">
              <w:rPr>
                <w:rStyle w:val="Hyperlink"/>
                <w:noProof/>
              </w:rPr>
              <w:t>Part 14</w:t>
            </w:r>
            <w:r>
              <w:rPr>
                <w:rFonts w:asciiTheme="minorHAnsi" w:hAnsiTheme="minorHAnsi" w:eastAsiaTheme="minorEastAsia" w:cstheme="minorBidi"/>
                <w:b w:val="0"/>
                <w:caps w:val="0"/>
                <w:noProof/>
                <w:kern w:val="2"/>
                <w:sz w:val="24"/>
                <w:szCs w:val="24"/>
                <w14:ligatures w14:val="standardContextual"/>
              </w:rPr>
              <w:tab/>
            </w:r>
            <w:r w:rsidRPr="00F10278">
              <w:rPr>
                <w:rStyle w:val="Hyperlink"/>
                <w:noProof/>
              </w:rPr>
              <w:t>Risk and Claims</w:t>
            </w:r>
            <w:r>
              <w:rPr>
                <w:noProof/>
                <w:webHidden/>
              </w:rPr>
              <w:tab/>
            </w:r>
            <w:r>
              <w:rPr>
                <w:noProof/>
                <w:webHidden/>
              </w:rPr>
              <w:fldChar w:fldCharType="begin"/>
            </w:r>
            <w:r>
              <w:rPr>
                <w:noProof/>
                <w:webHidden/>
              </w:rPr>
              <w:instrText xml:space="preserve"> PAGEREF _Toc227451411 \h </w:instrText>
            </w:r>
            <w:r>
              <w:rPr>
                <w:noProof/>
                <w:webHidden/>
              </w:rPr>
            </w:r>
            <w:r>
              <w:rPr>
                <w:noProof/>
                <w:webHidden/>
              </w:rPr>
              <w:fldChar w:fldCharType="separate"/>
            </w:r>
            <w:r>
              <w:rPr>
                <w:noProof/>
                <w:webHidden/>
              </w:rPr>
              <w:t>49</w:t>
            </w:r>
            <w:r>
              <w:rPr>
                <w:noProof/>
                <w:webHidden/>
              </w:rPr>
              <w:fldChar w:fldCharType="end"/>
            </w:r>
          </w:hyperlink>
        </w:p>
        <w:p w:rsidR="00D5639B" w:rsidRDefault="00D5639B" w14:paraId="6FB56AAE" w14:textId="53A2E23B">
          <w:pPr>
            <w:pStyle w:val="TOC2"/>
            <w:rPr>
              <w:rFonts w:asciiTheme="minorHAnsi" w:hAnsiTheme="minorHAnsi" w:eastAsiaTheme="minorEastAsia"/>
              <w:noProof/>
              <w:kern w:val="2"/>
              <w:sz w:val="24"/>
              <w:szCs w:val="24"/>
              <w14:ligatures w14:val="standardContextual"/>
            </w:rPr>
          </w:pPr>
          <w:hyperlink w:history="1" w:anchor="_Toc227451412">
            <w:r w:rsidRPr="00F10278">
              <w:rPr>
                <w:rStyle w:val="Hyperlink"/>
                <w:rFonts w:cs="Arial"/>
                <w:caps/>
                <w:noProof/>
                <w:specVanish/>
              </w:rPr>
              <w:t>14.1</w:t>
            </w:r>
            <w:r>
              <w:rPr>
                <w:rFonts w:asciiTheme="minorHAnsi" w:hAnsiTheme="minorHAnsi" w:eastAsiaTheme="minorEastAsia"/>
                <w:noProof/>
                <w:kern w:val="2"/>
                <w:sz w:val="24"/>
                <w:szCs w:val="24"/>
                <w14:ligatures w14:val="standardContextual"/>
              </w:rPr>
              <w:tab/>
            </w:r>
            <w:r w:rsidRPr="00F10278">
              <w:rPr>
                <w:rStyle w:val="Hyperlink"/>
                <w:rFonts w:cs="Arial"/>
                <w:noProof/>
              </w:rPr>
              <w:t>Liability for Facility.</w:t>
            </w:r>
            <w:r>
              <w:rPr>
                <w:noProof/>
                <w:webHidden/>
              </w:rPr>
              <w:tab/>
            </w:r>
            <w:r>
              <w:rPr>
                <w:noProof/>
                <w:webHidden/>
              </w:rPr>
              <w:fldChar w:fldCharType="begin"/>
            </w:r>
            <w:r>
              <w:rPr>
                <w:noProof/>
                <w:webHidden/>
              </w:rPr>
              <w:instrText xml:space="preserve"> PAGEREF _Toc227451412 \h </w:instrText>
            </w:r>
            <w:r>
              <w:rPr>
                <w:noProof/>
                <w:webHidden/>
              </w:rPr>
            </w:r>
            <w:r>
              <w:rPr>
                <w:noProof/>
                <w:webHidden/>
              </w:rPr>
              <w:fldChar w:fldCharType="separate"/>
            </w:r>
            <w:r>
              <w:rPr>
                <w:noProof/>
                <w:webHidden/>
              </w:rPr>
              <w:t>49</w:t>
            </w:r>
            <w:r>
              <w:rPr>
                <w:noProof/>
                <w:webHidden/>
              </w:rPr>
              <w:fldChar w:fldCharType="end"/>
            </w:r>
          </w:hyperlink>
        </w:p>
        <w:p w:rsidR="00D5639B" w:rsidRDefault="00D5639B" w14:paraId="1DCA9185" w14:textId="37E46119">
          <w:pPr>
            <w:pStyle w:val="TOC2"/>
            <w:rPr>
              <w:rFonts w:asciiTheme="minorHAnsi" w:hAnsiTheme="minorHAnsi" w:eastAsiaTheme="minorEastAsia"/>
              <w:noProof/>
              <w:kern w:val="2"/>
              <w:sz w:val="24"/>
              <w:szCs w:val="24"/>
              <w14:ligatures w14:val="standardContextual"/>
            </w:rPr>
          </w:pPr>
          <w:hyperlink w:history="1" w:anchor="_Toc227451413">
            <w:r w:rsidRPr="00F10278">
              <w:rPr>
                <w:rStyle w:val="Hyperlink"/>
                <w:rFonts w:cs="Arial"/>
                <w:caps/>
                <w:noProof/>
                <w:specVanish/>
              </w:rPr>
              <w:t>14.2</w:t>
            </w:r>
            <w:r>
              <w:rPr>
                <w:rFonts w:asciiTheme="minorHAnsi" w:hAnsiTheme="minorHAnsi" w:eastAsiaTheme="minorEastAsia"/>
                <w:noProof/>
                <w:kern w:val="2"/>
                <w:sz w:val="24"/>
                <w:szCs w:val="24"/>
                <w14:ligatures w14:val="standardContextual"/>
              </w:rPr>
              <w:tab/>
            </w:r>
            <w:r w:rsidRPr="00F10278">
              <w:rPr>
                <w:rStyle w:val="Hyperlink"/>
                <w:rFonts w:cs="Arial"/>
                <w:noProof/>
              </w:rPr>
              <w:t>No Liability.</w:t>
            </w:r>
            <w:r>
              <w:rPr>
                <w:noProof/>
                <w:webHidden/>
              </w:rPr>
              <w:tab/>
            </w:r>
            <w:r>
              <w:rPr>
                <w:noProof/>
                <w:webHidden/>
              </w:rPr>
              <w:fldChar w:fldCharType="begin"/>
            </w:r>
            <w:r>
              <w:rPr>
                <w:noProof/>
                <w:webHidden/>
              </w:rPr>
              <w:instrText xml:space="preserve"> PAGEREF _Toc227451413 \h </w:instrText>
            </w:r>
            <w:r>
              <w:rPr>
                <w:noProof/>
                <w:webHidden/>
              </w:rPr>
            </w:r>
            <w:r>
              <w:rPr>
                <w:noProof/>
                <w:webHidden/>
              </w:rPr>
              <w:fldChar w:fldCharType="separate"/>
            </w:r>
            <w:r>
              <w:rPr>
                <w:noProof/>
                <w:webHidden/>
              </w:rPr>
              <w:t>49</w:t>
            </w:r>
            <w:r>
              <w:rPr>
                <w:noProof/>
                <w:webHidden/>
              </w:rPr>
              <w:fldChar w:fldCharType="end"/>
            </w:r>
          </w:hyperlink>
        </w:p>
        <w:p w:rsidR="00D5639B" w:rsidRDefault="00D5639B" w14:paraId="7F3D5BFA" w14:textId="416FEA88">
          <w:pPr>
            <w:pStyle w:val="TOC2"/>
            <w:rPr>
              <w:rFonts w:asciiTheme="minorHAnsi" w:hAnsiTheme="minorHAnsi" w:eastAsiaTheme="minorEastAsia"/>
              <w:noProof/>
              <w:kern w:val="2"/>
              <w:sz w:val="24"/>
              <w:szCs w:val="24"/>
              <w14:ligatures w14:val="standardContextual"/>
            </w:rPr>
          </w:pPr>
          <w:hyperlink w:history="1" w:anchor="_Toc227451414">
            <w:r w:rsidRPr="00F10278">
              <w:rPr>
                <w:rStyle w:val="Hyperlink"/>
                <w:caps/>
                <w:noProof/>
                <w:specVanish/>
              </w:rPr>
              <w:t>14.3</w:t>
            </w:r>
            <w:r>
              <w:rPr>
                <w:rFonts w:asciiTheme="minorHAnsi" w:hAnsiTheme="minorHAnsi" w:eastAsiaTheme="minorEastAsia"/>
                <w:noProof/>
                <w:kern w:val="2"/>
                <w:sz w:val="24"/>
                <w:szCs w:val="24"/>
                <w14:ligatures w14:val="standardContextual"/>
              </w:rPr>
              <w:tab/>
            </w:r>
            <w:r w:rsidRPr="00F10278">
              <w:rPr>
                <w:rStyle w:val="Hyperlink"/>
                <w:noProof/>
              </w:rPr>
              <w:t>Scope of Indemnity.</w:t>
            </w:r>
            <w:r>
              <w:rPr>
                <w:noProof/>
                <w:webHidden/>
              </w:rPr>
              <w:tab/>
            </w:r>
            <w:r>
              <w:rPr>
                <w:noProof/>
                <w:webHidden/>
              </w:rPr>
              <w:fldChar w:fldCharType="begin"/>
            </w:r>
            <w:r>
              <w:rPr>
                <w:noProof/>
                <w:webHidden/>
              </w:rPr>
              <w:instrText xml:space="preserve"> PAGEREF _Toc227451414 \h </w:instrText>
            </w:r>
            <w:r>
              <w:rPr>
                <w:noProof/>
                <w:webHidden/>
              </w:rPr>
            </w:r>
            <w:r>
              <w:rPr>
                <w:noProof/>
                <w:webHidden/>
              </w:rPr>
              <w:fldChar w:fldCharType="separate"/>
            </w:r>
            <w:r>
              <w:rPr>
                <w:noProof/>
                <w:webHidden/>
              </w:rPr>
              <w:t>49</w:t>
            </w:r>
            <w:r>
              <w:rPr>
                <w:noProof/>
                <w:webHidden/>
              </w:rPr>
              <w:fldChar w:fldCharType="end"/>
            </w:r>
          </w:hyperlink>
        </w:p>
        <w:p w:rsidR="00D5639B" w:rsidRDefault="00D5639B" w14:paraId="6FFE7CA7" w14:textId="79BF803F">
          <w:pPr>
            <w:pStyle w:val="TOC2"/>
            <w:rPr>
              <w:rFonts w:asciiTheme="minorHAnsi" w:hAnsiTheme="minorHAnsi" w:eastAsiaTheme="minorEastAsia"/>
              <w:noProof/>
              <w:kern w:val="2"/>
              <w:sz w:val="24"/>
              <w:szCs w:val="24"/>
              <w14:ligatures w14:val="standardContextual"/>
            </w:rPr>
          </w:pPr>
          <w:hyperlink w:history="1" w:anchor="_Toc227451415">
            <w:r w:rsidRPr="00F10278">
              <w:rPr>
                <w:rStyle w:val="Hyperlink"/>
                <w:rFonts w:cs="Arial"/>
                <w:caps/>
                <w:noProof/>
                <w:specVanish/>
              </w:rPr>
              <w:t>14.4</w:t>
            </w:r>
            <w:r>
              <w:rPr>
                <w:rFonts w:asciiTheme="minorHAnsi" w:hAnsiTheme="minorHAnsi" w:eastAsiaTheme="minorEastAsia"/>
                <w:noProof/>
                <w:kern w:val="2"/>
                <w:sz w:val="24"/>
                <w:szCs w:val="24"/>
                <w14:ligatures w14:val="standardContextual"/>
              </w:rPr>
              <w:tab/>
            </w:r>
            <w:r w:rsidRPr="00F10278">
              <w:rPr>
                <w:rStyle w:val="Hyperlink"/>
                <w:rFonts w:cs="Arial"/>
                <w:noProof/>
              </w:rPr>
              <w:t>Survival.</w:t>
            </w:r>
            <w:r>
              <w:rPr>
                <w:noProof/>
                <w:webHidden/>
              </w:rPr>
              <w:tab/>
            </w:r>
            <w:r>
              <w:rPr>
                <w:noProof/>
                <w:webHidden/>
              </w:rPr>
              <w:fldChar w:fldCharType="begin"/>
            </w:r>
            <w:r>
              <w:rPr>
                <w:noProof/>
                <w:webHidden/>
              </w:rPr>
              <w:instrText xml:space="preserve"> PAGEREF _Toc227451415 \h </w:instrText>
            </w:r>
            <w:r>
              <w:rPr>
                <w:noProof/>
                <w:webHidden/>
              </w:rPr>
            </w:r>
            <w:r>
              <w:rPr>
                <w:noProof/>
                <w:webHidden/>
              </w:rPr>
              <w:fldChar w:fldCharType="separate"/>
            </w:r>
            <w:r>
              <w:rPr>
                <w:noProof/>
                <w:webHidden/>
              </w:rPr>
              <w:t>50</w:t>
            </w:r>
            <w:r>
              <w:rPr>
                <w:noProof/>
                <w:webHidden/>
              </w:rPr>
              <w:fldChar w:fldCharType="end"/>
            </w:r>
          </w:hyperlink>
        </w:p>
        <w:p w:rsidR="00D5639B" w:rsidRDefault="00D5639B" w14:paraId="1101162C" w14:textId="40E14534">
          <w:pPr>
            <w:pStyle w:val="TOC1"/>
            <w:rPr>
              <w:rFonts w:asciiTheme="minorHAnsi" w:hAnsiTheme="minorHAnsi" w:eastAsiaTheme="minorEastAsia" w:cstheme="minorBidi"/>
              <w:b w:val="0"/>
              <w:caps w:val="0"/>
              <w:noProof/>
              <w:kern w:val="2"/>
              <w:sz w:val="24"/>
              <w:szCs w:val="24"/>
              <w14:ligatures w14:val="standardContextual"/>
            </w:rPr>
          </w:pPr>
          <w:hyperlink w:history="1" w:anchor="_Toc227451416">
            <w:r w:rsidRPr="00F10278">
              <w:rPr>
                <w:rStyle w:val="Hyperlink"/>
                <w:noProof/>
              </w:rPr>
              <w:t>Part 15</w:t>
            </w:r>
            <w:r>
              <w:rPr>
                <w:rFonts w:asciiTheme="minorHAnsi" w:hAnsiTheme="minorHAnsi" w:eastAsiaTheme="minorEastAsia" w:cstheme="minorBidi"/>
                <w:b w:val="0"/>
                <w:caps w:val="0"/>
                <w:noProof/>
                <w:kern w:val="2"/>
                <w:sz w:val="24"/>
                <w:szCs w:val="24"/>
                <w14:ligatures w14:val="standardContextual"/>
              </w:rPr>
              <w:tab/>
            </w:r>
            <w:r w:rsidRPr="00F10278">
              <w:rPr>
                <w:rStyle w:val="Hyperlink"/>
                <w:noProof/>
              </w:rPr>
              <w:t>Force Majeure</w:t>
            </w:r>
            <w:r>
              <w:rPr>
                <w:noProof/>
                <w:webHidden/>
              </w:rPr>
              <w:tab/>
            </w:r>
            <w:r>
              <w:rPr>
                <w:noProof/>
                <w:webHidden/>
              </w:rPr>
              <w:fldChar w:fldCharType="begin"/>
            </w:r>
            <w:r>
              <w:rPr>
                <w:noProof/>
                <w:webHidden/>
              </w:rPr>
              <w:instrText xml:space="preserve"> PAGEREF _Toc227451416 \h </w:instrText>
            </w:r>
            <w:r>
              <w:rPr>
                <w:noProof/>
                <w:webHidden/>
              </w:rPr>
            </w:r>
            <w:r>
              <w:rPr>
                <w:noProof/>
                <w:webHidden/>
              </w:rPr>
              <w:fldChar w:fldCharType="separate"/>
            </w:r>
            <w:r>
              <w:rPr>
                <w:noProof/>
                <w:webHidden/>
              </w:rPr>
              <w:t>50</w:t>
            </w:r>
            <w:r>
              <w:rPr>
                <w:noProof/>
                <w:webHidden/>
              </w:rPr>
              <w:fldChar w:fldCharType="end"/>
            </w:r>
          </w:hyperlink>
        </w:p>
        <w:p w:rsidR="00D5639B" w:rsidRDefault="00D5639B" w14:paraId="71BC4111" w14:textId="3F772598">
          <w:pPr>
            <w:pStyle w:val="TOC2"/>
            <w:rPr>
              <w:rFonts w:asciiTheme="minorHAnsi" w:hAnsiTheme="minorHAnsi" w:eastAsiaTheme="minorEastAsia"/>
              <w:noProof/>
              <w:kern w:val="2"/>
              <w:sz w:val="24"/>
              <w:szCs w:val="24"/>
              <w14:ligatures w14:val="standardContextual"/>
            </w:rPr>
          </w:pPr>
          <w:hyperlink w:history="1" w:anchor="_Toc227451417">
            <w:r w:rsidRPr="00F10278">
              <w:rPr>
                <w:rStyle w:val="Hyperlink"/>
                <w:rFonts w:cs="Arial"/>
                <w:caps/>
                <w:noProof/>
                <w:specVanish/>
              </w:rPr>
              <w:t>15.1</w:t>
            </w:r>
            <w:r>
              <w:rPr>
                <w:rFonts w:asciiTheme="minorHAnsi" w:hAnsiTheme="minorHAnsi" w:eastAsiaTheme="minorEastAsia"/>
                <w:noProof/>
                <w:kern w:val="2"/>
                <w:sz w:val="24"/>
                <w:szCs w:val="24"/>
                <w14:ligatures w14:val="standardContextual"/>
              </w:rPr>
              <w:tab/>
            </w:r>
            <w:r w:rsidRPr="00F10278">
              <w:rPr>
                <w:rStyle w:val="Hyperlink"/>
                <w:rFonts w:cs="Arial"/>
                <w:noProof/>
              </w:rPr>
              <w:t>Definition of Force Majeure Event.</w:t>
            </w:r>
            <w:r>
              <w:rPr>
                <w:noProof/>
                <w:webHidden/>
              </w:rPr>
              <w:tab/>
            </w:r>
            <w:r>
              <w:rPr>
                <w:noProof/>
                <w:webHidden/>
              </w:rPr>
              <w:fldChar w:fldCharType="begin"/>
            </w:r>
            <w:r>
              <w:rPr>
                <w:noProof/>
                <w:webHidden/>
              </w:rPr>
              <w:instrText xml:space="preserve"> PAGEREF _Toc227451417 \h </w:instrText>
            </w:r>
            <w:r>
              <w:rPr>
                <w:noProof/>
                <w:webHidden/>
              </w:rPr>
            </w:r>
            <w:r>
              <w:rPr>
                <w:noProof/>
                <w:webHidden/>
              </w:rPr>
              <w:fldChar w:fldCharType="separate"/>
            </w:r>
            <w:r>
              <w:rPr>
                <w:noProof/>
                <w:webHidden/>
              </w:rPr>
              <w:t>50</w:t>
            </w:r>
            <w:r>
              <w:rPr>
                <w:noProof/>
                <w:webHidden/>
              </w:rPr>
              <w:fldChar w:fldCharType="end"/>
            </w:r>
          </w:hyperlink>
        </w:p>
        <w:p w:rsidR="00D5639B" w:rsidRDefault="00D5639B" w14:paraId="5E191406" w14:textId="27E5EE10">
          <w:pPr>
            <w:pStyle w:val="TOC2"/>
            <w:rPr>
              <w:rFonts w:asciiTheme="minorHAnsi" w:hAnsiTheme="minorHAnsi" w:eastAsiaTheme="minorEastAsia"/>
              <w:noProof/>
              <w:kern w:val="2"/>
              <w:sz w:val="24"/>
              <w:szCs w:val="24"/>
              <w14:ligatures w14:val="standardContextual"/>
            </w:rPr>
          </w:pPr>
          <w:hyperlink w:history="1" w:anchor="_Toc227451418">
            <w:r w:rsidRPr="00F10278">
              <w:rPr>
                <w:rStyle w:val="Hyperlink"/>
                <w:rFonts w:cs="Arial"/>
                <w:caps/>
                <w:noProof/>
                <w:specVanish/>
              </w:rPr>
              <w:t>15.2</w:t>
            </w:r>
            <w:r>
              <w:rPr>
                <w:rFonts w:asciiTheme="minorHAnsi" w:hAnsiTheme="minorHAnsi" w:eastAsiaTheme="minorEastAsia"/>
                <w:noProof/>
                <w:kern w:val="2"/>
                <w:sz w:val="24"/>
                <w:szCs w:val="24"/>
                <w14:ligatures w14:val="standardContextual"/>
              </w:rPr>
              <w:tab/>
            </w:r>
            <w:r w:rsidRPr="00F10278">
              <w:rPr>
                <w:rStyle w:val="Hyperlink"/>
                <w:rFonts w:cs="Arial"/>
                <w:noProof/>
              </w:rPr>
              <w:t>Force Majeure Exclusions.</w:t>
            </w:r>
            <w:r>
              <w:rPr>
                <w:noProof/>
                <w:webHidden/>
              </w:rPr>
              <w:tab/>
            </w:r>
            <w:r>
              <w:rPr>
                <w:noProof/>
                <w:webHidden/>
              </w:rPr>
              <w:fldChar w:fldCharType="begin"/>
            </w:r>
            <w:r>
              <w:rPr>
                <w:noProof/>
                <w:webHidden/>
              </w:rPr>
              <w:instrText xml:space="preserve"> PAGEREF _Toc227451418 \h </w:instrText>
            </w:r>
            <w:r>
              <w:rPr>
                <w:noProof/>
                <w:webHidden/>
              </w:rPr>
            </w:r>
            <w:r>
              <w:rPr>
                <w:noProof/>
                <w:webHidden/>
              </w:rPr>
              <w:fldChar w:fldCharType="separate"/>
            </w:r>
            <w:r>
              <w:rPr>
                <w:noProof/>
                <w:webHidden/>
              </w:rPr>
              <w:t>50</w:t>
            </w:r>
            <w:r>
              <w:rPr>
                <w:noProof/>
                <w:webHidden/>
              </w:rPr>
              <w:fldChar w:fldCharType="end"/>
            </w:r>
          </w:hyperlink>
        </w:p>
        <w:p w:rsidR="00D5639B" w:rsidRDefault="00D5639B" w14:paraId="032204EC" w14:textId="5453F25F">
          <w:pPr>
            <w:pStyle w:val="TOC2"/>
            <w:rPr>
              <w:rFonts w:asciiTheme="minorHAnsi" w:hAnsiTheme="minorHAnsi" w:eastAsiaTheme="minorEastAsia"/>
              <w:noProof/>
              <w:kern w:val="2"/>
              <w:sz w:val="24"/>
              <w:szCs w:val="24"/>
              <w14:ligatures w14:val="standardContextual"/>
            </w:rPr>
          </w:pPr>
          <w:hyperlink w:history="1" w:anchor="_Toc227451419">
            <w:r w:rsidRPr="00F10278">
              <w:rPr>
                <w:rStyle w:val="Hyperlink"/>
                <w:rFonts w:cs="Arial"/>
                <w:caps/>
                <w:noProof/>
                <w:specVanish/>
              </w:rPr>
              <w:t>15.3</w:t>
            </w:r>
            <w:r>
              <w:rPr>
                <w:rFonts w:asciiTheme="minorHAnsi" w:hAnsiTheme="minorHAnsi" w:eastAsiaTheme="minorEastAsia"/>
                <w:noProof/>
                <w:kern w:val="2"/>
                <w:sz w:val="24"/>
                <w:szCs w:val="24"/>
                <w14:ligatures w14:val="standardContextual"/>
              </w:rPr>
              <w:tab/>
            </w:r>
            <w:r w:rsidRPr="00F10278">
              <w:rPr>
                <w:rStyle w:val="Hyperlink"/>
                <w:rFonts w:cs="Arial"/>
                <w:noProof/>
              </w:rPr>
              <w:t>No Breach or Liability.</w:t>
            </w:r>
            <w:r>
              <w:rPr>
                <w:noProof/>
                <w:webHidden/>
              </w:rPr>
              <w:tab/>
            </w:r>
            <w:r>
              <w:rPr>
                <w:noProof/>
                <w:webHidden/>
              </w:rPr>
              <w:fldChar w:fldCharType="begin"/>
            </w:r>
            <w:r>
              <w:rPr>
                <w:noProof/>
                <w:webHidden/>
              </w:rPr>
              <w:instrText xml:space="preserve"> PAGEREF _Toc227451419 \h </w:instrText>
            </w:r>
            <w:r>
              <w:rPr>
                <w:noProof/>
                <w:webHidden/>
              </w:rPr>
            </w:r>
            <w:r>
              <w:rPr>
                <w:noProof/>
                <w:webHidden/>
              </w:rPr>
              <w:fldChar w:fldCharType="separate"/>
            </w:r>
            <w:r>
              <w:rPr>
                <w:noProof/>
                <w:webHidden/>
              </w:rPr>
              <w:t>50</w:t>
            </w:r>
            <w:r>
              <w:rPr>
                <w:noProof/>
                <w:webHidden/>
              </w:rPr>
              <w:fldChar w:fldCharType="end"/>
            </w:r>
          </w:hyperlink>
        </w:p>
        <w:p w:rsidR="00D5639B" w:rsidRDefault="00D5639B" w14:paraId="4B2383F0" w14:textId="38DC1671">
          <w:pPr>
            <w:pStyle w:val="TOC2"/>
            <w:rPr>
              <w:rFonts w:asciiTheme="minorHAnsi" w:hAnsiTheme="minorHAnsi" w:eastAsiaTheme="minorEastAsia"/>
              <w:noProof/>
              <w:kern w:val="2"/>
              <w:sz w:val="24"/>
              <w:szCs w:val="24"/>
              <w14:ligatures w14:val="standardContextual"/>
            </w:rPr>
          </w:pPr>
          <w:hyperlink w:history="1" w:anchor="_Toc227451420">
            <w:r w:rsidRPr="00F10278">
              <w:rPr>
                <w:rStyle w:val="Hyperlink"/>
                <w:rFonts w:cs="Arial"/>
                <w:caps/>
                <w:noProof/>
                <w:specVanish/>
              </w:rPr>
              <w:t>15.4</w:t>
            </w:r>
            <w:r>
              <w:rPr>
                <w:rFonts w:asciiTheme="minorHAnsi" w:hAnsiTheme="minorHAnsi" w:eastAsiaTheme="minorEastAsia"/>
                <w:noProof/>
                <w:kern w:val="2"/>
                <w:sz w:val="24"/>
                <w:szCs w:val="24"/>
                <w14:ligatures w14:val="standardContextual"/>
              </w:rPr>
              <w:tab/>
            </w:r>
            <w:r w:rsidRPr="00F10278">
              <w:rPr>
                <w:rStyle w:val="Hyperlink"/>
                <w:rFonts w:cs="Arial"/>
                <w:noProof/>
              </w:rPr>
              <w:t>Monthly Capacity Payments.</w:t>
            </w:r>
            <w:r>
              <w:rPr>
                <w:noProof/>
                <w:webHidden/>
              </w:rPr>
              <w:tab/>
            </w:r>
            <w:r>
              <w:rPr>
                <w:noProof/>
                <w:webHidden/>
              </w:rPr>
              <w:fldChar w:fldCharType="begin"/>
            </w:r>
            <w:r>
              <w:rPr>
                <w:noProof/>
                <w:webHidden/>
              </w:rPr>
              <w:instrText xml:space="preserve"> PAGEREF _Toc227451420 \h </w:instrText>
            </w:r>
            <w:r>
              <w:rPr>
                <w:noProof/>
                <w:webHidden/>
              </w:rPr>
            </w:r>
            <w:r>
              <w:rPr>
                <w:noProof/>
                <w:webHidden/>
              </w:rPr>
              <w:fldChar w:fldCharType="separate"/>
            </w:r>
            <w:r>
              <w:rPr>
                <w:noProof/>
                <w:webHidden/>
              </w:rPr>
              <w:t>51</w:t>
            </w:r>
            <w:r>
              <w:rPr>
                <w:noProof/>
                <w:webHidden/>
              </w:rPr>
              <w:fldChar w:fldCharType="end"/>
            </w:r>
          </w:hyperlink>
        </w:p>
        <w:p w:rsidR="00D5639B" w:rsidRDefault="00D5639B" w14:paraId="2C895C7E" w14:textId="6C6582DE">
          <w:pPr>
            <w:pStyle w:val="TOC2"/>
            <w:rPr>
              <w:rFonts w:asciiTheme="minorHAnsi" w:hAnsiTheme="minorHAnsi" w:eastAsiaTheme="minorEastAsia"/>
              <w:noProof/>
              <w:kern w:val="2"/>
              <w:sz w:val="24"/>
              <w:szCs w:val="24"/>
              <w14:ligatures w14:val="standardContextual"/>
            </w:rPr>
          </w:pPr>
          <w:hyperlink w:history="1" w:anchor="_Toc227451421">
            <w:r w:rsidRPr="00F10278">
              <w:rPr>
                <w:rStyle w:val="Hyperlink"/>
                <w:rFonts w:cs="Arial"/>
                <w:caps/>
                <w:noProof/>
                <w:specVanish/>
              </w:rPr>
              <w:t>15.5</w:t>
            </w:r>
            <w:r>
              <w:rPr>
                <w:rFonts w:asciiTheme="minorHAnsi" w:hAnsiTheme="minorHAnsi" w:eastAsiaTheme="minorEastAsia"/>
                <w:noProof/>
                <w:kern w:val="2"/>
                <w:sz w:val="24"/>
                <w:szCs w:val="24"/>
                <w14:ligatures w14:val="standardContextual"/>
              </w:rPr>
              <w:tab/>
            </w:r>
            <w:r w:rsidRPr="00F10278">
              <w:rPr>
                <w:rStyle w:val="Hyperlink"/>
                <w:rFonts w:cs="Arial"/>
                <w:noProof/>
              </w:rPr>
              <w:t>Notice of FME; Updates.</w:t>
            </w:r>
            <w:r>
              <w:rPr>
                <w:noProof/>
                <w:webHidden/>
              </w:rPr>
              <w:tab/>
            </w:r>
            <w:r>
              <w:rPr>
                <w:noProof/>
                <w:webHidden/>
              </w:rPr>
              <w:fldChar w:fldCharType="begin"/>
            </w:r>
            <w:r>
              <w:rPr>
                <w:noProof/>
                <w:webHidden/>
              </w:rPr>
              <w:instrText xml:space="preserve"> PAGEREF _Toc227451421 \h </w:instrText>
            </w:r>
            <w:r>
              <w:rPr>
                <w:noProof/>
                <w:webHidden/>
              </w:rPr>
            </w:r>
            <w:r>
              <w:rPr>
                <w:noProof/>
                <w:webHidden/>
              </w:rPr>
              <w:fldChar w:fldCharType="separate"/>
            </w:r>
            <w:r>
              <w:rPr>
                <w:noProof/>
                <w:webHidden/>
              </w:rPr>
              <w:t>51</w:t>
            </w:r>
            <w:r>
              <w:rPr>
                <w:noProof/>
                <w:webHidden/>
              </w:rPr>
              <w:fldChar w:fldCharType="end"/>
            </w:r>
          </w:hyperlink>
        </w:p>
        <w:p w:rsidR="00D5639B" w:rsidRDefault="00D5639B" w14:paraId="2CAE1123" w14:textId="61C199F6">
          <w:pPr>
            <w:pStyle w:val="TOC2"/>
            <w:rPr>
              <w:rFonts w:asciiTheme="minorHAnsi" w:hAnsiTheme="minorHAnsi" w:eastAsiaTheme="minorEastAsia"/>
              <w:noProof/>
              <w:kern w:val="2"/>
              <w:sz w:val="24"/>
              <w:szCs w:val="24"/>
              <w14:ligatures w14:val="standardContextual"/>
            </w:rPr>
          </w:pPr>
          <w:hyperlink w:history="1" w:anchor="_Toc227451422">
            <w:r w:rsidRPr="00F10278">
              <w:rPr>
                <w:rStyle w:val="Hyperlink"/>
                <w:rFonts w:cs="Arial"/>
                <w:caps/>
                <w:noProof/>
                <w:specVanish/>
              </w:rPr>
              <w:t>15.6</w:t>
            </w:r>
            <w:r>
              <w:rPr>
                <w:rFonts w:asciiTheme="minorHAnsi" w:hAnsiTheme="minorHAnsi" w:eastAsiaTheme="minorEastAsia"/>
                <w:noProof/>
                <w:kern w:val="2"/>
                <w:sz w:val="24"/>
                <w:szCs w:val="24"/>
                <w14:ligatures w14:val="standardContextual"/>
              </w:rPr>
              <w:tab/>
            </w:r>
            <w:r w:rsidRPr="00F10278">
              <w:rPr>
                <w:rStyle w:val="Hyperlink"/>
                <w:rFonts w:cs="Arial"/>
                <w:noProof/>
              </w:rPr>
              <w:t>Requirements for Relief.</w:t>
            </w:r>
            <w:r>
              <w:rPr>
                <w:noProof/>
                <w:webHidden/>
              </w:rPr>
              <w:tab/>
            </w:r>
            <w:r>
              <w:rPr>
                <w:noProof/>
                <w:webHidden/>
              </w:rPr>
              <w:fldChar w:fldCharType="begin"/>
            </w:r>
            <w:r>
              <w:rPr>
                <w:noProof/>
                <w:webHidden/>
              </w:rPr>
              <w:instrText xml:space="preserve"> PAGEREF _Toc227451422 \h </w:instrText>
            </w:r>
            <w:r>
              <w:rPr>
                <w:noProof/>
                <w:webHidden/>
              </w:rPr>
            </w:r>
            <w:r>
              <w:rPr>
                <w:noProof/>
                <w:webHidden/>
              </w:rPr>
              <w:fldChar w:fldCharType="separate"/>
            </w:r>
            <w:r>
              <w:rPr>
                <w:noProof/>
                <w:webHidden/>
              </w:rPr>
              <w:t>51</w:t>
            </w:r>
            <w:r>
              <w:rPr>
                <w:noProof/>
                <w:webHidden/>
              </w:rPr>
              <w:fldChar w:fldCharType="end"/>
            </w:r>
          </w:hyperlink>
        </w:p>
        <w:p w:rsidR="00D5639B" w:rsidRDefault="00D5639B" w14:paraId="2CD42A82" w14:textId="34F0ABA8">
          <w:pPr>
            <w:pStyle w:val="TOC2"/>
            <w:rPr>
              <w:rFonts w:asciiTheme="minorHAnsi" w:hAnsiTheme="minorHAnsi" w:eastAsiaTheme="minorEastAsia"/>
              <w:noProof/>
              <w:kern w:val="2"/>
              <w:sz w:val="24"/>
              <w:szCs w:val="24"/>
              <w14:ligatures w14:val="standardContextual"/>
            </w:rPr>
          </w:pPr>
          <w:hyperlink w:history="1" w:anchor="_Toc227451423">
            <w:r w:rsidRPr="00F10278">
              <w:rPr>
                <w:rStyle w:val="Hyperlink"/>
                <w:rFonts w:cs="Arial"/>
                <w:caps/>
                <w:noProof/>
                <w:specVanish/>
              </w:rPr>
              <w:t>15.7</w:t>
            </w:r>
            <w:r>
              <w:rPr>
                <w:rFonts w:asciiTheme="minorHAnsi" w:hAnsiTheme="minorHAnsi" w:eastAsiaTheme="minorEastAsia"/>
                <w:noProof/>
                <w:kern w:val="2"/>
                <w:sz w:val="24"/>
                <w:szCs w:val="24"/>
                <w14:ligatures w14:val="standardContextual"/>
              </w:rPr>
              <w:tab/>
            </w:r>
            <w:r w:rsidRPr="00F10278">
              <w:rPr>
                <w:rStyle w:val="Hyperlink"/>
                <w:rFonts w:cs="Arial"/>
                <w:noProof/>
              </w:rPr>
              <w:t>Extended FME.</w:t>
            </w:r>
            <w:r>
              <w:rPr>
                <w:noProof/>
                <w:webHidden/>
              </w:rPr>
              <w:tab/>
            </w:r>
            <w:r>
              <w:rPr>
                <w:noProof/>
                <w:webHidden/>
              </w:rPr>
              <w:fldChar w:fldCharType="begin"/>
            </w:r>
            <w:r>
              <w:rPr>
                <w:noProof/>
                <w:webHidden/>
              </w:rPr>
              <w:instrText xml:space="preserve"> PAGEREF _Toc227451423 \h </w:instrText>
            </w:r>
            <w:r>
              <w:rPr>
                <w:noProof/>
                <w:webHidden/>
              </w:rPr>
            </w:r>
            <w:r>
              <w:rPr>
                <w:noProof/>
                <w:webHidden/>
              </w:rPr>
              <w:fldChar w:fldCharType="separate"/>
            </w:r>
            <w:r>
              <w:rPr>
                <w:noProof/>
                <w:webHidden/>
              </w:rPr>
              <w:t>52</w:t>
            </w:r>
            <w:r>
              <w:rPr>
                <w:noProof/>
                <w:webHidden/>
              </w:rPr>
              <w:fldChar w:fldCharType="end"/>
            </w:r>
          </w:hyperlink>
        </w:p>
        <w:p w:rsidR="00D5639B" w:rsidRDefault="00D5639B" w14:paraId="626F78F1" w14:textId="70FDCED8">
          <w:pPr>
            <w:pStyle w:val="TOC1"/>
            <w:rPr>
              <w:rFonts w:asciiTheme="minorHAnsi" w:hAnsiTheme="minorHAnsi" w:eastAsiaTheme="minorEastAsia" w:cstheme="minorBidi"/>
              <w:b w:val="0"/>
              <w:caps w:val="0"/>
              <w:noProof/>
              <w:kern w:val="2"/>
              <w:sz w:val="24"/>
              <w:szCs w:val="24"/>
              <w14:ligatures w14:val="standardContextual"/>
            </w:rPr>
          </w:pPr>
          <w:hyperlink w:history="1" w:anchor="_Toc227451424">
            <w:r w:rsidRPr="00F10278">
              <w:rPr>
                <w:rStyle w:val="Hyperlink"/>
                <w:noProof/>
              </w:rPr>
              <w:t>Part 16</w:t>
            </w:r>
            <w:r>
              <w:rPr>
                <w:rFonts w:asciiTheme="minorHAnsi" w:hAnsiTheme="minorHAnsi" w:eastAsiaTheme="minorEastAsia" w:cstheme="minorBidi"/>
                <w:b w:val="0"/>
                <w:caps w:val="0"/>
                <w:noProof/>
                <w:kern w:val="2"/>
                <w:sz w:val="24"/>
                <w:szCs w:val="24"/>
                <w14:ligatures w14:val="standardContextual"/>
              </w:rPr>
              <w:tab/>
            </w:r>
            <w:r w:rsidRPr="00F10278">
              <w:rPr>
                <w:rStyle w:val="Hyperlink"/>
                <w:noProof/>
              </w:rPr>
              <w:t>Default and Remedies</w:t>
            </w:r>
            <w:r>
              <w:rPr>
                <w:noProof/>
                <w:webHidden/>
              </w:rPr>
              <w:tab/>
            </w:r>
            <w:r>
              <w:rPr>
                <w:noProof/>
                <w:webHidden/>
              </w:rPr>
              <w:fldChar w:fldCharType="begin"/>
            </w:r>
            <w:r>
              <w:rPr>
                <w:noProof/>
                <w:webHidden/>
              </w:rPr>
              <w:instrText xml:space="preserve"> PAGEREF _Toc227451424 \h </w:instrText>
            </w:r>
            <w:r>
              <w:rPr>
                <w:noProof/>
                <w:webHidden/>
              </w:rPr>
            </w:r>
            <w:r>
              <w:rPr>
                <w:noProof/>
                <w:webHidden/>
              </w:rPr>
              <w:fldChar w:fldCharType="separate"/>
            </w:r>
            <w:r>
              <w:rPr>
                <w:noProof/>
                <w:webHidden/>
              </w:rPr>
              <w:t>52</w:t>
            </w:r>
            <w:r>
              <w:rPr>
                <w:noProof/>
                <w:webHidden/>
              </w:rPr>
              <w:fldChar w:fldCharType="end"/>
            </w:r>
          </w:hyperlink>
        </w:p>
        <w:p w:rsidR="00D5639B" w:rsidRDefault="00D5639B" w14:paraId="697FACD6" w14:textId="00B05F23">
          <w:pPr>
            <w:pStyle w:val="TOC2"/>
            <w:rPr>
              <w:rFonts w:asciiTheme="minorHAnsi" w:hAnsiTheme="minorHAnsi" w:eastAsiaTheme="minorEastAsia"/>
              <w:noProof/>
              <w:kern w:val="2"/>
              <w:sz w:val="24"/>
              <w:szCs w:val="24"/>
              <w14:ligatures w14:val="standardContextual"/>
            </w:rPr>
          </w:pPr>
          <w:hyperlink w:history="1" w:anchor="_Toc227451425">
            <w:r w:rsidRPr="00F10278">
              <w:rPr>
                <w:rStyle w:val="Hyperlink"/>
                <w:rFonts w:cs="Arial"/>
                <w:caps/>
                <w:noProof/>
                <w:specVanish/>
              </w:rPr>
              <w:t>16.1</w:t>
            </w:r>
            <w:r>
              <w:rPr>
                <w:rFonts w:asciiTheme="minorHAnsi" w:hAnsiTheme="minorHAnsi" w:eastAsiaTheme="minorEastAsia"/>
                <w:noProof/>
                <w:kern w:val="2"/>
                <w:sz w:val="24"/>
                <w:szCs w:val="24"/>
                <w14:ligatures w14:val="standardContextual"/>
              </w:rPr>
              <w:tab/>
            </w:r>
            <w:r w:rsidRPr="00F10278">
              <w:rPr>
                <w:rStyle w:val="Hyperlink"/>
                <w:rFonts w:cs="Arial"/>
                <w:noProof/>
              </w:rPr>
              <w:t>Default by Seller.</w:t>
            </w:r>
            <w:r>
              <w:rPr>
                <w:noProof/>
                <w:webHidden/>
              </w:rPr>
              <w:tab/>
            </w:r>
            <w:r>
              <w:rPr>
                <w:noProof/>
                <w:webHidden/>
              </w:rPr>
              <w:fldChar w:fldCharType="begin"/>
            </w:r>
            <w:r>
              <w:rPr>
                <w:noProof/>
                <w:webHidden/>
              </w:rPr>
              <w:instrText xml:space="preserve"> PAGEREF _Toc227451425 \h </w:instrText>
            </w:r>
            <w:r>
              <w:rPr>
                <w:noProof/>
                <w:webHidden/>
              </w:rPr>
            </w:r>
            <w:r>
              <w:rPr>
                <w:noProof/>
                <w:webHidden/>
              </w:rPr>
              <w:fldChar w:fldCharType="separate"/>
            </w:r>
            <w:r>
              <w:rPr>
                <w:noProof/>
                <w:webHidden/>
              </w:rPr>
              <w:t>52</w:t>
            </w:r>
            <w:r>
              <w:rPr>
                <w:noProof/>
                <w:webHidden/>
              </w:rPr>
              <w:fldChar w:fldCharType="end"/>
            </w:r>
          </w:hyperlink>
        </w:p>
        <w:p w:rsidR="00D5639B" w:rsidRDefault="00D5639B" w14:paraId="62166E2C" w14:textId="39066E4C">
          <w:pPr>
            <w:pStyle w:val="TOC2"/>
            <w:rPr>
              <w:rFonts w:asciiTheme="minorHAnsi" w:hAnsiTheme="minorHAnsi" w:eastAsiaTheme="minorEastAsia"/>
              <w:noProof/>
              <w:kern w:val="2"/>
              <w:sz w:val="24"/>
              <w:szCs w:val="24"/>
              <w14:ligatures w14:val="standardContextual"/>
            </w:rPr>
          </w:pPr>
          <w:hyperlink w:history="1" w:anchor="_Toc227451426">
            <w:r w:rsidRPr="00F10278">
              <w:rPr>
                <w:rStyle w:val="Hyperlink"/>
                <w:rFonts w:cs="Arial"/>
                <w:caps/>
                <w:noProof/>
                <w:specVanish/>
              </w:rPr>
              <w:t>16.2</w:t>
            </w:r>
            <w:r>
              <w:rPr>
                <w:rFonts w:asciiTheme="minorHAnsi" w:hAnsiTheme="minorHAnsi" w:eastAsiaTheme="minorEastAsia"/>
                <w:noProof/>
                <w:kern w:val="2"/>
                <w:sz w:val="24"/>
                <w:szCs w:val="24"/>
                <w14:ligatures w14:val="standardContextual"/>
              </w:rPr>
              <w:tab/>
            </w:r>
            <w:r w:rsidRPr="00F10278">
              <w:rPr>
                <w:rStyle w:val="Hyperlink"/>
                <w:rFonts w:cs="Arial"/>
                <w:noProof/>
              </w:rPr>
              <w:t>Default by GPC.</w:t>
            </w:r>
            <w:r>
              <w:rPr>
                <w:noProof/>
                <w:webHidden/>
              </w:rPr>
              <w:tab/>
            </w:r>
            <w:r>
              <w:rPr>
                <w:noProof/>
                <w:webHidden/>
              </w:rPr>
              <w:fldChar w:fldCharType="begin"/>
            </w:r>
            <w:r>
              <w:rPr>
                <w:noProof/>
                <w:webHidden/>
              </w:rPr>
              <w:instrText xml:space="preserve"> PAGEREF _Toc227451426 \h </w:instrText>
            </w:r>
            <w:r>
              <w:rPr>
                <w:noProof/>
                <w:webHidden/>
              </w:rPr>
            </w:r>
            <w:r>
              <w:rPr>
                <w:noProof/>
                <w:webHidden/>
              </w:rPr>
              <w:fldChar w:fldCharType="separate"/>
            </w:r>
            <w:r>
              <w:rPr>
                <w:noProof/>
                <w:webHidden/>
              </w:rPr>
              <w:t>56</w:t>
            </w:r>
            <w:r>
              <w:rPr>
                <w:noProof/>
                <w:webHidden/>
              </w:rPr>
              <w:fldChar w:fldCharType="end"/>
            </w:r>
          </w:hyperlink>
        </w:p>
        <w:p w:rsidR="00D5639B" w:rsidRDefault="00D5639B" w14:paraId="118D856C" w14:textId="237D4181">
          <w:pPr>
            <w:pStyle w:val="TOC2"/>
            <w:rPr>
              <w:rFonts w:asciiTheme="minorHAnsi" w:hAnsiTheme="minorHAnsi" w:eastAsiaTheme="minorEastAsia"/>
              <w:noProof/>
              <w:kern w:val="2"/>
              <w:sz w:val="24"/>
              <w:szCs w:val="24"/>
              <w14:ligatures w14:val="standardContextual"/>
            </w:rPr>
          </w:pPr>
          <w:hyperlink w:history="1" w:anchor="_Toc227451427">
            <w:r w:rsidRPr="00F10278">
              <w:rPr>
                <w:rStyle w:val="Hyperlink"/>
                <w:rFonts w:cs="Arial"/>
                <w:caps/>
                <w:noProof/>
                <w:specVanish/>
              </w:rPr>
              <w:t>16.3</w:t>
            </w:r>
            <w:r>
              <w:rPr>
                <w:rFonts w:asciiTheme="minorHAnsi" w:hAnsiTheme="minorHAnsi" w:eastAsiaTheme="minorEastAsia"/>
                <w:noProof/>
                <w:kern w:val="2"/>
                <w:sz w:val="24"/>
                <w:szCs w:val="24"/>
                <w14:ligatures w14:val="standardContextual"/>
              </w:rPr>
              <w:tab/>
            </w:r>
            <w:r w:rsidRPr="00F10278">
              <w:rPr>
                <w:rStyle w:val="Hyperlink"/>
                <w:rFonts w:cs="Arial"/>
                <w:noProof/>
              </w:rPr>
              <w:t>Remedies.</w:t>
            </w:r>
            <w:r>
              <w:rPr>
                <w:noProof/>
                <w:webHidden/>
              </w:rPr>
              <w:tab/>
            </w:r>
            <w:r>
              <w:rPr>
                <w:noProof/>
                <w:webHidden/>
              </w:rPr>
              <w:fldChar w:fldCharType="begin"/>
            </w:r>
            <w:r>
              <w:rPr>
                <w:noProof/>
                <w:webHidden/>
              </w:rPr>
              <w:instrText xml:space="preserve"> PAGEREF _Toc227451427 \h </w:instrText>
            </w:r>
            <w:r>
              <w:rPr>
                <w:noProof/>
                <w:webHidden/>
              </w:rPr>
            </w:r>
            <w:r>
              <w:rPr>
                <w:noProof/>
                <w:webHidden/>
              </w:rPr>
              <w:fldChar w:fldCharType="separate"/>
            </w:r>
            <w:r>
              <w:rPr>
                <w:noProof/>
                <w:webHidden/>
              </w:rPr>
              <w:t>57</w:t>
            </w:r>
            <w:r>
              <w:rPr>
                <w:noProof/>
                <w:webHidden/>
              </w:rPr>
              <w:fldChar w:fldCharType="end"/>
            </w:r>
          </w:hyperlink>
        </w:p>
        <w:p w:rsidR="00D5639B" w:rsidRDefault="00D5639B" w14:paraId="7D44483D" w14:textId="0F04EC77">
          <w:pPr>
            <w:pStyle w:val="TOC2"/>
            <w:rPr>
              <w:rFonts w:asciiTheme="minorHAnsi" w:hAnsiTheme="minorHAnsi" w:eastAsiaTheme="minorEastAsia"/>
              <w:noProof/>
              <w:kern w:val="2"/>
              <w:sz w:val="24"/>
              <w:szCs w:val="24"/>
              <w14:ligatures w14:val="standardContextual"/>
            </w:rPr>
          </w:pPr>
          <w:hyperlink w:history="1" w:anchor="_Toc227451428">
            <w:r w:rsidRPr="00F10278">
              <w:rPr>
                <w:rStyle w:val="Hyperlink"/>
                <w:rFonts w:cs="Arial"/>
                <w:caps/>
                <w:noProof/>
                <w:specVanish/>
              </w:rPr>
              <w:t>16.4</w:t>
            </w:r>
            <w:r>
              <w:rPr>
                <w:rFonts w:asciiTheme="minorHAnsi" w:hAnsiTheme="minorHAnsi" w:eastAsiaTheme="minorEastAsia"/>
                <w:noProof/>
                <w:kern w:val="2"/>
                <w:sz w:val="24"/>
                <w:szCs w:val="24"/>
                <w14:ligatures w14:val="standardContextual"/>
              </w:rPr>
              <w:tab/>
            </w:r>
            <w:r w:rsidRPr="00F10278">
              <w:rPr>
                <w:rStyle w:val="Hyperlink"/>
                <w:rFonts w:cs="Arial"/>
                <w:noProof/>
              </w:rPr>
              <w:t>Rights of Specific Performance.</w:t>
            </w:r>
            <w:r>
              <w:rPr>
                <w:noProof/>
                <w:webHidden/>
              </w:rPr>
              <w:tab/>
            </w:r>
            <w:r>
              <w:rPr>
                <w:noProof/>
                <w:webHidden/>
              </w:rPr>
              <w:fldChar w:fldCharType="begin"/>
            </w:r>
            <w:r>
              <w:rPr>
                <w:noProof/>
                <w:webHidden/>
              </w:rPr>
              <w:instrText xml:space="preserve"> PAGEREF _Toc227451428 \h </w:instrText>
            </w:r>
            <w:r>
              <w:rPr>
                <w:noProof/>
                <w:webHidden/>
              </w:rPr>
            </w:r>
            <w:r>
              <w:rPr>
                <w:noProof/>
                <w:webHidden/>
              </w:rPr>
              <w:fldChar w:fldCharType="separate"/>
            </w:r>
            <w:r>
              <w:rPr>
                <w:noProof/>
                <w:webHidden/>
              </w:rPr>
              <w:t>58</w:t>
            </w:r>
            <w:r>
              <w:rPr>
                <w:noProof/>
                <w:webHidden/>
              </w:rPr>
              <w:fldChar w:fldCharType="end"/>
            </w:r>
          </w:hyperlink>
        </w:p>
        <w:p w:rsidR="00D5639B" w:rsidRDefault="00D5639B" w14:paraId="3F943B5B" w14:textId="01C4802F">
          <w:pPr>
            <w:pStyle w:val="TOC2"/>
            <w:rPr>
              <w:rFonts w:asciiTheme="minorHAnsi" w:hAnsiTheme="minorHAnsi" w:eastAsiaTheme="minorEastAsia"/>
              <w:noProof/>
              <w:kern w:val="2"/>
              <w:sz w:val="24"/>
              <w:szCs w:val="24"/>
              <w14:ligatures w14:val="standardContextual"/>
            </w:rPr>
          </w:pPr>
          <w:hyperlink w:history="1" w:anchor="_Toc227451429">
            <w:r w:rsidRPr="00F10278">
              <w:rPr>
                <w:rStyle w:val="Hyperlink"/>
                <w:rFonts w:cs="Arial"/>
                <w:caps/>
                <w:noProof/>
                <w:specVanish/>
              </w:rPr>
              <w:t>16.5</w:t>
            </w:r>
            <w:r>
              <w:rPr>
                <w:rFonts w:asciiTheme="minorHAnsi" w:hAnsiTheme="minorHAnsi" w:eastAsiaTheme="minorEastAsia"/>
                <w:noProof/>
                <w:kern w:val="2"/>
                <w:sz w:val="24"/>
                <w:szCs w:val="24"/>
                <w14:ligatures w14:val="standardContextual"/>
              </w:rPr>
              <w:tab/>
            </w:r>
            <w:r w:rsidRPr="00F10278">
              <w:rPr>
                <w:rStyle w:val="Hyperlink"/>
                <w:rFonts w:cs="Arial"/>
                <w:noProof/>
              </w:rPr>
              <w:t>Limitation of Remedies, Liability, and Damages.</w:t>
            </w:r>
            <w:r>
              <w:rPr>
                <w:noProof/>
                <w:webHidden/>
              </w:rPr>
              <w:tab/>
            </w:r>
            <w:r>
              <w:rPr>
                <w:noProof/>
                <w:webHidden/>
              </w:rPr>
              <w:fldChar w:fldCharType="begin"/>
            </w:r>
            <w:r>
              <w:rPr>
                <w:noProof/>
                <w:webHidden/>
              </w:rPr>
              <w:instrText xml:space="preserve"> PAGEREF _Toc227451429 \h </w:instrText>
            </w:r>
            <w:r>
              <w:rPr>
                <w:noProof/>
                <w:webHidden/>
              </w:rPr>
            </w:r>
            <w:r>
              <w:rPr>
                <w:noProof/>
                <w:webHidden/>
              </w:rPr>
              <w:fldChar w:fldCharType="separate"/>
            </w:r>
            <w:r>
              <w:rPr>
                <w:noProof/>
                <w:webHidden/>
              </w:rPr>
              <w:t>59</w:t>
            </w:r>
            <w:r>
              <w:rPr>
                <w:noProof/>
                <w:webHidden/>
              </w:rPr>
              <w:fldChar w:fldCharType="end"/>
            </w:r>
          </w:hyperlink>
        </w:p>
        <w:p w:rsidR="00D5639B" w:rsidRDefault="00D5639B" w14:paraId="34B5DAD1" w14:textId="55953589">
          <w:pPr>
            <w:pStyle w:val="TOC2"/>
            <w:rPr>
              <w:rFonts w:asciiTheme="minorHAnsi" w:hAnsiTheme="minorHAnsi" w:eastAsiaTheme="minorEastAsia"/>
              <w:noProof/>
              <w:kern w:val="2"/>
              <w:sz w:val="24"/>
              <w:szCs w:val="24"/>
              <w14:ligatures w14:val="standardContextual"/>
            </w:rPr>
          </w:pPr>
          <w:hyperlink w:history="1" w:anchor="_Toc227451430">
            <w:r w:rsidRPr="00F10278">
              <w:rPr>
                <w:rStyle w:val="Hyperlink"/>
                <w:caps/>
                <w:noProof/>
                <w:specVanish/>
              </w:rPr>
              <w:t>16.6</w:t>
            </w:r>
            <w:r>
              <w:rPr>
                <w:rFonts w:asciiTheme="minorHAnsi" w:hAnsiTheme="minorHAnsi" w:eastAsiaTheme="minorEastAsia"/>
                <w:noProof/>
                <w:kern w:val="2"/>
                <w:sz w:val="24"/>
                <w:szCs w:val="24"/>
                <w14:ligatures w14:val="standardContextual"/>
              </w:rPr>
              <w:tab/>
            </w:r>
            <w:r w:rsidRPr="00F10278">
              <w:rPr>
                <w:rStyle w:val="Hyperlink"/>
                <w:noProof/>
              </w:rPr>
              <w:t>Waiver of Consequential Damages.</w:t>
            </w:r>
            <w:r>
              <w:rPr>
                <w:noProof/>
                <w:webHidden/>
              </w:rPr>
              <w:tab/>
            </w:r>
            <w:r>
              <w:rPr>
                <w:noProof/>
                <w:webHidden/>
              </w:rPr>
              <w:fldChar w:fldCharType="begin"/>
            </w:r>
            <w:r>
              <w:rPr>
                <w:noProof/>
                <w:webHidden/>
              </w:rPr>
              <w:instrText xml:space="preserve"> PAGEREF _Toc227451430 \h </w:instrText>
            </w:r>
            <w:r>
              <w:rPr>
                <w:noProof/>
                <w:webHidden/>
              </w:rPr>
            </w:r>
            <w:r>
              <w:rPr>
                <w:noProof/>
                <w:webHidden/>
              </w:rPr>
              <w:fldChar w:fldCharType="separate"/>
            </w:r>
            <w:r>
              <w:rPr>
                <w:noProof/>
                <w:webHidden/>
              </w:rPr>
              <w:t>59</w:t>
            </w:r>
            <w:r>
              <w:rPr>
                <w:noProof/>
                <w:webHidden/>
              </w:rPr>
              <w:fldChar w:fldCharType="end"/>
            </w:r>
          </w:hyperlink>
        </w:p>
        <w:p w:rsidR="00D5639B" w:rsidRDefault="00D5639B" w14:paraId="3F9845B7" w14:textId="4EC439EC">
          <w:pPr>
            <w:pStyle w:val="TOC2"/>
            <w:rPr>
              <w:rFonts w:asciiTheme="minorHAnsi" w:hAnsiTheme="minorHAnsi" w:eastAsiaTheme="minorEastAsia"/>
              <w:noProof/>
              <w:kern w:val="2"/>
              <w:sz w:val="24"/>
              <w:szCs w:val="24"/>
              <w14:ligatures w14:val="standardContextual"/>
            </w:rPr>
          </w:pPr>
          <w:hyperlink w:history="1" w:anchor="_Toc227451431">
            <w:r w:rsidRPr="00F10278">
              <w:rPr>
                <w:rStyle w:val="Hyperlink"/>
                <w:caps/>
                <w:noProof/>
                <w:specVanish/>
              </w:rPr>
              <w:t>16.7</w:t>
            </w:r>
            <w:r>
              <w:rPr>
                <w:rFonts w:asciiTheme="minorHAnsi" w:hAnsiTheme="minorHAnsi" w:eastAsiaTheme="minorEastAsia"/>
                <w:noProof/>
                <w:kern w:val="2"/>
                <w:sz w:val="24"/>
                <w:szCs w:val="24"/>
                <w14:ligatures w14:val="standardContextual"/>
              </w:rPr>
              <w:tab/>
            </w:r>
            <w:r w:rsidRPr="00F10278">
              <w:rPr>
                <w:rStyle w:val="Hyperlink"/>
                <w:noProof/>
              </w:rPr>
              <w:t>Disclaimer of Warranties.</w:t>
            </w:r>
            <w:r>
              <w:rPr>
                <w:noProof/>
                <w:webHidden/>
              </w:rPr>
              <w:tab/>
            </w:r>
            <w:r>
              <w:rPr>
                <w:noProof/>
                <w:webHidden/>
              </w:rPr>
              <w:fldChar w:fldCharType="begin"/>
            </w:r>
            <w:r>
              <w:rPr>
                <w:noProof/>
                <w:webHidden/>
              </w:rPr>
              <w:instrText xml:space="preserve"> PAGEREF _Toc227451431 \h </w:instrText>
            </w:r>
            <w:r>
              <w:rPr>
                <w:noProof/>
                <w:webHidden/>
              </w:rPr>
            </w:r>
            <w:r>
              <w:rPr>
                <w:noProof/>
                <w:webHidden/>
              </w:rPr>
              <w:fldChar w:fldCharType="separate"/>
            </w:r>
            <w:r>
              <w:rPr>
                <w:noProof/>
                <w:webHidden/>
              </w:rPr>
              <w:t>59</w:t>
            </w:r>
            <w:r>
              <w:rPr>
                <w:noProof/>
                <w:webHidden/>
              </w:rPr>
              <w:fldChar w:fldCharType="end"/>
            </w:r>
          </w:hyperlink>
        </w:p>
        <w:p w:rsidR="00D5639B" w:rsidRDefault="00D5639B" w14:paraId="4FB74363" w14:textId="6280635B">
          <w:pPr>
            <w:pStyle w:val="TOC2"/>
            <w:rPr>
              <w:rFonts w:asciiTheme="minorHAnsi" w:hAnsiTheme="minorHAnsi" w:eastAsiaTheme="minorEastAsia"/>
              <w:noProof/>
              <w:kern w:val="2"/>
              <w:sz w:val="24"/>
              <w:szCs w:val="24"/>
              <w14:ligatures w14:val="standardContextual"/>
            </w:rPr>
          </w:pPr>
          <w:hyperlink w:history="1" w:anchor="_Toc227451432">
            <w:r w:rsidRPr="00F10278">
              <w:rPr>
                <w:rStyle w:val="Hyperlink"/>
                <w:caps/>
                <w:noProof/>
                <w:specVanish/>
              </w:rPr>
              <w:t>16.8</w:t>
            </w:r>
            <w:r>
              <w:rPr>
                <w:rFonts w:asciiTheme="minorHAnsi" w:hAnsiTheme="minorHAnsi" w:eastAsiaTheme="minorEastAsia"/>
                <w:noProof/>
                <w:kern w:val="2"/>
                <w:sz w:val="24"/>
                <w:szCs w:val="24"/>
                <w14:ligatures w14:val="standardContextual"/>
              </w:rPr>
              <w:tab/>
            </w:r>
            <w:r w:rsidRPr="00F10278">
              <w:rPr>
                <w:rStyle w:val="Hyperlink"/>
                <w:noProof/>
              </w:rPr>
              <w:t>No Interruption.</w:t>
            </w:r>
            <w:r>
              <w:rPr>
                <w:noProof/>
                <w:webHidden/>
              </w:rPr>
              <w:tab/>
            </w:r>
            <w:r>
              <w:rPr>
                <w:noProof/>
                <w:webHidden/>
              </w:rPr>
              <w:fldChar w:fldCharType="begin"/>
            </w:r>
            <w:r>
              <w:rPr>
                <w:noProof/>
                <w:webHidden/>
              </w:rPr>
              <w:instrText xml:space="preserve"> PAGEREF _Toc227451432 \h </w:instrText>
            </w:r>
            <w:r>
              <w:rPr>
                <w:noProof/>
                <w:webHidden/>
              </w:rPr>
            </w:r>
            <w:r>
              <w:rPr>
                <w:noProof/>
                <w:webHidden/>
              </w:rPr>
              <w:fldChar w:fldCharType="separate"/>
            </w:r>
            <w:r>
              <w:rPr>
                <w:noProof/>
                <w:webHidden/>
              </w:rPr>
              <w:t>59</w:t>
            </w:r>
            <w:r>
              <w:rPr>
                <w:noProof/>
                <w:webHidden/>
              </w:rPr>
              <w:fldChar w:fldCharType="end"/>
            </w:r>
          </w:hyperlink>
        </w:p>
        <w:p w:rsidR="00D5639B" w:rsidRDefault="00D5639B" w14:paraId="44A118DD" w14:textId="60AA9E40">
          <w:pPr>
            <w:pStyle w:val="TOC2"/>
            <w:rPr>
              <w:rFonts w:asciiTheme="minorHAnsi" w:hAnsiTheme="minorHAnsi" w:eastAsiaTheme="minorEastAsia"/>
              <w:noProof/>
              <w:kern w:val="2"/>
              <w:sz w:val="24"/>
              <w:szCs w:val="24"/>
              <w14:ligatures w14:val="standardContextual"/>
            </w:rPr>
          </w:pPr>
          <w:hyperlink w:history="1" w:anchor="_Toc227451433">
            <w:r w:rsidRPr="00F10278">
              <w:rPr>
                <w:rStyle w:val="Hyperlink"/>
                <w:caps/>
                <w:noProof/>
                <w:specVanish/>
              </w:rPr>
              <w:t>16.9</w:t>
            </w:r>
            <w:r>
              <w:rPr>
                <w:rFonts w:asciiTheme="minorHAnsi" w:hAnsiTheme="minorHAnsi" w:eastAsiaTheme="minorEastAsia"/>
                <w:noProof/>
                <w:kern w:val="2"/>
                <w:sz w:val="24"/>
                <w:szCs w:val="24"/>
                <w14:ligatures w14:val="standardContextual"/>
              </w:rPr>
              <w:tab/>
            </w:r>
            <w:r w:rsidRPr="00F10278">
              <w:rPr>
                <w:rStyle w:val="Hyperlink"/>
                <w:noProof/>
              </w:rPr>
              <w:t>Duty to Mitigate.</w:t>
            </w:r>
            <w:r>
              <w:rPr>
                <w:noProof/>
                <w:webHidden/>
              </w:rPr>
              <w:tab/>
            </w:r>
            <w:r>
              <w:rPr>
                <w:noProof/>
                <w:webHidden/>
              </w:rPr>
              <w:fldChar w:fldCharType="begin"/>
            </w:r>
            <w:r>
              <w:rPr>
                <w:noProof/>
                <w:webHidden/>
              </w:rPr>
              <w:instrText xml:space="preserve"> PAGEREF _Toc227451433 \h </w:instrText>
            </w:r>
            <w:r>
              <w:rPr>
                <w:noProof/>
                <w:webHidden/>
              </w:rPr>
            </w:r>
            <w:r>
              <w:rPr>
                <w:noProof/>
                <w:webHidden/>
              </w:rPr>
              <w:fldChar w:fldCharType="separate"/>
            </w:r>
            <w:r>
              <w:rPr>
                <w:noProof/>
                <w:webHidden/>
              </w:rPr>
              <w:t>60</w:t>
            </w:r>
            <w:r>
              <w:rPr>
                <w:noProof/>
                <w:webHidden/>
              </w:rPr>
              <w:fldChar w:fldCharType="end"/>
            </w:r>
          </w:hyperlink>
        </w:p>
        <w:p w:rsidR="00D5639B" w:rsidRDefault="00D5639B" w14:paraId="73439F56" w14:textId="05EF9B27">
          <w:pPr>
            <w:pStyle w:val="TOC1"/>
            <w:rPr>
              <w:rFonts w:asciiTheme="minorHAnsi" w:hAnsiTheme="minorHAnsi" w:eastAsiaTheme="minorEastAsia" w:cstheme="minorBidi"/>
              <w:b w:val="0"/>
              <w:caps w:val="0"/>
              <w:noProof/>
              <w:kern w:val="2"/>
              <w:sz w:val="24"/>
              <w:szCs w:val="24"/>
              <w14:ligatures w14:val="standardContextual"/>
            </w:rPr>
          </w:pPr>
          <w:hyperlink w:history="1" w:anchor="_Toc227451434">
            <w:r w:rsidRPr="00F10278">
              <w:rPr>
                <w:rStyle w:val="Hyperlink"/>
                <w:noProof/>
              </w:rPr>
              <w:t>Part 17</w:t>
            </w:r>
            <w:r>
              <w:rPr>
                <w:rFonts w:asciiTheme="minorHAnsi" w:hAnsiTheme="minorHAnsi" w:eastAsiaTheme="minorEastAsia" w:cstheme="minorBidi"/>
                <w:b w:val="0"/>
                <w:caps w:val="0"/>
                <w:noProof/>
                <w:kern w:val="2"/>
                <w:sz w:val="24"/>
                <w:szCs w:val="24"/>
                <w14:ligatures w14:val="standardContextual"/>
              </w:rPr>
              <w:tab/>
            </w:r>
            <w:r w:rsidRPr="00F10278">
              <w:rPr>
                <w:rStyle w:val="Hyperlink"/>
                <w:noProof/>
              </w:rPr>
              <w:t>Compliance with Laws</w:t>
            </w:r>
            <w:r>
              <w:rPr>
                <w:noProof/>
                <w:webHidden/>
              </w:rPr>
              <w:tab/>
            </w:r>
            <w:r>
              <w:rPr>
                <w:noProof/>
                <w:webHidden/>
              </w:rPr>
              <w:fldChar w:fldCharType="begin"/>
            </w:r>
            <w:r>
              <w:rPr>
                <w:noProof/>
                <w:webHidden/>
              </w:rPr>
              <w:instrText xml:space="preserve"> PAGEREF _Toc227451434 \h </w:instrText>
            </w:r>
            <w:r>
              <w:rPr>
                <w:noProof/>
                <w:webHidden/>
              </w:rPr>
            </w:r>
            <w:r>
              <w:rPr>
                <w:noProof/>
                <w:webHidden/>
              </w:rPr>
              <w:fldChar w:fldCharType="separate"/>
            </w:r>
            <w:r>
              <w:rPr>
                <w:noProof/>
                <w:webHidden/>
              </w:rPr>
              <w:t>60</w:t>
            </w:r>
            <w:r>
              <w:rPr>
                <w:noProof/>
                <w:webHidden/>
              </w:rPr>
              <w:fldChar w:fldCharType="end"/>
            </w:r>
          </w:hyperlink>
        </w:p>
        <w:p w:rsidR="00D5639B" w:rsidRDefault="00D5639B" w14:paraId="0444AA45" w14:textId="63BACD21">
          <w:pPr>
            <w:pStyle w:val="TOC2"/>
            <w:rPr>
              <w:rFonts w:asciiTheme="minorHAnsi" w:hAnsiTheme="minorHAnsi" w:eastAsiaTheme="minorEastAsia"/>
              <w:noProof/>
              <w:kern w:val="2"/>
              <w:sz w:val="24"/>
              <w:szCs w:val="24"/>
              <w14:ligatures w14:val="standardContextual"/>
            </w:rPr>
          </w:pPr>
          <w:hyperlink w:history="1" w:anchor="_Toc227451435">
            <w:r w:rsidRPr="00F10278">
              <w:rPr>
                <w:rStyle w:val="Hyperlink"/>
                <w:rFonts w:cs="Arial"/>
                <w:caps/>
                <w:noProof/>
                <w:specVanish/>
              </w:rPr>
              <w:t>17.1</w:t>
            </w:r>
            <w:r>
              <w:rPr>
                <w:rFonts w:asciiTheme="minorHAnsi" w:hAnsiTheme="minorHAnsi" w:eastAsiaTheme="minorEastAsia"/>
                <w:noProof/>
                <w:kern w:val="2"/>
                <w:sz w:val="24"/>
                <w:szCs w:val="24"/>
                <w14:ligatures w14:val="standardContextual"/>
              </w:rPr>
              <w:tab/>
            </w:r>
            <w:r w:rsidRPr="00F10278">
              <w:rPr>
                <w:rStyle w:val="Hyperlink"/>
                <w:rFonts w:cs="Arial"/>
                <w:noProof/>
              </w:rPr>
              <w:t>Change of Law.</w:t>
            </w:r>
            <w:r>
              <w:rPr>
                <w:noProof/>
                <w:webHidden/>
              </w:rPr>
              <w:tab/>
            </w:r>
            <w:r>
              <w:rPr>
                <w:noProof/>
                <w:webHidden/>
              </w:rPr>
              <w:fldChar w:fldCharType="begin"/>
            </w:r>
            <w:r>
              <w:rPr>
                <w:noProof/>
                <w:webHidden/>
              </w:rPr>
              <w:instrText xml:space="preserve"> PAGEREF _Toc227451435 \h </w:instrText>
            </w:r>
            <w:r>
              <w:rPr>
                <w:noProof/>
                <w:webHidden/>
              </w:rPr>
            </w:r>
            <w:r>
              <w:rPr>
                <w:noProof/>
                <w:webHidden/>
              </w:rPr>
              <w:fldChar w:fldCharType="separate"/>
            </w:r>
            <w:r>
              <w:rPr>
                <w:noProof/>
                <w:webHidden/>
              </w:rPr>
              <w:t>60</w:t>
            </w:r>
            <w:r>
              <w:rPr>
                <w:noProof/>
                <w:webHidden/>
              </w:rPr>
              <w:fldChar w:fldCharType="end"/>
            </w:r>
          </w:hyperlink>
        </w:p>
        <w:p w:rsidR="00D5639B" w:rsidRDefault="00D5639B" w14:paraId="5944CEA4" w14:textId="43D6D07E">
          <w:pPr>
            <w:pStyle w:val="TOC2"/>
            <w:rPr>
              <w:rFonts w:asciiTheme="minorHAnsi" w:hAnsiTheme="minorHAnsi" w:eastAsiaTheme="minorEastAsia"/>
              <w:noProof/>
              <w:kern w:val="2"/>
              <w:sz w:val="24"/>
              <w:szCs w:val="24"/>
              <w14:ligatures w14:val="standardContextual"/>
            </w:rPr>
          </w:pPr>
          <w:hyperlink w:history="1" w:anchor="_Toc227451436">
            <w:r w:rsidRPr="00F10278">
              <w:rPr>
                <w:rStyle w:val="Hyperlink"/>
                <w:rFonts w:cs="Arial"/>
                <w:caps/>
                <w:noProof/>
                <w:specVanish/>
              </w:rPr>
              <w:t>17.2</w:t>
            </w:r>
            <w:r>
              <w:rPr>
                <w:rFonts w:asciiTheme="minorHAnsi" w:hAnsiTheme="minorHAnsi" w:eastAsiaTheme="minorEastAsia"/>
                <w:noProof/>
                <w:kern w:val="2"/>
                <w:sz w:val="24"/>
                <w:szCs w:val="24"/>
                <w14:ligatures w14:val="standardContextual"/>
              </w:rPr>
              <w:tab/>
            </w:r>
            <w:r w:rsidRPr="00F10278">
              <w:rPr>
                <w:rStyle w:val="Hyperlink"/>
                <w:rFonts w:cs="Arial"/>
                <w:noProof/>
              </w:rPr>
              <w:t>No Dedication.</w:t>
            </w:r>
            <w:r>
              <w:rPr>
                <w:noProof/>
                <w:webHidden/>
              </w:rPr>
              <w:tab/>
            </w:r>
            <w:r>
              <w:rPr>
                <w:noProof/>
                <w:webHidden/>
              </w:rPr>
              <w:fldChar w:fldCharType="begin"/>
            </w:r>
            <w:r>
              <w:rPr>
                <w:noProof/>
                <w:webHidden/>
              </w:rPr>
              <w:instrText xml:space="preserve"> PAGEREF _Toc227451436 \h </w:instrText>
            </w:r>
            <w:r>
              <w:rPr>
                <w:noProof/>
                <w:webHidden/>
              </w:rPr>
            </w:r>
            <w:r>
              <w:rPr>
                <w:noProof/>
                <w:webHidden/>
              </w:rPr>
              <w:fldChar w:fldCharType="separate"/>
            </w:r>
            <w:r>
              <w:rPr>
                <w:noProof/>
                <w:webHidden/>
              </w:rPr>
              <w:t>65</w:t>
            </w:r>
            <w:r>
              <w:rPr>
                <w:noProof/>
                <w:webHidden/>
              </w:rPr>
              <w:fldChar w:fldCharType="end"/>
            </w:r>
          </w:hyperlink>
        </w:p>
        <w:p w:rsidR="00D5639B" w:rsidRDefault="00D5639B" w14:paraId="3FB83E8C" w14:textId="34A12EFD">
          <w:pPr>
            <w:pStyle w:val="TOC2"/>
            <w:rPr>
              <w:rFonts w:asciiTheme="minorHAnsi" w:hAnsiTheme="minorHAnsi" w:eastAsiaTheme="minorEastAsia"/>
              <w:noProof/>
              <w:kern w:val="2"/>
              <w:sz w:val="24"/>
              <w:szCs w:val="24"/>
              <w14:ligatures w14:val="standardContextual"/>
            </w:rPr>
          </w:pPr>
          <w:hyperlink w:history="1" w:anchor="_Toc227451437">
            <w:r w:rsidRPr="00F10278">
              <w:rPr>
                <w:rStyle w:val="Hyperlink"/>
                <w:rFonts w:cs="Arial"/>
                <w:caps/>
                <w:noProof/>
                <w:specVanish/>
              </w:rPr>
              <w:t>17.3</w:t>
            </w:r>
            <w:r>
              <w:rPr>
                <w:rFonts w:asciiTheme="minorHAnsi" w:hAnsiTheme="minorHAnsi" w:eastAsiaTheme="minorEastAsia"/>
                <w:noProof/>
                <w:kern w:val="2"/>
                <w:sz w:val="24"/>
                <w:szCs w:val="24"/>
                <w14:ligatures w14:val="standardContextual"/>
              </w:rPr>
              <w:tab/>
            </w:r>
            <w:r w:rsidRPr="00F10278">
              <w:rPr>
                <w:rStyle w:val="Hyperlink"/>
                <w:rFonts w:cs="Arial"/>
                <w:noProof/>
              </w:rPr>
              <w:t>Compliance with Law.</w:t>
            </w:r>
            <w:r>
              <w:rPr>
                <w:noProof/>
                <w:webHidden/>
              </w:rPr>
              <w:tab/>
            </w:r>
            <w:r>
              <w:rPr>
                <w:noProof/>
                <w:webHidden/>
              </w:rPr>
              <w:fldChar w:fldCharType="begin"/>
            </w:r>
            <w:r>
              <w:rPr>
                <w:noProof/>
                <w:webHidden/>
              </w:rPr>
              <w:instrText xml:space="preserve"> PAGEREF _Toc227451437 \h </w:instrText>
            </w:r>
            <w:r>
              <w:rPr>
                <w:noProof/>
                <w:webHidden/>
              </w:rPr>
            </w:r>
            <w:r>
              <w:rPr>
                <w:noProof/>
                <w:webHidden/>
              </w:rPr>
              <w:fldChar w:fldCharType="separate"/>
            </w:r>
            <w:r>
              <w:rPr>
                <w:noProof/>
                <w:webHidden/>
              </w:rPr>
              <w:t>65</w:t>
            </w:r>
            <w:r>
              <w:rPr>
                <w:noProof/>
                <w:webHidden/>
              </w:rPr>
              <w:fldChar w:fldCharType="end"/>
            </w:r>
          </w:hyperlink>
        </w:p>
        <w:p w:rsidR="00D5639B" w:rsidRDefault="00D5639B" w14:paraId="1A4459F4" w14:textId="252CF92C">
          <w:pPr>
            <w:pStyle w:val="TOC2"/>
            <w:rPr>
              <w:rFonts w:asciiTheme="minorHAnsi" w:hAnsiTheme="minorHAnsi" w:eastAsiaTheme="minorEastAsia"/>
              <w:noProof/>
              <w:kern w:val="2"/>
              <w:sz w:val="24"/>
              <w:szCs w:val="24"/>
              <w14:ligatures w14:val="standardContextual"/>
            </w:rPr>
          </w:pPr>
          <w:hyperlink w:history="1" w:anchor="_Toc227451438">
            <w:r w:rsidRPr="00F10278">
              <w:rPr>
                <w:rStyle w:val="Hyperlink"/>
                <w:rFonts w:cs="Arial"/>
                <w:caps/>
                <w:noProof/>
                <w:specVanish/>
              </w:rPr>
              <w:t>17.4</w:t>
            </w:r>
            <w:r>
              <w:rPr>
                <w:rFonts w:asciiTheme="minorHAnsi" w:hAnsiTheme="minorHAnsi" w:eastAsiaTheme="minorEastAsia"/>
                <w:noProof/>
                <w:kern w:val="2"/>
                <w:sz w:val="24"/>
                <w:szCs w:val="24"/>
                <w14:ligatures w14:val="standardContextual"/>
              </w:rPr>
              <w:tab/>
            </w:r>
            <w:r w:rsidRPr="00F10278">
              <w:rPr>
                <w:rStyle w:val="Hyperlink"/>
                <w:rFonts w:cs="Arial"/>
                <w:noProof/>
              </w:rPr>
              <w:t>Environmental Compliance.</w:t>
            </w:r>
            <w:r>
              <w:rPr>
                <w:noProof/>
                <w:webHidden/>
              </w:rPr>
              <w:tab/>
            </w:r>
            <w:r>
              <w:rPr>
                <w:noProof/>
                <w:webHidden/>
              </w:rPr>
              <w:fldChar w:fldCharType="begin"/>
            </w:r>
            <w:r>
              <w:rPr>
                <w:noProof/>
                <w:webHidden/>
              </w:rPr>
              <w:instrText xml:space="preserve"> PAGEREF _Toc227451438 \h </w:instrText>
            </w:r>
            <w:r>
              <w:rPr>
                <w:noProof/>
                <w:webHidden/>
              </w:rPr>
            </w:r>
            <w:r>
              <w:rPr>
                <w:noProof/>
                <w:webHidden/>
              </w:rPr>
              <w:fldChar w:fldCharType="separate"/>
            </w:r>
            <w:r>
              <w:rPr>
                <w:noProof/>
                <w:webHidden/>
              </w:rPr>
              <w:t>65</w:t>
            </w:r>
            <w:r>
              <w:rPr>
                <w:noProof/>
                <w:webHidden/>
              </w:rPr>
              <w:fldChar w:fldCharType="end"/>
            </w:r>
          </w:hyperlink>
        </w:p>
        <w:p w:rsidR="00D5639B" w:rsidRDefault="00D5639B" w14:paraId="4B3B97FE" w14:textId="7A4D3631">
          <w:pPr>
            <w:pStyle w:val="TOC2"/>
            <w:rPr>
              <w:rFonts w:asciiTheme="minorHAnsi" w:hAnsiTheme="minorHAnsi" w:eastAsiaTheme="minorEastAsia"/>
              <w:noProof/>
              <w:kern w:val="2"/>
              <w:sz w:val="24"/>
              <w:szCs w:val="24"/>
              <w14:ligatures w14:val="standardContextual"/>
            </w:rPr>
          </w:pPr>
          <w:hyperlink w:history="1" w:anchor="_Toc227451440">
            <w:r w:rsidRPr="00F10278">
              <w:rPr>
                <w:rStyle w:val="Hyperlink"/>
                <w:rFonts w:cs="Arial"/>
                <w:caps/>
                <w:noProof/>
                <w:specVanish/>
              </w:rPr>
              <w:t>17.5</w:t>
            </w:r>
            <w:r>
              <w:rPr>
                <w:rFonts w:asciiTheme="minorHAnsi" w:hAnsiTheme="minorHAnsi" w:eastAsiaTheme="minorEastAsia"/>
                <w:noProof/>
                <w:kern w:val="2"/>
                <w:sz w:val="24"/>
                <w:szCs w:val="24"/>
                <w14:ligatures w14:val="standardContextual"/>
              </w:rPr>
              <w:tab/>
            </w:r>
            <w:r w:rsidRPr="00F10278">
              <w:rPr>
                <w:rStyle w:val="Hyperlink"/>
                <w:rFonts w:cs="Arial"/>
                <w:noProof/>
              </w:rPr>
              <w:t>Wildlife.</w:t>
            </w:r>
            <w:r>
              <w:rPr>
                <w:noProof/>
                <w:webHidden/>
              </w:rPr>
              <w:tab/>
            </w:r>
            <w:r>
              <w:rPr>
                <w:noProof/>
                <w:webHidden/>
              </w:rPr>
              <w:fldChar w:fldCharType="begin"/>
            </w:r>
            <w:r>
              <w:rPr>
                <w:noProof/>
                <w:webHidden/>
              </w:rPr>
              <w:instrText xml:space="preserve"> PAGEREF _Toc227451440 \h </w:instrText>
            </w:r>
            <w:r>
              <w:rPr>
                <w:noProof/>
                <w:webHidden/>
              </w:rPr>
            </w:r>
            <w:r>
              <w:rPr>
                <w:noProof/>
                <w:webHidden/>
              </w:rPr>
              <w:fldChar w:fldCharType="separate"/>
            </w:r>
            <w:r>
              <w:rPr>
                <w:noProof/>
                <w:webHidden/>
              </w:rPr>
              <w:t>65</w:t>
            </w:r>
            <w:r>
              <w:rPr>
                <w:noProof/>
                <w:webHidden/>
              </w:rPr>
              <w:fldChar w:fldCharType="end"/>
            </w:r>
          </w:hyperlink>
        </w:p>
        <w:p w:rsidR="00D5639B" w:rsidRDefault="00D5639B" w14:paraId="4842C783" w14:textId="44833E33">
          <w:pPr>
            <w:pStyle w:val="TOC2"/>
            <w:rPr>
              <w:rFonts w:asciiTheme="minorHAnsi" w:hAnsiTheme="minorHAnsi" w:eastAsiaTheme="minorEastAsia"/>
              <w:noProof/>
              <w:kern w:val="2"/>
              <w:sz w:val="24"/>
              <w:szCs w:val="24"/>
              <w14:ligatures w14:val="standardContextual"/>
            </w:rPr>
          </w:pPr>
          <w:hyperlink w:history="1" w:anchor="_Toc227451441">
            <w:r w:rsidRPr="00F10278">
              <w:rPr>
                <w:rStyle w:val="Hyperlink"/>
                <w:rFonts w:cs="Arial"/>
                <w:caps/>
                <w:noProof/>
              </w:rPr>
              <w:t>17.6</w:t>
            </w:r>
            <w:r>
              <w:rPr>
                <w:rFonts w:asciiTheme="minorHAnsi" w:hAnsiTheme="minorHAnsi" w:eastAsiaTheme="minorEastAsia"/>
                <w:noProof/>
                <w:kern w:val="2"/>
                <w:sz w:val="24"/>
                <w:szCs w:val="24"/>
                <w14:ligatures w14:val="standardContextual"/>
              </w:rPr>
              <w:tab/>
            </w:r>
            <w:r w:rsidRPr="00F10278">
              <w:rPr>
                <w:rStyle w:val="Hyperlink"/>
                <w:rFonts w:cs="Arial"/>
                <w:noProof/>
              </w:rPr>
              <w:t>Notices of Violations and Potential Violations; NOV Remediation Plan.</w:t>
            </w:r>
            <w:r>
              <w:rPr>
                <w:noProof/>
                <w:webHidden/>
              </w:rPr>
              <w:tab/>
            </w:r>
            <w:r>
              <w:rPr>
                <w:noProof/>
                <w:webHidden/>
              </w:rPr>
              <w:fldChar w:fldCharType="begin"/>
            </w:r>
            <w:r>
              <w:rPr>
                <w:noProof/>
                <w:webHidden/>
              </w:rPr>
              <w:instrText xml:space="preserve"> PAGEREF _Toc227451441 \h </w:instrText>
            </w:r>
            <w:r>
              <w:rPr>
                <w:noProof/>
                <w:webHidden/>
              </w:rPr>
            </w:r>
            <w:r>
              <w:rPr>
                <w:noProof/>
                <w:webHidden/>
              </w:rPr>
              <w:fldChar w:fldCharType="separate"/>
            </w:r>
            <w:r>
              <w:rPr>
                <w:noProof/>
                <w:webHidden/>
              </w:rPr>
              <w:t>66</w:t>
            </w:r>
            <w:r>
              <w:rPr>
                <w:noProof/>
                <w:webHidden/>
              </w:rPr>
              <w:fldChar w:fldCharType="end"/>
            </w:r>
          </w:hyperlink>
        </w:p>
        <w:p w:rsidR="00D5639B" w:rsidRDefault="00D5639B" w14:paraId="44ECB712" w14:textId="70C9FC85">
          <w:pPr>
            <w:pStyle w:val="TOC1"/>
            <w:rPr>
              <w:rFonts w:asciiTheme="minorHAnsi" w:hAnsiTheme="minorHAnsi" w:eastAsiaTheme="minorEastAsia" w:cstheme="minorBidi"/>
              <w:b w:val="0"/>
              <w:caps w:val="0"/>
              <w:noProof/>
              <w:kern w:val="2"/>
              <w:sz w:val="24"/>
              <w:szCs w:val="24"/>
              <w14:ligatures w14:val="standardContextual"/>
            </w:rPr>
          </w:pPr>
          <w:hyperlink w:history="1" w:anchor="_Toc227451442">
            <w:r w:rsidRPr="00F10278">
              <w:rPr>
                <w:rStyle w:val="Hyperlink"/>
                <w:noProof/>
              </w:rPr>
              <w:t>Part 18</w:t>
            </w:r>
            <w:r>
              <w:rPr>
                <w:rFonts w:asciiTheme="minorHAnsi" w:hAnsiTheme="minorHAnsi" w:eastAsiaTheme="minorEastAsia" w:cstheme="minorBidi"/>
                <w:b w:val="0"/>
                <w:caps w:val="0"/>
                <w:noProof/>
                <w:kern w:val="2"/>
                <w:sz w:val="24"/>
                <w:szCs w:val="24"/>
                <w14:ligatures w14:val="standardContextual"/>
              </w:rPr>
              <w:tab/>
            </w:r>
            <w:r w:rsidRPr="00F10278">
              <w:rPr>
                <w:rStyle w:val="Hyperlink"/>
                <w:noProof/>
              </w:rPr>
              <w:t>Assignment, Transfers, and Changes of Control</w:t>
            </w:r>
            <w:r>
              <w:rPr>
                <w:noProof/>
                <w:webHidden/>
              </w:rPr>
              <w:tab/>
            </w:r>
            <w:r>
              <w:rPr>
                <w:noProof/>
                <w:webHidden/>
              </w:rPr>
              <w:fldChar w:fldCharType="begin"/>
            </w:r>
            <w:r>
              <w:rPr>
                <w:noProof/>
                <w:webHidden/>
              </w:rPr>
              <w:instrText xml:space="preserve"> PAGEREF _Toc227451442 \h </w:instrText>
            </w:r>
            <w:r>
              <w:rPr>
                <w:noProof/>
                <w:webHidden/>
              </w:rPr>
            </w:r>
            <w:r>
              <w:rPr>
                <w:noProof/>
                <w:webHidden/>
              </w:rPr>
              <w:fldChar w:fldCharType="separate"/>
            </w:r>
            <w:r>
              <w:rPr>
                <w:noProof/>
                <w:webHidden/>
              </w:rPr>
              <w:t>66</w:t>
            </w:r>
            <w:r>
              <w:rPr>
                <w:noProof/>
                <w:webHidden/>
              </w:rPr>
              <w:fldChar w:fldCharType="end"/>
            </w:r>
          </w:hyperlink>
        </w:p>
        <w:p w:rsidR="00D5639B" w:rsidRDefault="00D5639B" w14:paraId="4837F625" w14:textId="0B029296">
          <w:pPr>
            <w:pStyle w:val="TOC2"/>
            <w:rPr>
              <w:rFonts w:asciiTheme="minorHAnsi" w:hAnsiTheme="minorHAnsi" w:eastAsiaTheme="minorEastAsia"/>
              <w:noProof/>
              <w:kern w:val="2"/>
              <w:sz w:val="24"/>
              <w:szCs w:val="24"/>
              <w14:ligatures w14:val="standardContextual"/>
            </w:rPr>
          </w:pPr>
          <w:hyperlink w:history="1" w:anchor="_Toc227451443">
            <w:r w:rsidRPr="00F10278">
              <w:rPr>
                <w:rStyle w:val="Hyperlink"/>
                <w:rFonts w:cs="Arial"/>
                <w:caps/>
                <w:noProof/>
                <w:specVanish/>
              </w:rPr>
              <w:t>18.1</w:t>
            </w:r>
            <w:r>
              <w:rPr>
                <w:rFonts w:asciiTheme="minorHAnsi" w:hAnsiTheme="minorHAnsi" w:eastAsiaTheme="minorEastAsia"/>
                <w:noProof/>
                <w:kern w:val="2"/>
                <w:sz w:val="24"/>
                <w:szCs w:val="24"/>
                <w14:ligatures w14:val="standardContextual"/>
              </w:rPr>
              <w:tab/>
            </w:r>
            <w:r w:rsidRPr="00F10278">
              <w:rPr>
                <w:rStyle w:val="Hyperlink"/>
                <w:rFonts w:cs="Arial"/>
                <w:noProof/>
              </w:rPr>
              <w:t>Assignment, Transfers, and Changes of Control.</w:t>
            </w:r>
            <w:r>
              <w:rPr>
                <w:noProof/>
                <w:webHidden/>
              </w:rPr>
              <w:tab/>
            </w:r>
            <w:r>
              <w:rPr>
                <w:noProof/>
                <w:webHidden/>
              </w:rPr>
              <w:fldChar w:fldCharType="begin"/>
            </w:r>
            <w:r>
              <w:rPr>
                <w:noProof/>
                <w:webHidden/>
              </w:rPr>
              <w:instrText xml:space="preserve"> PAGEREF _Toc227451443 \h </w:instrText>
            </w:r>
            <w:r>
              <w:rPr>
                <w:noProof/>
                <w:webHidden/>
              </w:rPr>
            </w:r>
            <w:r>
              <w:rPr>
                <w:noProof/>
                <w:webHidden/>
              </w:rPr>
              <w:fldChar w:fldCharType="separate"/>
            </w:r>
            <w:r>
              <w:rPr>
                <w:noProof/>
                <w:webHidden/>
              </w:rPr>
              <w:t>66</w:t>
            </w:r>
            <w:r>
              <w:rPr>
                <w:noProof/>
                <w:webHidden/>
              </w:rPr>
              <w:fldChar w:fldCharType="end"/>
            </w:r>
          </w:hyperlink>
        </w:p>
        <w:p w:rsidR="00D5639B" w:rsidRDefault="00D5639B" w14:paraId="25EAC3A8" w14:textId="2628B148">
          <w:pPr>
            <w:pStyle w:val="TOC2"/>
            <w:rPr>
              <w:rFonts w:asciiTheme="minorHAnsi" w:hAnsiTheme="minorHAnsi" w:eastAsiaTheme="minorEastAsia"/>
              <w:noProof/>
              <w:kern w:val="2"/>
              <w:sz w:val="24"/>
              <w:szCs w:val="24"/>
              <w14:ligatures w14:val="standardContextual"/>
            </w:rPr>
          </w:pPr>
          <w:hyperlink w:history="1" w:anchor="_Toc227451444">
            <w:r w:rsidRPr="00F10278">
              <w:rPr>
                <w:rStyle w:val="Hyperlink"/>
                <w:caps/>
                <w:noProof/>
                <w:specVanish/>
              </w:rPr>
              <w:t>18.2</w:t>
            </w:r>
            <w:r>
              <w:rPr>
                <w:rFonts w:asciiTheme="minorHAnsi" w:hAnsiTheme="minorHAnsi" w:eastAsiaTheme="minorEastAsia"/>
                <w:noProof/>
                <w:kern w:val="2"/>
                <w:sz w:val="24"/>
                <w:szCs w:val="24"/>
                <w14:ligatures w14:val="standardContextual"/>
              </w:rPr>
              <w:tab/>
            </w:r>
            <w:r w:rsidRPr="00F10278">
              <w:rPr>
                <w:rStyle w:val="Hyperlink"/>
                <w:noProof/>
              </w:rPr>
              <w:t>Financing Assignment; Estoppels.</w:t>
            </w:r>
            <w:r>
              <w:rPr>
                <w:noProof/>
                <w:webHidden/>
              </w:rPr>
              <w:tab/>
            </w:r>
            <w:r>
              <w:rPr>
                <w:noProof/>
                <w:webHidden/>
              </w:rPr>
              <w:fldChar w:fldCharType="begin"/>
            </w:r>
            <w:r>
              <w:rPr>
                <w:noProof/>
                <w:webHidden/>
              </w:rPr>
              <w:instrText xml:space="preserve"> PAGEREF _Toc227451444 \h </w:instrText>
            </w:r>
            <w:r>
              <w:rPr>
                <w:noProof/>
                <w:webHidden/>
              </w:rPr>
            </w:r>
            <w:r>
              <w:rPr>
                <w:noProof/>
                <w:webHidden/>
              </w:rPr>
              <w:fldChar w:fldCharType="separate"/>
            </w:r>
            <w:r>
              <w:rPr>
                <w:noProof/>
                <w:webHidden/>
              </w:rPr>
              <w:t>67</w:t>
            </w:r>
            <w:r>
              <w:rPr>
                <w:noProof/>
                <w:webHidden/>
              </w:rPr>
              <w:fldChar w:fldCharType="end"/>
            </w:r>
          </w:hyperlink>
        </w:p>
        <w:p w:rsidR="00D5639B" w:rsidRDefault="00D5639B" w14:paraId="3A60D22F" w14:textId="7EECB9BE">
          <w:pPr>
            <w:pStyle w:val="TOC2"/>
            <w:rPr>
              <w:rFonts w:asciiTheme="minorHAnsi" w:hAnsiTheme="minorHAnsi" w:eastAsiaTheme="minorEastAsia"/>
              <w:noProof/>
              <w:kern w:val="2"/>
              <w:sz w:val="24"/>
              <w:szCs w:val="24"/>
              <w14:ligatures w14:val="standardContextual"/>
            </w:rPr>
          </w:pPr>
          <w:hyperlink w:history="1" w:anchor="_Toc227451445">
            <w:r w:rsidRPr="00F10278">
              <w:rPr>
                <w:rStyle w:val="Hyperlink"/>
                <w:caps/>
                <w:noProof/>
                <w:specVanish/>
              </w:rPr>
              <w:t>18.3</w:t>
            </w:r>
            <w:r>
              <w:rPr>
                <w:rFonts w:asciiTheme="minorHAnsi" w:hAnsiTheme="minorHAnsi" w:eastAsiaTheme="minorEastAsia"/>
                <w:noProof/>
                <w:kern w:val="2"/>
                <w:sz w:val="24"/>
                <w:szCs w:val="24"/>
                <w14:ligatures w14:val="standardContextual"/>
              </w:rPr>
              <w:tab/>
            </w:r>
            <w:r w:rsidRPr="00F10278">
              <w:rPr>
                <w:rStyle w:val="Hyperlink"/>
                <w:noProof/>
              </w:rPr>
              <w:t>Reimbursement of GPC’s Costs.</w:t>
            </w:r>
            <w:r>
              <w:rPr>
                <w:noProof/>
                <w:webHidden/>
              </w:rPr>
              <w:tab/>
            </w:r>
            <w:r>
              <w:rPr>
                <w:noProof/>
                <w:webHidden/>
              </w:rPr>
              <w:fldChar w:fldCharType="begin"/>
            </w:r>
            <w:r>
              <w:rPr>
                <w:noProof/>
                <w:webHidden/>
              </w:rPr>
              <w:instrText xml:space="preserve"> PAGEREF _Toc227451445 \h </w:instrText>
            </w:r>
            <w:r>
              <w:rPr>
                <w:noProof/>
                <w:webHidden/>
              </w:rPr>
            </w:r>
            <w:r>
              <w:rPr>
                <w:noProof/>
                <w:webHidden/>
              </w:rPr>
              <w:fldChar w:fldCharType="separate"/>
            </w:r>
            <w:r>
              <w:rPr>
                <w:noProof/>
                <w:webHidden/>
              </w:rPr>
              <w:t>67</w:t>
            </w:r>
            <w:r>
              <w:rPr>
                <w:noProof/>
                <w:webHidden/>
              </w:rPr>
              <w:fldChar w:fldCharType="end"/>
            </w:r>
          </w:hyperlink>
        </w:p>
        <w:p w:rsidR="00D5639B" w:rsidRDefault="00D5639B" w14:paraId="2F6C19DC" w14:textId="1688B8FD">
          <w:pPr>
            <w:pStyle w:val="TOC2"/>
            <w:rPr>
              <w:rFonts w:asciiTheme="minorHAnsi" w:hAnsiTheme="minorHAnsi" w:eastAsiaTheme="minorEastAsia"/>
              <w:noProof/>
              <w:kern w:val="2"/>
              <w:sz w:val="24"/>
              <w:szCs w:val="24"/>
              <w14:ligatures w14:val="standardContextual"/>
            </w:rPr>
          </w:pPr>
          <w:hyperlink w:history="1" w:anchor="_Toc227451446">
            <w:r w:rsidRPr="00F10278">
              <w:rPr>
                <w:rStyle w:val="Hyperlink"/>
                <w:caps/>
                <w:noProof/>
                <w:specVanish/>
              </w:rPr>
              <w:t>18.4</w:t>
            </w:r>
            <w:r>
              <w:rPr>
                <w:rFonts w:asciiTheme="minorHAnsi" w:hAnsiTheme="minorHAnsi" w:eastAsiaTheme="minorEastAsia"/>
                <w:noProof/>
                <w:kern w:val="2"/>
                <w:sz w:val="24"/>
                <w:szCs w:val="24"/>
                <w14:ligatures w14:val="standardContextual"/>
              </w:rPr>
              <w:tab/>
            </w:r>
            <w:r w:rsidRPr="00F10278">
              <w:rPr>
                <w:rStyle w:val="Hyperlink"/>
                <w:noProof/>
              </w:rPr>
              <w:t>General Requirements.</w:t>
            </w:r>
            <w:r>
              <w:rPr>
                <w:noProof/>
                <w:webHidden/>
              </w:rPr>
              <w:tab/>
            </w:r>
            <w:r>
              <w:rPr>
                <w:noProof/>
                <w:webHidden/>
              </w:rPr>
              <w:fldChar w:fldCharType="begin"/>
            </w:r>
            <w:r>
              <w:rPr>
                <w:noProof/>
                <w:webHidden/>
              </w:rPr>
              <w:instrText xml:space="preserve"> PAGEREF _Toc227451446 \h </w:instrText>
            </w:r>
            <w:r>
              <w:rPr>
                <w:noProof/>
                <w:webHidden/>
              </w:rPr>
            </w:r>
            <w:r>
              <w:rPr>
                <w:noProof/>
                <w:webHidden/>
              </w:rPr>
              <w:fldChar w:fldCharType="separate"/>
            </w:r>
            <w:r>
              <w:rPr>
                <w:noProof/>
                <w:webHidden/>
              </w:rPr>
              <w:t>67</w:t>
            </w:r>
            <w:r>
              <w:rPr>
                <w:noProof/>
                <w:webHidden/>
              </w:rPr>
              <w:fldChar w:fldCharType="end"/>
            </w:r>
          </w:hyperlink>
        </w:p>
        <w:p w:rsidR="00D5639B" w:rsidRDefault="00D5639B" w14:paraId="77B3E952" w14:textId="28D21E84">
          <w:pPr>
            <w:pStyle w:val="TOC1"/>
            <w:rPr>
              <w:rFonts w:asciiTheme="minorHAnsi" w:hAnsiTheme="minorHAnsi" w:eastAsiaTheme="minorEastAsia" w:cstheme="minorBidi"/>
              <w:b w:val="0"/>
              <w:caps w:val="0"/>
              <w:noProof/>
              <w:kern w:val="2"/>
              <w:sz w:val="24"/>
              <w:szCs w:val="24"/>
              <w14:ligatures w14:val="standardContextual"/>
            </w:rPr>
          </w:pPr>
          <w:hyperlink w:history="1" w:anchor="_Toc227451448">
            <w:r w:rsidRPr="00F10278">
              <w:rPr>
                <w:rStyle w:val="Hyperlink"/>
                <w:noProof/>
              </w:rPr>
              <w:t>Part 19</w:t>
            </w:r>
            <w:r>
              <w:rPr>
                <w:rFonts w:asciiTheme="minorHAnsi" w:hAnsiTheme="minorHAnsi" w:eastAsiaTheme="minorEastAsia" w:cstheme="minorBidi"/>
                <w:b w:val="0"/>
                <w:caps w:val="0"/>
                <w:noProof/>
                <w:kern w:val="2"/>
                <w:sz w:val="24"/>
                <w:szCs w:val="24"/>
                <w14:ligatures w14:val="standardContextual"/>
              </w:rPr>
              <w:tab/>
            </w:r>
            <w:r w:rsidRPr="00F10278">
              <w:rPr>
                <w:rStyle w:val="Hyperlink"/>
                <w:noProof/>
              </w:rPr>
              <w:t>Dispute Resolution</w:t>
            </w:r>
            <w:r>
              <w:rPr>
                <w:noProof/>
                <w:webHidden/>
              </w:rPr>
              <w:tab/>
            </w:r>
            <w:r>
              <w:rPr>
                <w:noProof/>
                <w:webHidden/>
              </w:rPr>
              <w:fldChar w:fldCharType="begin"/>
            </w:r>
            <w:r>
              <w:rPr>
                <w:noProof/>
                <w:webHidden/>
              </w:rPr>
              <w:instrText xml:space="preserve"> PAGEREF _Toc227451448 \h </w:instrText>
            </w:r>
            <w:r>
              <w:rPr>
                <w:noProof/>
                <w:webHidden/>
              </w:rPr>
            </w:r>
            <w:r>
              <w:rPr>
                <w:noProof/>
                <w:webHidden/>
              </w:rPr>
              <w:fldChar w:fldCharType="separate"/>
            </w:r>
            <w:r>
              <w:rPr>
                <w:noProof/>
                <w:webHidden/>
              </w:rPr>
              <w:t>68</w:t>
            </w:r>
            <w:r>
              <w:rPr>
                <w:noProof/>
                <w:webHidden/>
              </w:rPr>
              <w:fldChar w:fldCharType="end"/>
            </w:r>
          </w:hyperlink>
        </w:p>
        <w:p w:rsidR="00D5639B" w:rsidRDefault="00D5639B" w14:paraId="4C0AED31" w14:textId="5C61B00C">
          <w:pPr>
            <w:pStyle w:val="TOC2"/>
            <w:rPr>
              <w:rFonts w:asciiTheme="minorHAnsi" w:hAnsiTheme="minorHAnsi" w:eastAsiaTheme="minorEastAsia"/>
              <w:noProof/>
              <w:kern w:val="2"/>
              <w:sz w:val="24"/>
              <w:szCs w:val="24"/>
              <w14:ligatures w14:val="standardContextual"/>
            </w:rPr>
          </w:pPr>
          <w:hyperlink w:history="1" w:anchor="_Toc227451449">
            <w:r w:rsidRPr="00F10278">
              <w:rPr>
                <w:rStyle w:val="Hyperlink"/>
                <w:rFonts w:cs="Arial"/>
                <w:caps/>
                <w:noProof/>
                <w:specVanish/>
              </w:rPr>
              <w:t>19.1</w:t>
            </w:r>
            <w:r>
              <w:rPr>
                <w:rFonts w:asciiTheme="minorHAnsi" w:hAnsiTheme="minorHAnsi" w:eastAsiaTheme="minorEastAsia"/>
                <w:noProof/>
                <w:kern w:val="2"/>
                <w:sz w:val="24"/>
                <w:szCs w:val="24"/>
                <w14:ligatures w14:val="standardContextual"/>
              </w:rPr>
              <w:tab/>
            </w:r>
            <w:r w:rsidRPr="00F10278">
              <w:rPr>
                <w:rStyle w:val="Hyperlink"/>
                <w:rFonts w:cs="Arial"/>
                <w:noProof/>
              </w:rPr>
              <w:t>Notice of Dispute; Dispute Resolution Process.</w:t>
            </w:r>
            <w:r>
              <w:rPr>
                <w:noProof/>
                <w:webHidden/>
              </w:rPr>
              <w:tab/>
            </w:r>
            <w:r>
              <w:rPr>
                <w:noProof/>
                <w:webHidden/>
              </w:rPr>
              <w:fldChar w:fldCharType="begin"/>
            </w:r>
            <w:r>
              <w:rPr>
                <w:noProof/>
                <w:webHidden/>
              </w:rPr>
              <w:instrText xml:space="preserve"> PAGEREF _Toc227451449 \h </w:instrText>
            </w:r>
            <w:r>
              <w:rPr>
                <w:noProof/>
                <w:webHidden/>
              </w:rPr>
            </w:r>
            <w:r>
              <w:rPr>
                <w:noProof/>
                <w:webHidden/>
              </w:rPr>
              <w:fldChar w:fldCharType="separate"/>
            </w:r>
            <w:r>
              <w:rPr>
                <w:noProof/>
                <w:webHidden/>
              </w:rPr>
              <w:t>68</w:t>
            </w:r>
            <w:r>
              <w:rPr>
                <w:noProof/>
                <w:webHidden/>
              </w:rPr>
              <w:fldChar w:fldCharType="end"/>
            </w:r>
          </w:hyperlink>
        </w:p>
        <w:p w:rsidR="00D5639B" w:rsidRDefault="00D5639B" w14:paraId="5A3A5B1F" w14:textId="158DFE9B">
          <w:pPr>
            <w:pStyle w:val="TOC2"/>
            <w:rPr>
              <w:rFonts w:asciiTheme="minorHAnsi" w:hAnsiTheme="minorHAnsi" w:eastAsiaTheme="minorEastAsia"/>
              <w:noProof/>
              <w:kern w:val="2"/>
              <w:sz w:val="24"/>
              <w:szCs w:val="24"/>
              <w14:ligatures w14:val="standardContextual"/>
            </w:rPr>
          </w:pPr>
          <w:hyperlink w:history="1" w:anchor="_Toc227451450">
            <w:r w:rsidRPr="00F10278">
              <w:rPr>
                <w:rStyle w:val="Hyperlink"/>
                <w:rFonts w:cs="Arial"/>
                <w:caps/>
                <w:noProof/>
                <w:specVanish/>
              </w:rPr>
              <w:t>19.2</w:t>
            </w:r>
            <w:r>
              <w:rPr>
                <w:rFonts w:asciiTheme="minorHAnsi" w:hAnsiTheme="minorHAnsi" w:eastAsiaTheme="minorEastAsia"/>
                <w:noProof/>
                <w:kern w:val="2"/>
                <w:sz w:val="24"/>
                <w:szCs w:val="24"/>
                <w14:ligatures w14:val="standardContextual"/>
              </w:rPr>
              <w:tab/>
            </w:r>
            <w:r w:rsidRPr="00F10278">
              <w:rPr>
                <w:rStyle w:val="Hyperlink"/>
                <w:rFonts w:cs="Arial"/>
                <w:noProof/>
              </w:rPr>
              <w:t>Expert Arbitration.</w:t>
            </w:r>
            <w:r>
              <w:rPr>
                <w:noProof/>
                <w:webHidden/>
              </w:rPr>
              <w:tab/>
            </w:r>
            <w:r>
              <w:rPr>
                <w:noProof/>
                <w:webHidden/>
              </w:rPr>
              <w:fldChar w:fldCharType="begin"/>
            </w:r>
            <w:r>
              <w:rPr>
                <w:noProof/>
                <w:webHidden/>
              </w:rPr>
              <w:instrText xml:space="preserve"> PAGEREF _Toc227451450 \h </w:instrText>
            </w:r>
            <w:r>
              <w:rPr>
                <w:noProof/>
                <w:webHidden/>
              </w:rPr>
            </w:r>
            <w:r>
              <w:rPr>
                <w:noProof/>
                <w:webHidden/>
              </w:rPr>
              <w:fldChar w:fldCharType="separate"/>
            </w:r>
            <w:r>
              <w:rPr>
                <w:noProof/>
                <w:webHidden/>
              </w:rPr>
              <w:t>68</w:t>
            </w:r>
            <w:r>
              <w:rPr>
                <w:noProof/>
                <w:webHidden/>
              </w:rPr>
              <w:fldChar w:fldCharType="end"/>
            </w:r>
          </w:hyperlink>
        </w:p>
        <w:p w:rsidR="00D5639B" w:rsidRDefault="00D5639B" w14:paraId="0BC6AACD" w14:textId="0FB05476">
          <w:pPr>
            <w:pStyle w:val="TOC2"/>
            <w:rPr>
              <w:rFonts w:asciiTheme="minorHAnsi" w:hAnsiTheme="minorHAnsi" w:eastAsiaTheme="minorEastAsia"/>
              <w:noProof/>
              <w:kern w:val="2"/>
              <w:sz w:val="24"/>
              <w:szCs w:val="24"/>
              <w14:ligatures w14:val="standardContextual"/>
            </w:rPr>
          </w:pPr>
          <w:hyperlink w:history="1" w:anchor="_Toc227451451">
            <w:r w:rsidRPr="00F10278">
              <w:rPr>
                <w:rStyle w:val="Hyperlink"/>
                <w:rFonts w:cs="Arial"/>
                <w:caps/>
                <w:noProof/>
                <w:specVanish/>
              </w:rPr>
              <w:t>19.3</w:t>
            </w:r>
            <w:r>
              <w:rPr>
                <w:rFonts w:asciiTheme="minorHAnsi" w:hAnsiTheme="minorHAnsi" w:eastAsiaTheme="minorEastAsia"/>
                <w:noProof/>
                <w:kern w:val="2"/>
                <w:sz w:val="24"/>
                <w:szCs w:val="24"/>
                <w14:ligatures w14:val="standardContextual"/>
              </w:rPr>
              <w:tab/>
            </w:r>
            <w:r w:rsidRPr="00F10278">
              <w:rPr>
                <w:rStyle w:val="Hyperlink"/>
                <w:rFonts w:cs="Arial"/>
                <w:noProof/>
              </w:rPr>
              <w:t>JAMS Arbitration.</w:t>
            </w:r>
            <w:r>
              <w:rPr>
                <w:noProof/>
                <w:webHidden/>
              </w:rPr>
              <w:tab/>
            </w:r>
            <w:r>
              <w:rPr>
                <w:noProof/>
                <w:webHidden/>
              </w:rPr>
              <w:fldChar w:fldCharType="begin"/>
            </w:r>
            <w:r>
              <w:rPr>
                <w:noProof/>
                <w:webHidden/>
              </w:rPr>
              <w:instrText xml:space="preserve"> PAGEREF _Toc227451451 \h </w:instrText>
            </w:r>
            <w:r>
              <w:rPr>
                <w:noProof/>
                <w:webHidden/>
              </w:rPr>
            </w:r>
            <w:r>
              <w:rPr>
                <w:noProof/>
                <w:webHidden/>
              </w:rPr>
              <w:fldChar w:fldCharType="separate"/>
            </w:r>
            <w:r>
              <w:rPr>
                <w:noProof/>
                <w:webHidden/>
              </w:rPr>
              <w:t>69</w:t>
            </w:r>
            <w:r>
              <w:rPr>
                <w:noProof/>
                <w:webHidden/>
              </w:rPr>
              <w:fldChar w:fldCharType="end"/>
            </w:r>
          </w:hyperlink>
        </w:p>
        <w:p w:rsidR="00D5639B" w:rsidRDefault="00D5639B" w14:paraId="5F933B95" w14:textId="24E31B99">
          <w:pPr>
            <w:pStyle w:val="TOC2"/>
            <w:rPr>
              <w:rFonts w:asciiTheme="minorHAnsi" w:hAnsiTheme="minorHAnsi" w:eastAsiaTheme="minorEastAsia"/>
              <w:noProof/>
              <w:kern w:val="2"/>
              <w:sz w:val="24"/>
              <w:szCs w:val="24"/>
              <w14:ligatures w14:val="standardContextual"/>
            </w:rPr>
          </w:pPr>
          <w:hyperlink w:history="1" w:anchor="_Toc227451452">
            <w:r w:rsidRPr="00F10278">
              <w:rPr>
                <w:rStyle w:val="Hyperlink"/>
                <w:rFonts w:cs="Arial"/>
                <w:caps/>
                <w:noProof/>
                <w:specVanish/>
              </w:rPr>
              <w:t>19.4</w:t>
            </w:r>
            <w:r>
              <w:rPr>
                <w:rFonts w:asciiTheme="minorHAnsi" w:hAnsiTheme="minorHAnsi" w:eastAsiaTheme="minorEastAsia"/>
                <w:noProof/>
                <w:kern w:val="2"/>
                <w:sz w:val="24"/>
                <w:szCs w:val="24"/>
                <w14:ligatures w14:val="standardContextual"/>
              </w:rPr>
              <w:tab/>
            </w:r>
            <w:r w:rsidRPr="00F10278">
              <w:rPr>
                <w:rStyle w:val="Hyperlink"/>
                <w:rFonts w:cs="Arial"/>
                <w:noProof/>
              </w:rPr>
              <w:t>Location of Arbitration.</w:t>
            </w:r>
            <w:r>
              <w:rPr>
                <w:noProof/>
                <w:webHidden/>
              </w:rPr>
              <w:tab/>
            </w:r>
            <w:r>
              <w:rPr>
                <w:noProof/>
                <w:webHidden/>
              </w:rPr>
              <w:fldChar w:fldCharType="begin"/>
            </w:r>
            <w:r>
              <w:rPr>
                <w:noProof/>
                <w:webHidden/>
              </w:rPr>
              <w:instrText xml:space="preserve"> PAGEREF _Toc227451452 \h </w:instrText>
            </w:r>
            <w:r>
              <w:rPr>
                <w:noProof/>
                <w:webHidden/>
              </w:rPr>
            </w:r>
            <w:r>
              <w:rPr>
                <w:noProof/>
                <w:webHidden/>
              </w:rPr>
              <w:fldChar w:fldCharType="separate"/>
            </w:r>
            <w:r>
              <w:rPr>
                <w:noProof/>
                <w:webHidden/>
              </w:rPr>
              <w:t>71</w:t>
            </w:r>
            <w:r>
              <w:rPr>
                <w:noProof/>
                <w:webHidden/>
              </w:rPr>
              <w:fldChar w:fldCharType="end"/>
            </w:r>
          </w:hyperlink>
        </w:p>
        <w:p w:rsidR="00D5639B" w:rsidRDefault="00D5639B" w14:paraId="2E61BD6A" w14:textId="0919EA9F">
          <w:pPr>
            <w:pStyle w:val="TOC2"/>
            <w:rPr>
              <w:rFonts w:asciiTheme="minorHAnsi" w:hAnsiTheme="minorHAnsi" w:eastAsiaTheme="minorEastAsia"/>
              <w:noProof/>
              <w:kern w:val="2"/>
              <w:sz w:val="24"/>
              <w:szCs w:val="24"/>
              <w14:ligatures w14:val="standardContextual"/>
            </w:rPr>
          </w:pPr>
          <w:hyperlink w:history="1" w:anchor="_Toc227451453">
            <w:r w:rsidRPr="00F10278">
              <w:rPr>
                <w:rStyle w:val="Hyperlink"/>
                <w:rFonts w:cs="Arial"/>
                <w:caps/>
                <w:noProof/>
                <w:specVanish/>
              </w:rPr>
              <w:t>19.5</w:t>
            </w:r>
            <w:r>
              <w:rPr>
                <w:rFonts w:asciiTheme="minorHAnsi" w:hAnsiTheme="minorHAnsi" w:eastAsiaTheme="minorEastAsia"/>
                <w:noProof/>
                <w:kern w:val="2"/>
                <w:sz w:val="24"/>
                <w:szCs w:val="24"/>
                <w14:ligatures w14:val="standardContextual"/>
              </w:rPr>
              <w:tab/>
            </w:r>
            <w:r w:rsidRPr="00F10278">
              <w:rPr>
                <w:rStyle w:val="Hyperlink"/>
                <w:rFonts w:cs="Arial"/>
                <w:noProof/>
              </w:rPr>
              <w:t>Mandatory Arbitration.</w:t>
            </w:r>
            <w:r>
              <w:rPr>
                <w:noProof/>
                <w:webHidden/>
              </w:rPr>
              <w:tab/>
            </w:r>
            <w:r>
              <w:rPr>
                <w:noProof/>
                <w:webHidden/>
              </w:rPr>
              <w:fldChar w:fldCharType="begin"/>
            </w:r>
            <w:r>
              <w:rPr>
                <w:noProof/>
                <w:webHidden/>
              </w:rPr>
              <w:instrText xml:space="preserve"> PAGEREF _Toc227451453 \h </w:instrText>
            </w:r>
            <w:r>
              <w:rPr>
                <w:noProof/>
                <w:webHidden/>
              </w:rPr>
            </w:r>
            <w:r>
              <w:rPr>
                <w:noProof/>
                <w:webHidden/>
              </w:rPr>
              <w:fldChar w:fldCharType="separate"/>
            </w:r>
            <w:r>
              <w:rPr>
                <w:noProof/>
                <w:webHidden/>
              </w:rPr>
              <w:t>71</w:t>
            </w:r>
            <w:r>
              <w:rPr>
                <w:noProof/>
                <w:webHidden/>
              </w:rPr>
              <w:fldChar w:fldCharType="end"/>
            </w:r>
          </w:hyperlink>
        </w:p>
        <w:p w:rsidR="00D5639B" w:rsidRDefault="00D5639B" w14:paraId="76AC4FC4" w14:textId="4234A72D">
          <w:pPr>
            <w:pStyle w:val="TOC2"/>
            <w:rPr>
              <w:rFonts w:asciiTheme="minorHAnsi" w:hAnsiTheme="minorHAnsi" w:eastAsiaTheme="minorEastAsia"/>
              <w:noProof/>
              <w:kern w:val="2"/>
              <w:sz w:val="24"/>
              <w:szCs w:val="24"/>
              <w14:ligatures w14:val="standardContextual"/>
            </w:rPr>
          </w:pPr>
          <w:hyperlink w:history="1" w:anchor="_Toc227451454">
            <w:r w:rsidRPr="00F10278">
              <w:rPr>
                <w:rStyle w:val="Hyperlink"/>
                <w:rFonts w:cs="Arial"/>
                <w:caps/>
                <w:noProof/>
                <w:specVanish/>
              </w:rPr>
              <w:t>19.6</w:t>
            </w:r>
            <w:r>
              <w:rPr>
                <w:rFonts w:asciiTheme="minorHAnsi" w:hAnsiTheme="minorHAnsi" w:eastAsiaTheme="minorEastAsia"/>
                <w:noProof/>
                <w:kern w:val="2"/>
                <w:sz w:val="24"/>
                <w:szCs w:val="24"/>
                <w14:ligatures w14:val="standardContextual"/>
              </w:rPr>
              <w:tab/>
            </w:r>
            <w:r w:rsidRPr="00F10278">
              <w:rPr>
                <w:rStyle w:val="Hyperlink"/>
                <w:rFonts w:cs="Arial"/>
                <w:noProof/>
              </w:rPr>
              <w:t>Injunctive Relief.</w:t>
            </w:r>
            <w:r>
              <w:rPr>
                <w:noProof/>
                <w:webHidden/>
              </w:rPr>
              <w:tab/>
            </w:r>
            <w:r>
              <w:rPr>
                <w:noProof/>
                <w:webHidden/>
              </w:rPr>
              <w:fldChar w:fldCharType="begin"/>
            </w:r>
            <w:r>
              <w:rPr>
                <w:noProof/>
                <w:webHidden/>
              </w:rPr>
              <w:instrText xml:space="preserve"> PAGEREF _Toc227451454 \h </w:instrText>
            </w:r>
            <w:r>
              <w:rPr>
                <w:noProof/>
                <w:webHidden/>
              </w:rPr>
            </w:r>
            <w:r>
              <w:rPr>
                <w:noProof/>
                <w:webHidden/>
              </w:rPr>
              <w:fldChar w:fldCharType="separate"/>
            </w:r>
            <w:r>
              <w:rPr>
                <w:noProof/>
                <w:webHidden/>
              </w:rPr>
              <w:t>71</w:t>
            </w:r>
            <w:r>
              <w:rPr>
                <w:noProof/>
                <w:webHidden/>
              </w:rPr>
              <w:fldChar w:fldCharType="end"/>
            </w:r>
          </w:hyperlink>
        </w:p>
        <w:p w:rsidR="00D5639B" w:rsidRDefault="00D5639B" w14:paraId="4B7CFE40" w14:textId="4B70309D">
          <w:pPr>
            <w:pStyle w:val="TOC2"/>
            <w:rPr>
              <w:rFonts w:asciiTheme="minorHAnsi" w:hAnsiTheme="minorHAnsi" w:eastAsiaTheme="minorEastAsia"/>
              <w:noProof/>
              <w:kern w:val="2"/>
              <w:sz w:val="24"/>
              <w:szCs w:val="24"/>
              <w14:ligatures w14:val="standardContextual"/>
            </w:rPr>
          </w:pPr>
          <w:hyperlink w:history="1" w:anchor="_Toc227451455">
            <w:r w:rsidRPr="00F10278">
              <w:rPr>
                <w:rStyle w:val="Hyperlink"/>
                <w:rFonts w:cs="Arial"/>
                <w:caps/>
                <w:noProof/>
                <w:specVanish/>
              </w:rPr>
              <w:t>19.7</w:t>
            </w:r>
            <w:r>
              <w:rPr>
                <w:rFonts w:asciiTheme="minorHAnsi" w:hAnsiTheme="minorHAnsi" w:eastAsiaTheme="minorEastAsia"/>
                <w:noProof/>
                <w:kern w:val="2"/>
                <w:sz w:val="24"/>
                <w:szCs w:val="24"/>
                <w14:ligatures w14:val="standardContextual"/>
              </w:rPr>
              <w:tab/>
            </w:r>
            <w:r w:rsidRPr="00F10278">
              <w:rPr>
                <w:rStyle w:val="Hyperlink"/>
                <w:rFonts w:cs="Arial"/>
                <w:noProof/>
              </w:rPr>
              <w:t>Continued Performance.</w:t>
            </w:r>
            <w:r>
              <w:rPr>
                <w:noProof/>
                <w:webHidden/>
              </w:rPr>
              <w:tab/>
            </w:r>
            <w:r>
              <w:rPr>
                <w:noProof/>
                <w:webHidden/>
              </w:rPr>
              <w:fldChar w:fldCharType="begin"/>
            </w:r>
            <w:r>
              <w:rPr>
                <w:noProof/>
                <w:webHidden/>
              </w:rPr>
              <w:instrText xml:space="preserve"> PAGEREF _Toc227451455 \h </w:instrText>
            </w:r>
            <w:r>
              <w:rPr>
                <w:noProof/>
                <w:webHidden/>
              </w:rPr>
            </w:r>
            <w:r>
              <w:rPr>
                <w:noProof/>
                <w:webHidden/>
              </w:rPr>
              <w:fldChar w:fldCharType="separate"/>
            </w:r>
            <w:r>
              <w:rPr>
                <w:noProof/>
                <w:webHidden/>
              </w:rPr>
              <w:t>71</w:t>
            </w:r>
            <w:r>
              <w:rPr>
                <w:noProof/>
                <w:webHidden/>
              </w:rPr>
              <w:fldChar w:fldCharType="end"/>
            </w:r>
          </w:hyperlink>
        </w:p>
        <w:p w:rsidR="00D5639B" w:rsidRDefault="00D5639B" w14:paraId="1532B465" w14:textId="3A538842">
          <w:pPr>
            <w:pStyle w:val="TOC1"/>
            <w:rPr>
              <w:rFonts w:asciiTheme="minorHAnsi" w:hAnsiTheme="minorHAnsi" w:eastAsiaTheme="minorEastAsia" w:cstheme="minorBidi"/>
              <w:b w:val="0"/>
              <w:caps w:val="0"/>
              <w:noProof/>
              <w:kern w:val="2"/>
              <w:sz w:val="24"/>
              <w:szCs w:val="24"/>
              <w14:ligatures w14:val="standardContextual"/>
            </w:rPr>
          </w:pPr>
          <w:hyperlink w:history="1" w:anchor="_Toc227451456">
            <w:r w:rsidRPr="00F10278">
              <w:rPr>
                <w:rStyle w:val="Hyperlink"/>
                <w:noProof/>
              </w:rPr>
              <w:t>Part 20</w:t>
            </w:r>
            <w:r>
              <w:rPr>
                <w:rFonts w:asciiTheme="minorHAnsi" w:hAnsiTheme="minorHAnsi" w:eastAsiaTheme="minorEastAsia" w:cstheme="minorBidi"/>
                <w:b w:val="0"/>
                <w:caps w:val="0"/>
                <w:noProof/>
                <w:kern w:val="2"/>
                <w:sz w:val="24"/>
                <w:szCs w:val="24"/>
                <w14:ligatures w14:val="standardContextual"/>
              </w:rPr>
              <w:tab/>
            </w:r>
            <w:r w:rsidRPr="00F10278">
              <w:rPr>
                <w:rStyle w:val="Hyperlink"/>
                <w:noProof/>
              </w:rPr>
              <w:t>Miscellaneous Provisions</w:t>
            </w:r>
            <w:r>
              <w:rPr>
                <w:noProof/>
                <w:webHidden/>
              </w:rPr>
              <w:tab/>
            </w:r>
            <w:r>
              <w:rPr>
                <w:noProof/>
                <w:webHidden/>
              </w:rPr>
              <w:fldChar w:fldCharType="begin"/>
            </w:r>
            <w:r>
              <w:rPr>
                <w:noProof/>
                <w:webHidden/>
              </w:rPr>
              <w:instrText xml:space="preserve"> PAGEREF _Toc227451456 \h </w:instrText>
            </w:r>
            <w:r>
              <w:rPr>
                <w:noProof/>
                <w:webHidden/>
              </w:rPr>
            </w:r>
            <w:r>
              <w:rPr>
                <w:noProof/>
                <w:webHidden/>
              </w:rPr>
              <w:fldChar w:fldCharType="separate"/>
            </w:r>
            <w:r>
              <w:rPr>
                <w:noProof/>
                <w:webHidden/>
              </w:rPr>
              <w:t>71</w:t>
            </w:r>
            <w:r>
              <w:rPr>
                <w:noProof/>
                <w:webHidden/>
              </w:rPr>
              <w:fldChar w:fldCharType="end"/>
            </w:r>
          </w:hyperlink>
        </w:p>
        <w:p w:rsidR="00D5639B" w:rsidRDefault="00D5639B" w14:paraId="553F43AF" w14:textId="3F35EEB9">
          <w:pPr>
            <w:pStyle w:val="TOC2"/>
            <w:rPr>
              <w:rFonts w:asciiTheme="minorHAnsi" w:hAnsiTheme="minorHAnsi" w:eastAsiaTheme="minorEastAsia"/>
              <w:noProof/>
              <w:kern w:val="2"/>
              <w:sz w:val="24"/>
              <w:szCs w:val="24"/>
              <w14:ligatures w14:val="standardContextual"/>
            </w:rPr>
          </w:pPr>
          <w:hyperlink w:history="1" w:anchor="_Toc227451457">
            <w:r w:rsidRPr="00F10278">
              <w:rPr>
                <w:rStyle w:val="Hyperlink"/>
                <w:rFonts w:cs="Arial"/>
                <w:caps/>
                <w:noProof/>
                <w:specVanish/>
              </w:rPr>
              <w:t>20.1</w:t>
            </w:r>
            <w:r>
              <w:rPr>
                <w:rFonts w:asciiTheme="minorHAnsi" w:hAnsiTheme="minorHAnsi" w:eastAsiaTheme="minorEastAsia"/>
                <w:noProof/>
                <w:kern w:val="2"/>
                <w:sz w:val="24"/>
                <w:szCs w:val="24"/>
                <w14:ligatures w14:val="standardContextual"/>
              </w:rPr>
              <w:tab/>
            </w:r>
            <w:r w:rsidRPr="00F10278">
              <w:rPr>
                <w:rStyle w:val="Hyperlink"/>
                <w:rFonts w:cs="Arial"/>
                <w:noProof/>
              </w:rPr>
              <w:t>Amendments.</w:t>
            </w:r>
            <w:r>
              <w:rPr>
                <w:noProof/>
                <w:webHidden/>
              </w:rPr>
              <w:tab/>
            </w:r>
            <w:r>
              <w:rPr>
                <w:noProof/>
                <w:webHidden/>
              </w:rPr>
              <w:fldChar w:fldCharType="begin"/>
            </w:r>
            <w:r>
              <w:rPr>
                <w:noProof/>
                <w:webHidden/>
              </w:rPr>
              <w:instrText xml:space="preserve"> PAGEREF _Toc227451457 \h </w:instrText>
            </w:r>
            <w:r>
              <w:rPr>
                <w:noProof/>
                <w:webHidden/>
              </w:rPr>
            </w:r>
            <w:r>
              <w:rPr>
                <w:noProof/>
                <w:webHidden/>
              </w:rPr>
              <w:fldChar w:fldCharType="separate"/>
            </w:r>
            <w:r>
              <w:rPr>
                <w:noProof/>
                <w:webHidden/>
              </w:rPr>
              <w:t>71</w:t>
            </w:r>
            <w:r>
              <w:rPr>
                <w:noProof/>
                <w:webHidden/>
              </w:rPr>
              <w:fldChar w:fldCharType="end"/>
            </w:r>
          </w:hyperlink>
        </w:p>
        <w:p w:rsidR="00D5639B" w:rsidRDefault="00D5639B" w14:paraId="771464DE" w14:textId="00DFF7BA">
          <w:pPr>
            <w:pStyle w:val="TOC2"/>
            <w:rPr>
              <w:rFonts w:asciiTheme="minorHAnsi" w:hAnsiTheme="minorHAnsi" w:eastAsiaTheme="minorEastAsia"/>
              <w:noProof/>
              <w:kern w:val="2"/>
              <w:sz w:val="24"/>
              <w:szCs w:val="24"/>
              <w14:ligatures w14:val="standardContextual"/>
            </w:rPr>
          </w:pPr>
          <w:hyperlink w:history="1" w:anchor="_Toc227451458">
            <w:r w:rsidRPr="00F10278">
              <w:rPr>
                <w:rStyle w:val="Hyperlink"/>
                <w:rFonts w:cs="Arial"/>
                <w:bCs/>
                <w:iCs/>
                <w:caps/>
                <w:noProof/>
                <w:specVanish/>
              </w:rPr>
              <w:t>20.2</w:t>
            </w:r>
            <w:r>
              <w:rPr>
                <w:rFonts w:asciiTheme="minorHAnsi" w:hAnsiTheme="minorHAnsi" w:eastAsiaTheme="minorEastAsia"/>
                <w:noProof/>
                <w:kern w:val="2"/>
                <w:sz w:val="24"/>
                <w:szCs w:val="24"/>
                <w14:ligatures w14:val="standardContextual"/>
              </w:rPr>
              <w:tab/>
            </w:r>
            <w:r w:rsidRPr="00F10278">
              <w:rPr>
                <w:rStyle w:val="Hyperlink"/>
                <w:rFonts w:cs="Arial"/>
                <w:noProof/>
              </w:rPr>
              <w:t>Binding Effect</w:t>
            </w:r>
            <w:r w:rsidRPr="00F10278">
              <w:rPr>
                <w:rStyle w:val="Hyperlink"/>
                <w:rFonts w:cs="Arial"/>
                <w:i/>
                <w:iCs/>
                <w:noProof/>
              </w:rPr>
              <w:t>.</w:t>
            </w:r>
            <w:r>
              <w:rPr>
                <w:noProof/>
                <w:webHidden/>
              </w:rPr>
              <w:tab/>
            </w:r>
            <w:r>
              <w:rPr>
                <w:noProof/>
                <w:webHidden/>
              </w:rPr>
              <w:fldChar w:fldCharType="begin"/>
            </w:r>
            <w:r>
              <w:rPr>
                <w:noProof/>
                <w:webHidden/>
              </w:rPr>
              <w:instrText xml:space="preserve"> PAGEREF _Toc227451458 \h </w:instrText>
            </w:r>
            <w:r>
              <w:rPr>
                <w:noProof/>
                <w:webHidden/>
              </w:rPr>
            </w:r>
            <w:r>
              <w:rPr>
                <w:noProof/>
                <w:webHidden/>
              </w:rPr>
              <w:fldChar w:fldCharType="separate"/>
            </w:r>
            <w:r>
              <w:rPr>
                <w:noProof/>
                <w:webHidden/>
              </w:rPr>
              <w:t>71</w:t>
            </w:r>
            <w:r>
              <w:rPr>
                <w:noProof/>
                <w:webHidden/>
              </w:rPr>
              <w:fldChar w:fldCharType="end"/>
            </w:r>
          </w:hyperlink>
        </w:p>
        <w:p w:rsidR="00D5639B" w:rsidRDefault="00D5639B" w14:paraId="646E7FBF" w14:textId="51D4A864">
          <w:pPr>
            <w:pStyle w:val="TOC2"/>
            <w:rPr>
              <w:rFonts w:asciiTheme="minorHAnsi" w:hAnsiTheme="minorHAnsi" w:eastAsiaTheme="minorEastAsia"/>
              <w:noProof/>
              <w:kern w:val="2"/>
              <w:sz w:val="24"/>
              <w:szCs w:val="24"/>
              <w14:ligatures w14:val="standardContextual"/>
            </w:rPr>
          </w:pPr>
          <w:hyperlink w:history="1" w:anchor="_Toc227451459">
            <w:r w:rsidRPr="00F10278">
              <w:rPr>
                <w:rStyle w:val="Hyperlink"/>
                <w:rFonts w:cs="Arial"/>
                <w:caps/>
                <w:noProof/>
                <w:specVanish/>
              </w:rPr>
              <w:t>20.3</w:t>
            </w:r>
            <w:r>
              <w:rPr>
                <w:rFonts w:asciiTheme="minorHAnsi" w:hAnsiTheme="minorHAnsi" w:eastAsiaTheme="minorEastAsia"/>
                <w:noProof/>
                <w:kern w:val="2"/>
                <w:sz w:val="24"/>
                <w:szCs w:val="24"/>
                <w14:ligatures w14:val="standardContextual"/>
              </w:rPr>
              <w:tab/>
            </w:r>
            <w:r w:rsidRPr="00F10278">
              <w:rPr>
                <w:rStyle w:val="Hyperlink"/>
                <w:rFonts w:cs="Arial"/>
                <w:noProof/>
              </w:rPr>
              <w:t>Counterparts.</w:t>
            </w:r>
            <w:r>
              <w:rPr>
                <w:noProof/>
                <w:webHidden/>
              </w:rPr>
              <w:tab/>
            </w:r>
            <w:r>
              <w:rPr>
                <w:noProof/>
                <w:webHidden/>
              </w:rPr>
              <w:fldChar w:fldCharType="begin"/>
            </w:r>
            <w:r>
              <w:rPr>
                <w:noProof/>
                <w:webHidden/>
              </w:rPr>
              <w:instrText xml:space="preserve"> PAGEREF _Toc227451459 \h </w:instrText>
            </w:r>
            <w:r>
              <w:rPr>
                <w:noProof/>
                <w:webHidden/>
              </w:rPr>
            </w:r>
            <w:r>
              <w:rPr>
                <w:noProof/>
                <w:webHidden/>
              </w:rPr>
              <w:fldChar w:fldCharType="separate"/>
            </w:r>
            <w:r>
              <w:rPr>
                <w:noProof/>
                <w:webHidden/>
              </w:rPr>
              <w:t>71</w:t>
            </w:r>
            <w:r>
              <w:rPr>
                <w:noProof/>
                <w:webHidden/>
              </w:rPr>
              <w:fldChar w:fldCharType="end"/>
            </w:r>
          </w:hyperlink>
        </w:p>
        <w:p w:rsidR="00D5639B" w:rsidRDefault="00D5639B" w14:paraId="7E27C030" w14:textId="31849045">
          <w:pPr>
            <w:pStyle w:val="TOC2"/>
            <w:rPr>
              <w:rFonts w:asciiTheme="minorHAnsi" w:hAnsiTheme="minorHAnsi" w:eastAsiaTheme="minorEastAsia"/>
              <w:noProof/>
              <w:kern w:val="2"/>
              <w:sz w:val="24"/>
              <w:szCs w:val="24"/>
              <w14:ligatures w14:val="standardContextual"/>
            </w:rPr>
          </w:pPr>
          <w:hyperlink w:history="1" w:anchor="_Toc227451460">
            <w:r w:rsidRPr="00F10278">
              <w:rPr>
                <w:rStyle w:val="Hyperlink"/>
                <w:rFonts w:cs="Arial"/>
                <w:caps/>
                <w:noProof/>
                <w:specVanish/>
              </w:rPr>
              <w:t>20.4</w:t>
            </w:r>
            <w:r>
              <w:rPr>
                <w:rFonts w:asciiTheme="minorHAnsi" w:hAnsiTheme="minorHAnsi" w:eastAsiaTheme="minorEastAsia"/>
                <w:noProof/>
                <w:kern w:val="2"/>
                <w:sz w:val="24"/>
                <w:szCs w:val="24"/>
                <w14:ligatures w14:val="standardContextual"/>
              </w:rPr>
              <w:tab/>
            </w:r>
            <w:r w:rsidRPr="00F10278">
              <w:rPr>
                <w:rStyle w:val="Hyperlink"/>
                <w:rFonts w:cs="Arial"/>
                <w:noProof/>
              </w:rPr>
              <w:t>Notice.</w:t>
            </w:r>
            <w:r>
              <w:rPr>
                <w:noProof/>
                <w:webHidden/>
              </w:rPr>
              <w:tab/>
            </w:r>
            <w:r>
              <w:rPr>
                <w:noProof/>
                <w:webHidden/>
              </w:rPr>
              <w:fldChar w:fldCharType="begin"/>
            </w:r>
            <w:r>
              <w:rPr>
                <w:noProof/>
                <w:webHidden/>
              </w:rPr>
              <w:instrText xml:space="preserve"> PAGEREF _Toc227451460 \h </w:instrText>
            </w:r>
            <w:r>
              <w:rPr>
                <w:noProof/>
                <w:webHidden/>
              </w:rPr>
            </w:r>
            <w:r>
              <w:rPr>
                <w:noProof/>
                <w:webHidden/>
              </w:rPr>
              <w:fldChar w:fldCharType="separate"/>
            </w:r>
            <w:r>
              <w:rPr>
                <w:noProof/>
                <w:webHidden/>
              </w:rPr>
              <w:t>71</w:t>
            </w:r>
            <w:r>
              <w:rPr>
                <w:noProof/>
                <w:webHidden/>
              </w:rPr>
              <w:fldChar w:fldCharType="end"/>
            </w:r>
          </w:hyperlink>
        </w:p>
        <w:p w:rsidR="00D5639B" w:rsidRDefault="00D5639B" w14:paraId="5604F0AA" w14:textId="12F8D7C4">
          <w:pPr>
            <w:pStyle w:val="TOC2"/>
            <w:rPr>
              <w:rFonts w:asciiTheme="minorHAnsi" w:hAnsiTheme="minorHAnsi" w:eastAsiaTheme="minorEastAsia"/>
              <w:noProof/>
              <w:kern w:val="2"/>
              <w:sz w:val="24"/>
              <w:szCs w:val="24"/>
              <w14:ligatures w14:val="standardContextual"/>
            </w:rPr>
          </w:pPr>
          <w:hyperlink w:history="1" w:anchor="_Toc227451461">
            <w:r w:rsidRPr="00F10278">
              <w:rPr>
                <w:rStyle w:val="Hyperlink"/>
                <w:rFonts w:cs="Arial"/>
                <w:caps/>
                <w:noProof/>
                <w:specVanish/>
              </w:rPr>
              <w:t>20.5</w:t>
            </w:r>
            <w:r>
              <w:rPr>
                <w:rFonts w:asciiTheme="minorHAnsi" w:hAnsiTheme="minorHAnsi" w:eastAsiaTheme="minorEastAsia"/>
                <w:noProof/>
                <w:kern w:val="2"/>
                <w:sz w:val="24"/>
                <w:szCs w:val="24"/>
                <w14:ligatures w14:val="standardContextual"/>
              </w:rPr>
              <w:tab/>
            </w:r>
            <w:r w:rsidRPr="00F10278">
              <w:rPr>
                <w:rStyle w:val="Hyperlink"/>
                <w:rFonts w:cs="Arial"/>
                <w:noProof/>
              </w:rPr>
              <w:t>Entire Agreement.</w:t>
            </w:r>
            <w:r>
              <w:rPr>
                <w:noProof/>
                <w:webHidden/>
              </w:rPr>
              <w:tab/>
            </w:r>
            <w:r>
              <w:rPr>
                <w:noProof/>
                <w:webHidden/>
              </w:rPr>
              <w:fldChar w:fldCharType="begin"/>
            </w:r>
            <w:r>
              <w:rPr>
                <w:noProof/>
                <w:webHidden/>
              </w:rPr>
              <w:instrText xml:space="preserve"> PAGEREF _Toc227451461 \h </w:instrText>
            </w:r>
            <w:r>
              <w:rPr>
                <w:noProof/>
                <w:webHidden/>
              </w:rPr>
            </w:r>
            <w:r>
              <w:rPr>
                <w:noProof/>
                <w:webHidden/>
              </w:rPr>
              <w:fldChar w:fldCharType="separate"/>
            </w:r>
            <w:r>
              <w:rPr>
                <w:noProof/>
                <w:webHidden/>
              </w:rPr>
              <w:t>71</w:t>
            </w:r>
            <w:r>
              <w:rPr>
                <w:noProof/>
                <w:webHidden/>
              </w:rPr>
              <w:fldChar w:fldCharType="end"/>
            </w:r>
          </w:hyperlink>
        </w:p>
        <w:p w:rsidR="00D5639B" w:rsidRDefault="00D5639B" w14:paraId="16919415" w14:textId="400B9D4B">
          <w:pPr>
            <w:pStyle w:val="TOC2"/>
            <w:rPr>
              <w:rFonts w:asciiTheme="minorHAnsi" w:hAnsiTheme="minorHAnsi" w:eastAsiaTheme="minorEastAsia"/>
              <w:noProof/>
              <w:kern w:val="2"/>
              <w:sz w:val="24"/>
              <w:szCs w:val="24"/>
              <w14:ligatures w14:val="standardContextual"/>
            </w:rPr>
          </w:pPr>
          <w:hyperlink w:history="1" w:anchor="_Toc227451462">
            <w:r w:rsidRPr="00F10278">
              <w:rPr>
                <w:rStyle w:val="Hyperlink"/>
                <w:rFonts w:cs="Arial"/>
                <w:caps/>
                <w:noProof/>
                <w:specVanish/>
              </w:rPr>
              <w:t>20.6</w:t>
            </w:r>
            <w:r>
              <w:rPr>
                <w:rFonts w:asciiTheme="minorHAnsi" w:hAnsiTheme="minorHAnsi" w:eastAsiaTheme="minorEastAsia"/>
                <w:noProof/>
                <w:kern w:val="2"/>
                <w:sz w:val="24"/>
                <w:szCs w:val="24"/>
                <w14:ligatures w14:val="standardContextual"/>
              </w:rPr>
              <w:tab/>
            </w:r>
            <w:r w:rsidRPr="00F10278">
              <w:rPr>
                <w:rStyle w:val="Hyperlink"/>
                <w:rFonts w:cs="Arial"/>
                <w:noProof/>
              </w:rPr>
              <w:t>Governing Law.</w:t>
            </w:r>
            <w:r>
              <w:rPr>
                <w:noProof/>
                <w:webHidden/>
              </w:rPr>
              <w:tab/>
            </w:r>
            <w:r>
              <w:rPr>
                <w:noProof/>
                <w:webHidden/>
              </w:rPr>
              <w:fldChar w:fldCharType="begin"/>
            </w:r>
            <w:r>
              <w:rPr>
                <w:noProof/>
                <w:webHidden/>
              </w:rPr>
              <w:instrText xml:space="preserve"> PAGEREF _Toc227451462 \h </w:instrText>
            </w:r>
            <w:r>
              <w:rPr>
                <w:noProof/>
                <w:webHidden/>
              </w:rPr>
            </w:r>
            <w:r>
              <w:rPr>
                <w:noProof/>
                <w:webHidden/>
              </w:rPr>
              <w:fldChar w:fldCharType="separate"/>
            </w:r>
            <w:r>
              <w:rPr>
                <w:noProof/>
                <w:webHidden/>
              </w:rPr>
              <w:t>72</w:t>
            </w:r>
            <w:r>
              <w:rPr>
                <w:noProof/>
                <w:webHidden/>
              </w:rPr>
              <w:fldChar w:fldCharType="end"/>
            </w:r>
          </w:hyperlink>
        </w:p>
        <w:p w:rsidR="00D5639B" w:rsidRDefault="00D5639B" w14:paraId="69EAB9CD" w14:textId="04CEC2D7">
          <w:pPr>
            <w:pStyle w:val="TOC2"/>
            <w:rPr>
              <w:rFonts w:asciiTheme="minorHAnsi" w:hAnsiTheme="minorHAnsi" w:eastAsiaTheme="minorEastAsia"/>
              <w:noProof/>
              <w:kern w:val="2"/>
              <w:sz w:val="24"/>
              <w:szCs w:val="24"/>
              <w14:ligatures w14:val="standardContextual"/>
            </w:rPr>
          </w:pPr>
          <w:hyperlink w:history="1" w:anchor="_Toc227451463">
            <w:r w:rsidRPr="00F10278">
              <w:rPr>
                <w:rStyle w:val="Hyperlink"/>
                <w:caps/>
                <w:noProof/>
                <w:specVanish/>
              </w:rPr>
              <w:t>20.7</w:t>
            </w:r>
            <w:r>
              <w:rPr>
                <w:rFonts w:asciiTheme="minorHAnsi" w:hAnsiTheme="minorHAnsi" w:eastAsiaTheme="minorEastAsia"/>
                <w:noProof/>
                <w:kern w:val="2"/>
                <w:sz w:val="24"/>
                <w:szCs w:val="24"/>
                <w14:ligatures w14:val="standardContextual"/>
              </w:rPr>
              <w:tab/>
            </w:r>
            <w:r w:rsidRPr="00F10278">
              <w:rPr>
                <w:rStyle w:val="Hyperlink"/>
                <w:noProof/>
              </w:rPr>
              <w:t>Liability.</w:t>
            </w:r>
            <w:r>
              <w:rPr>
                <w:noProof/>
                <w:webHidden/>
              </w:rPr>
              <w:tab/>
            </w:r>
            <w:r>
              <w:rPr>
                <w:noProof/>
                <w:webHidden/>
              </w:rPr>
              <w:fldChar w:fldCharType="begin"/>
            </w:r>
            <w:r>
              <w:rPr>
                <w:noProof/>
                <w:webHidden/>
              </w:rPr>
              <w:instrText xml:space="preserve"> PAGEREF _Toc227451463 \h </w:instrText>
            </w:r>
            <w:r>
              <w:rPr>
                <w:noProof/>
                <w:webHidden/>
              </w:rPr>
            </w:r>
            <w:r>
              <w:rPr>
                <w:noProof/>
                <w:webHidden/>
              </w:rPr>
              <w:fldChar w:fldCharType="separate"/>
            </w:r>
            <w:r>
              <w:rPr>
                <w:noProof/>
                <w:webHidden/>
              </w:rPr>
              <w:t>72</w:t>
            </w:r>
            <w:r>
              <w:rPr>
                <w:noProof/>
                <w:webHidden/>
              </w:rPr>
              <w:fldChar w:fldCharType="end"/>
            </w:r>
          </w:hyperlink>
        </w:p>
        <w:p w:rsidR="00D5639B" w:rsidRDefault="00D5639B" w14:paraId="6CE6D4F2" w14:textId="508A83EB">
          <w:pPr>
            <w:pStyle w:val="TOC2"/>
            <w:rPr>
              <w:rFonts w:asciiTheme="minorHAnsi" w:hAnsiTheme="minorHAnsi" w:eastAsiaTheme="minorEastAsia"/>
              <w:noProof/>
              <w:kern w:val="2"/>
              <w:sz w:val="24"/>
              <w:szCs w:val="24"/>
              <w14:ligatures w14:val="standardContextual"/>
            </w:rPr>
          </w:pPr>
          <w:hyperlink w:history="1" w:anchor="_Toc227451464">
            <w:r w:rsidRPr="00F10278">
              <w:rPr>
                <w:rStyle w:val="Hyperlink"/>
                <w:caps/>
                <w:noProof/>
                <w:specVanish/>
              </w:rPr>
              <w:t>20.8</w:t>
            </w:r>
            <w:r>
              <w:rPr>
                <w:rFonts w:asciiTheme="minorHAnsi" w:hAnsiTheme="minorHAnsi" w:eastAsiaTheme="minorEastAsia"/>
                <w:noProof/>
                <w:kern w:val="2"/>
                <w:sz w:val="24"/>
                <w:szCs w:val="24"/>
                <w14:ligatures w14:val="standardContextual"/>
              </w:rPr>
              <w:tab/>
            </w:r>
            <w:r w:rsidRPr="00F10278">
              <w:rPr>
                <w:rStyle w:val="Hyperlink"/>
                <w:noProof/>
              </w:rPr>
              <w:t>GPC’s Agent.</w:t>
            </w:r>
            <w:r>
              <w:rPr>
                <w:noProof/>
                <w:webHidden/>
              </w:rPr>
              <w:tab/>
            </w:r>
            <w:r>
              <w:rPr>
                <w:noProof/>
                <w:webHidden/>
              </w:rPr>
              <w:fldChar w:fldCharType="begin"/>
            </w:r>
            <w:r>
              <w:rPr>
                <w:noProof/>
                <w:webHidden/>
              </w:rPr>
              <w:instrText xml:space="preserve"> PAGEREF _Toc227451464 \h </w:instrText>
            </w:r>
            <w:r>
              <w:rPr>
                <w:noProof/>
                <w:webHidden/>
              </w:rPr>
            </w:r>
            <w:r>
              <w:rPr>
                <w:noProof/>
                <w:webHidden/>
              </w:rPr>
              <w:fldChar w:fldCharType="separate"/>
            </w:r>
            <w:r>
              <w:rPr>
                <w:noProof/>
                <w:webHidden/>
              </w:rPr>
              <w:t>72</w:t>
            </w:r>
            <w:r>
              <w:rPr>
                <w:noProof/>
                <w:webHidden/>
              </w:rPr>
              <w:fldChar w:fldCharType="end"/>
            </w:r>
          </w:hyperlink>
        </w:p>
        <w:p w:rsidR="00D5639B" w:rsidRDefault="00D5639B" w14:paraId="6E844232" w14:textId="5C495D1D">
          <w:pPr>
            <w:pStyle w:val="TOC2"/>
            <w:rPr>
              <w:rFonts w:asciiTheme="minorHAnsi" w:hAnsiTheme="minorHAnsi" w:eastAsiaTheme="minorEastAsia"/>
              <w:noProof/>
              <w:kern w:val="2"/>
              <w:sz w:val="24"/>
              <w:szCs w:val="24"/>
              <w14:ligatures w14:val="standardContextual"/>
            </w:rPr>
          </w:pPr>
          <w:hyperlink w:history="1" w:anchor="_Toc227451465">
            <w:r w:rsidRPr="00F10278">
              <w:rPr>
                <w:rStyle w:val="Hyperlink"/>
                <w:caps/>
                <w:noProof/>
                <w:specVanish/>
              </w:rPr>
              <w:t>20.9</w:t>
            </w:r>
            <w:r>
              <w:rPr>
                <w:rFonts w:asciiTheme="minorHAnsi" w:hAnsiTheme="minorHAnsi" w:eastAsiaTheme="minorEastAsia"/>
                <w:noProof/>
                <w:kern w:val="2"/>
                <w:sz w:val="24"/>
                <w:szCs w:val="24"/>
                <w14:ligatures w14:val="standardContextual"/>
              </w:rPr>
              <w:tab/>
            </w:r>
            <w:r w:rsidRPr="00F10278">
              <w:rPr>
                <w:rStyle w:val="Hyperlink"/>
                <w:noProof/>
              </w:rPr>
              <w:t>No GPC Affiliate Liability.</w:t>
            </w:r>
            <w:r>
              <w:rPr>
                <w:noProof/>
                <w:webHidden/>
              </w:rPr>
              <w:tab/>
            </w:r>
            <w:r>
              <w:rPr>
                <w:noProof/>
                <w:webHidden/>
              </w:rPr>
              <w:fldChar w:fldCharType="begin"/>
            </w:r>
            <w:r>
              <w:rPr>
                <w:noProof/>
                <w:webHidden/>
              </w:rPr>
              <w:instrText xml:space="preserve"> PAGEREF _Toc227451465 \h </w:instrText>
            </w:r>
            <w:r>
              <w:rPr>
                <w:noProof/>
                <w:webHidden/>
              </w:rPr>
            </w:r>
            <w:r>
              <w:rPr>
                <w:noProof/>
                <w:webHidden/>
              </w:rPr>
              <w:fldChar w:fldCharType="separate"/>
            </w:r>
            <w:r>
              <w:rPr>
                <w:noProof/>
                <w:webHidden/>
              </w:rPr>
              <w:t>72</w:t>
            </w:r>
            <w:r>
              <w:rPr>
                <w:noProof/>
                <w:webHidden/>
              </w:rPr>
              <w:fldChar w:fldCharType="end"/>
            </w:r>
          </w:hyperlink>
        </w:p>
        <w:p w:rsidR="00D5639B" w:rsidRDefault="00D5639B" w14:paraId="62EC62C9" w14:textId="01625408">
          <w:pPr>
            <w:pStyle w:val="TOC2"/>
            <w:rPr>
              <w:rFonts w:asciiTheme="minorHAnsi" w:hAnsiTheme="minorHAnsi" w:eastAsiaTheme="minorEastAsia"/>
              <w:noProof/>
              <w:kern w:val="2"/>
              <w:sz w:val="24"/>
              <w:szCs w:val="24"/>
              <w14:ligatures w14:val="standardContextual"/>
            </w:rPr>
          </w:pPr>
          <w:hyperlink w:history="1" w:anchor="_Toc227451466">
            <w:r w:rsidRPr="00F10278">
              <w:rPr>
                <w:rStyle w:val="Hyperlink"/>
                <w:rFonts w:cs="Arial"/>
                <w:caps/>
                <w:noProof/>
                <w:specVanish/>
              </w:rPr>
              <w:t>20.10</w:t>
            </w:r>
            <w:r>
              <w:rPr>
                <w:rFonts w:asciiTheme="minorHAnsi" w:hAnsiTheme="minorHAnsi" w:eastAsiaTheme="minorEastAsia"/>
                <w:noProof/>
                <w:kern w:val="2"/>
                <w:sz w:val="24"/>
                <w:szCs w:val="24"/>
                <w14:ligatures w14:val="standardContextual"/>
              </w:rPr>
              <w:tab/>
            </w:r>
            <w:r w:rsidRPr="00F10278">
              <w:rPr>
                <w:rStyle w:val="Hyperlink"/>
                <w:rFonts w:cs="Arial"/>
                <w:noProof/>
              </w:rPr>
              <w:t>Time of Essence; No Waiver.</w:t>
            </w:r>
            <w:r>
              <w:rPr>
                <w:noProof/>
                <w:webHidden/>
              </w:rPr>
              <w:tab/>
            </w:r>
            <w:r>
              <w:rPr>
                <w:noProof/>
                <w:webHidden/>
              </w:rPr>
              <w:fldChar w:fldCharType="begin"/>
            </w:r>
            <w:r>
              <w:rPr>
                <w:noProof/>
                <w:webHidden/>
              </w:rPr>
              <w:instrText xml:space="preserve"> PAGEREF _Toc227451466 \h </w:instrText>
            </w:r>
            <w:r>
              <w:rPr>
                <w:noProof/>
                <w:webHidden/>
              </w:rPr>
            </w:r>
            <w:r>
              <w:rPr>
                <w:noProof/>
                <w:webHidden/>
              </w:rPr>
              <w:fldChar w:fldCharType="separate"/>
            </w:r>
            <w:r>
              <w:rPr>
                <w:noProof/>
                <w:webHidden/>
              </w:rPr>
              <w:t>72</w:t>
            </w:r>
            <w:r>
              <w:rPr>
                <w:noProof/>
                <w:webHidden/>
              </w:rPr>
              <w:fldChar w:fldCharType="end"/>
            </w:r>
          </w:hyperlink>
        </w:p>
        <w:p w:rsidR="00D5639B" w:rsidRDefault="00D5639B" w14:paraId="2196A525" w14:textId="5A13BCCF">
          <w:pPr>
            <w:pStyle w:val="TOC2"/>
            <w:rPr>
              <w:rFonts w:asciiTheme="minorHAnsi" w:hAnsiTheme="minorHAnsi" w:eastAsiaTheme="minorEastAsia"/>
              <w:noProof/>
              <w:kern w:val="2"/>
              <w:sz w:val="24"/>
              <w:szCs w:val="24"/>
              <w14:ligatures w14:val="standardContextual"/>
            </w:rPr>
          </w:pPr>
          <w:hyperlink w:history="1" w:anchor="_Toc227451467">
            <w:r w:rsidRPr="00F10278">
              <w:rPr>
                <w:rStyle w:val="Hyperlink"/>
                <w:rFonts w:cs="Arial"/>
                <w:caps/>
                <w:noProof/>
                <w:specVanish/>
              </w:rPr>
              <w:t>20.11</w:t>
            </w:r>
            <w:r>
              <w:rPr>
                <w:rFonts w:asciiTheme="minorHAnsi" w:hAnsiTheme="minorHAnsi" w:eastAsiaTheme="minorEastAsia"/>
                <w:noProof/>
                <w:kern w:val="2"/>
                <w:sz w:val="24"/>
                <w:szCs w:val="24"/>
                <w14:ligatures w14:val="standardContextual"/>
              </w:rPr>
              <w:tab/>
            </w:r>
            <w:r w:rsidRPr="00F10278">
              <w:rPr>
                <w:rStyle w:val="Hyperlink"/>
                <w:rFonts w:cs="Arial"/>
                <w:noProof/>
              </w:rPr>
              <w:t>Headings.</w:t>
            </w:r>
            <w:r>
              <w:rPr>
                <w:noProof/>
                <w:webHidden/>
              </w:rPr>
              <w:tab/>
            </w:r>
            <w:r>
              <w:rPr>
                <w:noProof/>
                <w:webHidden/>
              </w:rPr>
              <w:fldChar w:fldCharType="begin"/>
            </w:r>
            <w:r>
              <w:rPr>
                <w:noProof/>
                <w:webHidden/>
              </w:rPr>
              <w:instrText xml:space="preserve"> PAGEREF _Toc227451467 \h </w:instrText>
            </w:r>
            <w:r>
              <w:rPr>
                <w:noProof/>
                <w:webHidden/>
              </w:rPr>
            </w:r>
            <w:r>
              <w:rPr>
                <w:noProof/>
                <w:webHidden/>
              </w:rPr>
              <w:fldChar w:fldCharType="separate"/>
            </w:r>
            <w:r>
              <w:rPr>
                <w:noProof/>
                <w:webHidden/>
              </w:rPr>
              <w:t>72</w:t>
            </w:r>
            <w:r>
              <w:rPr>
                <w:noProof/>
                <w:webHidden/>
              </w:rPr>
              <w:fldChar w:fldCharType="end"/>
            </w:r>
          </w:hyperlink>
        </w:p>
        <w:p w:rsidR="00D5639B" w:rsidRDefault="00D5639B" w14:paraId="2B4A340A" w14:textId="0BE8C5D8">
          <w:pPr>
            <w:pStyle w:val="TOC2"/>
            <w:rPr>
              <w:rFonts w:asciiTheme="minorHAnsi" w:hAnsiTheme="minorHAnsi" w:eastAsiaTheme="minorEastAsia"/>
              <w:noProof/>
              <w:kern w:val="2"/>
              <w:sz w:val="24"/>
              <w:szCs w:val="24"/>
              <w14:ligatures w14:val="standardContextual"/>
            </w:rPr>
          </w:pPr>
          <w:hyperlink w:history="1" w:anchor="_Toc227451468">
            <w:r w:rsidRPr="00F10278">
              <w:rPr>
                <w:rStyle w:val="Hyperlink"/>
                <w:rFonts w:cs="Arial"/>
                <w:caps/>
                <w:noProof/>
                <w:specVanish/>
              </w:rPr>
              <w:t>20.12</w:t>
            </w:r>
            <w:r>
              <w:rPr>
                <w:rFonts w:asciiTheme="minorHAnsi" w:hAnsiTheme="minorHAnsi" w:eastAsiaTheme="minorEastAsia"/>
                <w:noProof/>
                <w:kern w:val="2"/>
                <w:sz w:val="24"/>
                <w:szCs w:val="24"/>
                <w14:ligatures w14:val="standardContextual"/>
              </w:rPr>
              <w:tab/>
            </w:r>
            <w:r w:rsidRPr="00F10278">
              <w:rPr>
                <w:rStyle w:val="Hyperlink"/>
                <w:rFonts w:cs="Arial"/>
                <w:noProof/>
              </w:rPr>
              <w:t>Third Parties.</w:t>
            </w:r>
            <w:r>
              <w:rPr>
                <w:noProof/>
                <w:webHidden/>
              </w:rPr>
              <w:tab/>
            </w:r>
            <w:r>
              <w:rPr>
                <w:noProof/>
                <w:webHidden/>
              </w:rPr>
              <w:fldChar w:fldCharType="begin"/>
            </w:r>
            <w:r>
              <w:rPr>
                <w:noProof/>
                <w:webHidden/>
              </w:rPr>
              <w:instrText xml:space="preserve"> PAGEREF _Toc227451468 \h </w:instrText>
            </w:r>
            <w:r>
              <w:rPr>
                <w:noProof/>
                <w:webHidden/>
              </w:rPr>
            </w:r>
            <w:r>
              <w:rPr>
                <w:noProof/>
                <w:webHidden/>
              </w:rPr>
              <w:fldChar w:fldCharType="separate"/>
            </w:r>
            <w:r>
              <w:rPr>
                <w:noProof/>
                <w:webHidden/>
              </w:rPr>
              <w:t>72</w:t>
            </w:r>
            <w:r>
              <w:rPr>
                <w:noProof/>
                <w:webHidden/>
              </w:rPr>
              <w:fldChar w:fldCharType="end"/>
            </w:r>
          </w:hyperlink>
        </w:p>
        <w:p w:rsidR="00D5639B" w:rsidRDefault="00D5639B" w14:paraId="58BB34EE" w14:textId="573EC71F">
          <w:pPr>
            <w:pStyle w:val="TOC2"/>
            <w:rPr>
              <w:rFonts w:asciiTheme="minorHAnsi" w:hAnsiTheme="minorHAnsi" w:eastAsiaTheme="minorEastAsia"/>
              <w:noProof/>
              <w:kern w:val="2"/>
              <w:sz w:val="24"/>
              <w:szCs w:val="24"/>
              <w14:ligatures w14:val="standardContextual"/>
            </w:rPr>
          </w:pPr>
          <w:hyperlink w:history="1" w:anchor="_Toc227451469">
            <w:r w:rsidRPr="00F10278">
              <w:rPr>
                <w:rStyle w:val="Hyperlink"/>
                <w:rFonts w:cs="Arial"/>
                <w:caps/>
                <w:noProof/>
                <w:specVanish/>
              </w:rPr>
              <w:t>20.13</w:t>
            </w:r>
            <w:r>
              <w:rPr>
                <w:rFonts w:asciiTheme="minorHAnsi" w:hAnsiTheme="minorHAnsi" w:eastAsiaTheme="minorEastAsia"/>
                <w:noProof/>
                <w:kern w:val="2"/>
                <w:sz w:val="24"/>
                <w:szCs w:val="24"/>
                <w14:ligatures w14:val="standardContextual"/>
              </w:rPr>
              <w:tab/>
            </w:r>
            <w:r w:rsidRPr="00F10278">
              <w:rPr>
                <w:rStyle w:val="Hyperlink"/>
                <w:rFonts w:cs="Arial"/>
                <w:noProof/>
              </w:rPr>
              <w:t>Agency.</w:t>
            </w:r>
            <w:r>
              <w:rPr>
                <w:noProof/>
                <w:webHidden/>
              </w:rPr>
              <w:tab/>
            </w:r>
            <w:r>
              <w:rPr>
                <w:noProof/>
                <w:webHidden/>
              </w:rPr>
              <w:fldChar w:fldCharType="begin"/>
            </w:r>
            <w:r>
              <w:rPr>
                <w:noProof/>
                <w:webHidden/>
              </w:rPr>
              <w:instrText xml:space="preserve"> PAGEREF _Toc227451469 \h </w:instrText>
            </w:r>
            <w:r>
              <w:rPr>
                <w:noProof/>
                <w:webHidden/>
              </w:rPr>
            </w:r>
            <w:r>
              <w:rPr>
                <w:noProof/>
                <w:webHidden/>
              </w:rPr>
              <w:fldChar w:fldCharType="separate"/>
            </w:r>
            <w:r>
              <w:rPr>
                <w:noProof/>
                <w:webHidden/>
              </w:rPr>
              <w:t>72</w:t>
            </w:r>
            <w:r>
              <w:rPr>
                <w:noProof/>
                <w:webHidden/>
              </w:rPr>
              <w:fldChar w:fldCharType="end"/>
            </w:r>
          </w:hyperlink>
        </w:p>
        <w:p w:rsidR="00D5639B" w:rsidRDefault="00D5639B" w14:paraId="20EA6B60" w14:textId="5E94756C">
          <w:pPr>
            <w:pStyle w:val="TOC2"/>
            <w:rPr>
              <w:rFonts w:asciiTheme="minorHAnsi" w:hAnsiTheme="minorHAnsi" w:eastAsiaTheme="minorEastAsia"/>
              <w:noProof/>
              <w:kern w:val="2"/>
              <w:sz w:val="24"/>
              <w:szCs w:val="24"/>
              <w14:ligatures w14:val="standardContextual"/>
            </w:rPr>
          </w:pPr>
          <w:hyperlink w:history="1" w:anchor="_Toc227451470">
            <w:r w:rsidRPr="00F10278">
              <w:rPr>
                <w:rStyle w:val="Hyperlink"/>
                <w:rFonts w:cs="Arial"/>
                <w:caps/>
                <w:noProof/>
                <w:specVanish/>
              </w:rPr>
              <w:t>20.14</w:t>
            </w:r>
            <w:r>
              <w:rPr>
                <w:rFonts w:asciiTheme="minorHAnsi" w:hAnsiTheme="minorHAnsi" w:eastAsiaTheme="minorEastAsia"/>
                <w:noProof/>
                <w:kern w:val="2"/>
                <w:sz w:val="24"/>
                <w:szCs w:val="24"/>
                <w14:ligatures w14:val="standardContextual"/>
              </w:rPr>
              <w:tab/>
            </w:r>
            <w:r w:rsidRPr="00F10278">
              <w:rPr>
                <w:rStyle w:val="Hyperlink"/>
                <w:rFonts w:cs="Arial"/>
                <w:noProof/>
              </w:rPr>
              <w:t>Severability.</w:t>
            </w:r>
            <w:r>
              <w:rPr>
                <w:noProof/>
                <w:webHidden/>
              </w:rPr>
              <w:tab/>
            </w:r>
            <w:r>
              <w:rPr>
                <w:noProof/>
                <w:webHidden/>
              </w:rPr>
              <w:fldChar w:fldCharType="begin"/>
            </w:r>
            <w:r>
              <w:rPr>
                <w:noProof/>
                <w:webHidden/>
              </w:rPr>
              <w:instrText xml:space="preserve"> PAGEREF _Toc227451470 \h </w:instrText>
            </w:r>
            <w:r>
              <w:rPr>
                <w:noProof/>
                <w:webHidden/>
              </w:rPr>
            </w:r>
            <w:r>
              <w:rPr>
                <w:noProof/>
                <w:webHidden/>
              </w:rPr>
              <w:fldChar w:fldCharType="separate"/>
            </w:r>
            <w:r>
              <w:rPr>
                <w:noProof/>
                <w:webHidden/>
              </w:rPr>
              <w:t>72</w:t>
            </w:r>
            <w:r>
              <w:rPr>
                <w:noProof/>
                <w:webHidden/>
              </w:rPr>
              <w:fldChar w:fldCharType="end"/>
            </w:r>
          </w:hyperlink>
        </w:p>
        <w:p w:rsidR="00D5639B" w:rsidRDefault="00D5639B" w14:paraId="5C25FE57" w14:textId="6DD6F612">
          <w:pPr>
            <w:pStyle w:val="TOC2"/>
            <w:rPr>
              <w:rFonts w:asciiTheme="minorHAnsi" w:hAnsiTheme="minorHAnsi" w:eastAsiaTheme="minorEastAsia"/>
              <w:noProof/>
              <w:kern w:val="2"/>
              <w:sz w:val="24"/>
              <w:szCs w:val="24"/>
              <w14:ligatures w14:val="standardContextual"/>
            </w:rPr>
          </w:pPr>
          <w:hyperlink w:history="1" w:anchor="_Toc227451471">
            <w:r w:rsidRPr="00F10278">
              <w:rPr>
                <w:rStyle w:val="Hyperlink"/>
                <w:rFonts w:cs="Arial"/>
                <w:caps/>
                <w:noProof/>
                <w:specVanish/>
              </w:rPr>
              <w:t>20.15</w:t>
            </w:r>
            <w:r>
              <w:rPr>
                <w:rFonts w:asciiTheme="minorHAnsi" w:hAnsiTheme="minorHAnsi" w:eastAsiaTheme="minorEastAsia"/>
                <w:noProof/>
                <w:kern w:val="2"/>
                <w:sz w:val="24"/>
                <w:szCs w:val="24"/>
                <w14:ligatures w14:val="standardContextual"/>
              </w:rPr>
              <w:tab/>
            </w:r>
            <w:r w:rsidRPr="00F10278">
              <w:rPr>
                <w:rStyle w:val="Hyperlink"/>
                <w:rFonts w:cs="Arial"/>
                <w:noProof/>
              </w:rPr>
              <w:t>Negotiated Agreement.</w:t>
            </w:r>
            <w:r>
              <w:rPr>
                <w:noProof/>
                <w:webHidden/>
              </w:rPr>
              <w:tab/>
            </w:r>
            <w:r>
              <w:rPr>
                <w:noProof/>
                <w:webHidden/>
              </w:rPr>
              <w:fldChar w:fldCharType="begin"/>
            </w:r>
            <w:r>
              <w:rPr>
                <w:noProof/>
                <w:webHidden/>
              </w:rPr>
              <w:instrText xml:space="preserve"> PAGEREF _Toc227451471 \h </w:instrText>
            </w:r>
            <w:r>
              <w:rPr>
                <w:noProof/>
                <w:webHidden/>
              </w:rPr>
            </w:r>
            <w:r>
              <w:rPr>
                <w:noProof/>
                <w:webHidden/>
              </w:rPr>
              <w:fldChar w:fldCharType="separate"/>
            </w:r>
            <w:r>
              <w:rPr>
                <w:noProof/>
                <w:webHidden/>
              </w:rPr>
              <w:t>72</w:t>
            </w:r>
            <w:r>
              <w:rPr>
                <w:noProof/>
                <w:webHidden/>
              </w:rPr>
              <w:fldChar w:fldCharType="end"/>
            </w:r>
          </w:hyperlink>
        </w:p>
        <w:p w:rsidR="00D5639B" w:rsidRDefault="00D5639B" w14:paraId="389B3FD9" w14:textId="3BA357B7">
          <w:pPr>
            <w:pStyle w:val="TOC2"/>
            <w:rPr>
              <w:rFonts w:asciiTheme="minorHAnsi" w:hAnsiTheme="minorHAnsi" w:eastAsiaTheme="minorEastAsia"/>
              <w:noProof/>
              <w:kern w:val="2"/>
              <w:sz w:val="24"/>
              <w:szCs w:val="24"/>
              <w14:ligatures w14:val="standardContextual"/>
            </w:rPr>
          </w:pPr>
          <w:hyperlink w:history="1" w:anchor="_Toc227451472">
            <w:r w:rsidRPr="00F10278">
              <w:rPr>
                <w:rStyle w:val="Hyperlink"/>
                <w:rFonts w:cs="Arial"/>
                <w:caps/>
                <w:noProof/>
                <w:specVanish/>
              </w:rPr>
              <w:t>20.16</w:t>
            </w:r>
            <w:r>
              <w:rPr>
                <w:rFonts w:asciiTheme="minorHAnsi" w:hAnsiTheme="minorHAnsi" w:eastAsiaTheme="minorEastAsia"/>
                <w:noProof/>
                <w:kern w:val="2"/>
                <w:sz w:val="24"/>
                <w:szCs w:val="24"/>
                <w14:ligatures w14:val="standardContextual"/>
              </w:rPr>
              <w:tab/>
            </w:r>
            <w:r w:rsidRPr="00F10278">
              <w:rPr>
                <w:rStyle w:val="Hyperlink"/>
                <w:rFonts w:cs="Arial"/>
                <w:noProof/>
              </w:rPr>
              <w:t>Confidentiality.</w:t>
            </w:r>
            <w:r>
              <w:rPr>
                <w:noProof/>
                <w:webHidden/>
              </w:rPr>
              <w:tab/>
            </w:r>
            <w:r>
              <w:rPr>
                <w:noProof/>
                <w:webHidden/>
              </w:rPr>
              <w:fldChar w:fldCharType="begin"/>
            </w:r>
            <w:r>
              <w:rPr>
                <w:noProof/>
                <w:webHidden/>
              </w:rPr>
              <w:instrText xml:space="preserve"> PAGEREF _Toc227451472 \h </w:instrText>
            </w:r>
            <w:r>
              <w:rPr>
                <w:noProof/>
                <w:webHidden/>
              </w:rPr>
            </w:r>
            <w:r>
              <w:rPr>
                <w:noProof/>
                <w:webHidden/>
              </w:rPr>
              <w:fldChar w:fldCharType="separate"/>
            </w:r>
            <w:r>
              <w:rPr>
                <w:noProof/>
                <w:webHidden/>
              </w:rPr>
              <w:t>72</w:t>
            </w:r>
            <w:r>
              <w:rPr>
                <w:noProof/>
                <w:webHidden/>
              </w:rPr>
              <w:fldChar w:fldCharType="end"/>
            </w:r>
          </w:hyperlink>
        </w:p>
        <w:p w:rsidR="00D5639B" w:rsidRDefault="00D5639B" w14:paraId="36ED456B" w14:textId="44F80B37">
          <w:pPr>
            <w:pStyle w:val="TOC2"/>
            <w:rPr>
              <w:rFonts w:asciiTheme="minorHAnsi" w:hAnsiTheme="minorHAnsi" w:eastAsiaTheme="minorEastAsia"/>
              <w:noProof/>
              <w:kern w:val="2"/>
              <w:sz w:val="24"/>
              <w:szCs w:val="24"/>
              <w14:ligatures w14:val="standardContextual"/>
            </w:rPr>
          </w:pPr>
          <w:hyperlink w:history="1" w:anchor="_Toc227451473">
            <w:r w:rsidRPr="00F10278">
              <w:rPr>
                <w:rStyle w:val="Hyperlink"/>
                <w:rFonts w:cs="Arial"/>
                <w:caps/>
                <w:noProof/>
                <w:specVanish/>
              </w:rPr>
              <w:t>20.17</w:t>
            </w:r>
            <w:r>
              <w:rPr>
                <w:rFonts w:asciiTheme="minorHAnsi" w:hAnsiTheme="minorHAnsi" w:eastAsiaTheme="minorEastAsia"/>
                <w:noProof/>
                <w:kern w:val="2"/>
                <w:sz w:val="24"/>
                <w:szCs w:val="24"/>
                <w14:ligatures w14:val="standardContextual"/>
              </w:rPr>
              <w:tab/>
            </w:r>
            <w:r w:rsidRPr="00F10278">
              <w:rPr>
                <w:rStyle w:val="Hyperlink"/>
                <w:rFonts w:cs="Arial"/>
                <w:noProof/>
              </w:rPr>
              <w:t>Contract Interpretation.</w:t>
            </w:r>
            <w:r>
              <w:rPr>
                <w:noProof/>
                <w:webHidden/>
              </w:rPr>
              <w:tab/>
            </w:r>
            <w:r>
              <w:rPr>
                <w:noProof/>
                <w:webHidden/>
              </w:rPr>
              <w:fldChar w:fldCharType="begin"/>
            </w:r>
            <w:r>
              <w:rPr>
                <w:noProof/>
                <w:webHidden/>
              </w:rPr>
              <w:instrText xml:space="preserve"> PAGEREF _Toc227451473 \h </w:instrText>
            </w:r>
            <w:r>
              <w:rPr>
                <w:noProof/>
                <w:webHidden/>
              </w:rPr>
            </w:r>
            <w:r>
              <w:rPr>
                <w:noProof/>
                <w:webHidden/>
              </w:rPr>
              <w:fldChar w:fldCharType="separate"/>
            </w:r>
            <w:r>
              <w:rPr>
                <w:noProof/>
                <w:webHidden/>
              </w:rPr>
              <w:t>74</w:t>
            </w:r>
            <w:r>
              <w:rPr>
                <w:noProof/>
                <w:webHidden/>
              </w:rPr>
              <w:fldChar w:fldCharType="end"/>
            </w:r>
          </w:hyperlink>
        </w:p>
        <w:p w:rsidR="00D5639B" w:rsidRDefault="00D5639B" w14:paraId="478CEEB1" w14:textId="0C9E44CE">
          <w:pPr>
            <w:pStyle w:val="TOC2"/>
            <w:rPr>
              <w:rFonts w:asciiTheme="minorHAnsi" w:hAnsiTheme="minorHAnsi" w:eastAsiaTheme="minorEastAsia"/>
              <w:noProof/>
              <w:kern w:val="2"/>
              <w:sz w:val="24"/>
              <w:szCs w:val="24"/>
              <w14:ligatures w14:val="standardContextual"/>
            </w:rPr>
          </w:pPr>
          <w:hyperlink w:history="1" w:anchor="_Toc227451474">
            <w:r w:rsidRPr="00F10278">
              <w:rPr>
                <w:rStyle w:val="Hyperlink"/>
                <w:rFonts w:cs="Arial"/>
                <w:caps/>
                <w:noProof/>
                <w:specVanish/>
              </w:rPr>
              <w:t>20.18</w:t>
            </w:r>
            <w:r>
              <w:rPr>
                <w:rFonts w:asciiTheme="minorHAnsi" w:hAnsiTheme="minorHAnsi" w:eastAsiaTheme="minorEastAsia"/>
                <w:noProof/>
                <w:kern w:val="2"/>
                <w:sz w:val="24"/>
                <w:szCs w:val="24"/>
                <w14:ligatures w14:val="standardContextual"/>
              </w:rPr>
              <w:tab/>
            </w:r>
            <w:r w:rsidRPr="00F10278">
              <w:rPr>
                <w:rStyle w:val="Hyperlink"/>
                <w:rFonts w:cs="Arial"/>
                <w:noProof/>
              </w:rPr>
              <w:t>Replacement Index.</w:t>
            </w:r>
            <w:r>
              <w:rPr>
                <w:noProof/>
                <w:webHidden/>
              </w:rPr>
              <w:tab/>
            </w:r>
            <w:r>
              <w:rPr>
                <w:noProof/>
                <w:webHidden/>
              </w:rPr>
              <w:fldChar w:fldCharType="begin"/>
            </w:r>
            <w:r>
              <w:rPr>
                <w:noProof/>
                <w:webHidden/>
              </w:rPr>
              <w:instrText xml:space="preserve"> PAGEREF _Toc227451474 \h </w:instrText>
            </w:r>
            <w:r>
              <w:rPr>
                <w:noProof/>
                <w:webHidden/>
              </w:rPr>
            </w:r>
            <w:r>
              <w:rPr>
                <w:noProof/>
                <w:webHidden/>
              </w:rPr>
              <w:fldChar w:fldCharType="separate"/>
            </w:r>
            <w:r>
              <w:rPr>
                <w:noProof/>
                <w:webHidden/>
              </w:rPr>
              <w:t>74</w:t>
            </w:r>
            <w:r>
              <w:rPr>
                <w:noProof/>
                <w:webHidden/>
              </w:rPr>
              <w:fldChar w:fldCharType="end"/>
            </w:r>
          </w:hyperlink>
        </w:p>
        <w:p w:rsidR="00D5639B" w:rsidRDefault="00D5639B" w14:paraId="04ADC775" w14:textId="6DBFC05A">
          <w:pPr>
            <w:pStyle w:val="TOC2"/>
            <w:rPr>
              <w:rFonts w:asciiTheme="minorHAnsi" w:hAnsiTheme="minorHAnsi" w:eastAsiaTheme="minorEastAsia"/>
              <w:noProof/>
              <w:kern w:val="2"/>
              <w:sz w:val="24"/>
              <w:szCs w:val="24"/>
              <w14:ligatures w14:val="standardContextual"/>
            </w:rPr>
          </w:pPr>
          <w:hyperlink w:history="1" w:anchor="_Toc227451475">
            <w:r w:rsidRPr="00F10278">
              <w:rPr>
                <w:rStyle w:val="Hyperlink"/>
                <w:rFonts w:cs="Arial"/>
                <w:caps/>
                <w:noProof/>
                <w:specVanish/>
              </w:rPr>
              <w:t>20.19</w:t>
            </w:r>
            <w:r>
              <w:rPr>
                <w:rFonts w:asciiTheme="minorHAnsi" w:hAnsiTheme="minorHAnsi" w:eastAsiaTheme="minorEastAsia"/>
                <w:noProof/>
                <w:kern w:val="2"/>
                <w:sz w:val="24"/>
                <w:szCs w:val="24"/>
                <w14:ligatures w14:val="standardContextual"/>
              </w:rPr>
              <w:tab/>
            </w:r>
            <w:r w:rsidRPr="00F10278">
              <w:rPr>
                <w:rStyle w:val="Hyperlink"/>
                <w:rFonts w:cs="Arial"/>
                <w:noProof/>
              </w:rPr>
              <w:t>Recording.</w:t>
            </w:r>
            <w:r>
              <w:rPr>
                <w:noProof/>
                <w:webHidden/>
              </w:rPr>
              <w:tab/>
            </w:r>
            <w:r>
              <w:rPr>
                <w:noProof/>
                <w:webHidden/>
              </w:rPr>
              <w:fldChar w:fldCharType="begin"/>
            </w:r>
            <w:r>
              <w:rPr>
                <w:noProof/>
                <w:webHidden/>
              </w:rPr>
              <w:instrText xml:space="preserve"> PAGEREF _Toc227451475 \h </w:instrText>
            </w:r>
            <w:r>
              <w:rPr>
                <w:noProof/>
                <w:webHidden/>
              </w:rPr>
            </w:r>
            <w:r>
              <w:rPr>
                <w:noProof/>
                <w:webHidden/>
              </w:rPr>
              <w:fldChar w:fldCharType="separate"/>
            </w:r>
            <w:r>
              <w:rPr>
                <w:noProof/>
                <w:webHidden/>
              </w:rPr>
              <w:t>74</w:t>
            </w:r>
            <w:r>
              <w:rPr>
                <w:noProof/>
                <w:webHidden/>
              </w:rPr>
              <w:fldChar w:fldCharType="end"/>
            </w:r>
          </w:hyperlink>
        </w:p>
        <w:p w:rsidR="00D5639B" w:rsidRDefault="00D5639B" w14:paraId="19C98E1A" w14:textId="5E7E558F">
          <w:pPr>
            <w:pStyle w:val="TOC2"/>
            <w:rPr>
              <w:rFonts w:asciiTheme="minorHAnsi" w:hAnsiTheme="minorHAnsi" w:eastAsiaTheme="minorEastAsia"/>
              <w:noProof/>
              <w:kern w:val="2"/>
              <w:sz w:val="24"/>
              <w:szCs w:val="24"/>
              <w14:ligatures w14:val="standardContextual"/>
            </w:rPr>
          </w:pPr>
          <w:hyperlink w:history="1" w:anchor="_Toc227451476">
            <w:r w:rsidRPr="00F10278">
              <w:rPr>
                <w:rStyle w:val="Hyperlink"/>
                <w:rFonts w:cs="Arial"/>
                <w:caps/>
                <w:noProof/>
                <w:specVanish/>
              </w:rPr>
              <w:t>20.20</w:t>
            </w:r>
            <w:r>
              <w:rPr>
                <w:rFonts w:asciiTheme="minorHAnsi" w:hAnsiTheme="minorHAnsi" w:eastAsiaTheme="minorEastAsia"/>
                <w:noProof/>
                <w:kern w:val="2"/>
                <w:sz w:val="24"/>
                <w:szCs w:val="24"/>
                <w14:ligatures w14:val="standardContextual"/>
              </w:rPr>
              <w:tab/>
            </w:r>
            <w:r w:rsidRPr="00F10278">
              <w:rPr>
                <w:rStyle w:val="Hyperlink"/>
                <w:rFonts w:cs="Arial"/>
                <w:noProof/>
              </w:rPr>
              <w:t>Further Assurances.</w:t>
            </w:r>
            <w:r>
              <w:rPr>
                <w:noProof/>
                <w:webHidden/>
              </w:rPr>
              <w:tab/>
            </w:r>
            <w:r>
              <w:rPr>
                <w:noProof/>
                <w:webHidden/>
              </w:rPr>
              <w:fldChar w:fldCharType="begin"/>
            </w:r>
            <w:r>
              <w:rPr>
                <w:noProof/>
                <w:webHidden/>
              </w:rPr>
              <w:instrText xml:space="preserve"> PAGEREF _Toc227451476 \h </w:instrText>
            </w:r>
            <w:r>
              <w:rPr>
                <w:noProof/>
                <w:webHidden/>
              </w:rPr>
            </w:r>
            <w:r>
              <w:rPr>
                <w:noProof/>
                <w:webHidden/>
              </w:rPr>
              <w:fldChar w:fldCharType="separate"/>
            </w:r>
            <w:r>
              <w:rPr>
                <w:noProof/>
                <w:webHidden/>
              </w:rPr>
              <w:t>74</w:t>
            </w:r>
            <w:r>
              <w:rPr>
                <w:noProof/>
                <w:webHidden/>
              </w:rPr>
              <w:fldChar w:fldCharType="end"/>
            </w:r>
          </w:hyperlink>
        </w:p>
        <w:p w:rsidR="00D5639B" w:rsidRDefault="00D5639B" w14:paraId="645D3091" w14:textId="7053C572">
          <w:pPr>
            <w:pStyle w:val="TOC2"/>
            <w:rPr>
              <w:rFonts w:asciiTheme="minorHAnsi" w:hAnsiTheme="minorHAnsi" w:eastAsiaTheme="minorEastAsia"/>
              <w:noProof/>
              <w:kern w:val="2"/>
              <w:sz w:val="24"/>
              <w:szCs w:val="24"/>
              <w14:ligatures w14:val="standardContextual"/>
            </w:rPr>
          </w:pPr>
          <w:hyperlink w:history="1" w:anchor="_Toc227451477">
            <w:r w:rsidRPr="00F10278">
              <w:rPr>
                <w:rStyle w:val="Hyperlink"/>
                <w:rFonts w:cs="Arial"/>
                <w:caps/>
                <w:noProof/>
                <w:specVanish/>
              </w:rPr>
              <w:t>20.21</w:t>
            </w:r>
            <w:r>
              <w:rPr>
                <w:rFonts w:asciiTheme="minorHAnsi" w:hAnsiTheme="minorHAnsi" w:eastAsiaTheme="minorEastAsia"/>
                <w:noProof/>
                <w:kern w:val="2"/>
                <w:sz w:val="24"/>
                <w:szCs w:val="24"/>
                <w14:ligatures w14:val="standardContextual"/>
              </w:rPr>
              <w:tab/>
            </w:r>
            <w:r w:rsidRPr="00F10278">
              <w:rPr>
                <w:rStyle w:val="Hyperlink"/>
                <w:rFonts w:cs="Arial"/>
                <w:noProof/>
              </w:rPr>
              <w:t>Transfer of Information Acknowledgement.</w:t>
            </w:r>
            <w:r>
              <w:rPr>
                <w:noProof/>
                <w:webHidden/>
              </w:rPr>
              <w:tab/>
            </w:r>
            <w:r>
              <w:rPr>
                <w:noProof/>
                <w:webHidden/>
              </w:rPr>
              <w:fldChar w:fldCharType="begin"/>
            </w:r>
            <w:r>
              <w:rPr>
                <w:noProof/>
                <w:webHidden/>
              </w:rPr>
              <w:instrText xml:space="preserve"> PAGEREF _Toc227451477 \h </w:instrText>
            </w:r>
            <w:r>
              <w:rPr>
                <w:noProof/>
                <w:webHidden/>
              </w:rPr>
            </w:r>
            <w:r>
              <w:rPr>
                <w:noProof/>
                <w:webHidden/>
              </w:rPr>
              <w:fldChar w:fldCharType="separate"/>
            </w:r>
            <w:r>
              <w:rPr>
                <w:noProof/>
                <w:webHidden/>
              </w:rPr>
              <w:t>74</w:t>
            </w:r>
            <w:r>
              <w:rPr>
                <w:noProof/>
                <w:webHidden/>
              </w:rPr>
              <w:fldChar w:fldCharType="end"/>
            </w:r>
          </w:hyperlink>
        </w:p>
        <w:p w:rsidR="00D5639B" w:rsidRDefault="00D5639B" w14:paraId="661D228F" w14:textId="6FC8DFC4">
          <w:pPr>
            <w:pStyle w:val="TOC2"/>
            <w:rPr>
              <w:rFonts w:asciiTheme="minorHAnsi" w:hAnsiTheme="minorHAnsi" w:eastAsiaTheme="minorEastAsia"/>
              <w:noProof/>
              <w:kern w:val="2"/>
              <w:sz w:val="24"/>
              <w:szCs w:val="24"/>
              <w14:ligatures w14:val="standardContextual"/>
            </w:rPr>
          </w:pPr>
          <w:hyperlink w:history="1" w:anchor="_Toc227451478">
            <w:r w:rsidRPr="00F10278">
              <w:rPr>
                <w:rStyle w:val="Hyperlink"/>
                <w:rFonts w:cs="Arial"/>
                <w:caps/>
                <w:noProof/>
                <w:specVanish/>
              </w:rPr>
              <w:t>20.22</w:t>
            </w:r>
            <w:r>
              <w:rPr>
                <w:rFonts w:asciiTheme="minorHAnsi" w:hAnsiTheme="minorHAnsi" w:eastAsiaTheme="minorEastAsia"/>
                <w:noProof/>
                <w:kern w:val="2"/>
                <w:sz w:val="24"/>
                <w:szCs w:val="24"/>
                <w14:ligatures w14:val="standardContextual"/>
              </w:rPr>
              <w:tab/>
            </w:r>
            <w:r w:rsidRPr="00F10278">
              <w:rPr>
                <w:rStyle w:val="Hyperlink"/>
                <w:rFonts w:cs="Arial"/>
                <w:noProof/>
              </w:rPr>
              <w:t>Service Contract.</w:t>
            </w:r>
            <w:r>
              <w:rPr>
                <w:noProof/>
                <w:webHidden/>
              </w:rPr>
              <w:tab/>
            </w:r>
            <w:r>
              <w:rPr>
                <w:noProof/>
                <w:webHidden/>
              </w:rPr>
              <w:fldChar w:fldCharType="begin"/>
            </w:r>
            <w:r>
              <w:rPr>
                <w:noProof/>
                <w:webHidden/>
              </w:rPr>
              <w:instrText xml:space="preserve"> PAGEREF _Toc227451478 \h </w:instrText>
            </w:r>
            <w:r>
              <w:rPr>
                <w:noProof/>
                <w:webHidden/>
              </w:rPr>
            </w:r>
            <w:r>
              <w:rPr>
                <w:noProof/>
                <w:webHidden/>
              </w:rPr>
              <w:fldChar w:fldCharType="separate"/>
            </w:r>
            <w:r>
              <w:rPr>
                <w:noProof/>
                <w:webHidden/>
              </w:rPr>
              <w:t>74</w:t>
            </w:r>
            <w:r>
              <w:rPr>
                <w:noProof/>
                <w:webHidden/>
              </w:rPr>
              <w:fldChar w:fldCharType="end"/>
            </w:r>
          </w:hyperlink>
        </w:p>
        <w:p w:rsidR="00D5639B" w:rsidRDefault="00D5639B" w14:paraId="06C3B9C5" w14:textId="33E13987">
          <w:pPr>
            <w:pStyle w:val="TOC1"/>
            <w:rPr>
              <w:rFonts w:asciiTheme="minorHAnsi" w:hAnsiTheme="minorHAnsi" w:eastAsiaTheme="minorEastAsia" w:cstheme="minorBidi"/>
              <w:b w:val="0"/>
              <w:caps w:val="0"/>
              <w:noProof/>
              <w:kern w:val="2"/>
              <w:sz w:val="24"/>
              <w:szCs w:val="24"/>
              <w14:ligatures w14:val="standardContextual"/>
            </w:rPr>
          </w:pPr>
          <w:hyperlink w:history="1" w:anchor="_Toc227451479">
            <w:r w:rsidRPr="00F10278">
              <w:rPr>
                <w:rStyle w:val="Hyperlink"/>
                <w:rFonts w:eastAsia="Calibri"/>
                <w:noProof/>
              </w:rPr>
              <w:t xml:space="preserve">EXHIBIT A </w:t>
            </w:r>
            <w:r w:rsidRPr="00F10278">
              <w:rPr>
                <w:rStyle w:val="Hyperlink"/>
                <w:rFonts w:eastAsia="Arial"/>
                <w:noProof/>
              </w:rPr>
              <w:t>–</w:t>
            </w:r>
            <w:r w:rsidRPr="00F10278">
              <w:rPr>
                <w:rStyle w:val="Hyperlink"/>
                <w:noProof/>
              </w:rPr>
              <w:t xml:space="preserve"> </w:t>
            </w:r>
            <w:r w:rsidRPr="00F10278">
              <w:rPr>
                <w:rStyle w:val="Hyperlink"/>
                <w:rFonts w:eastAsia="Calibri"/>
                <w:noProof/>
              </w:rPr>
              <w:t>FACILITY DESCRIPTION AND ADDItional Details</w:t>
            </w:r>
            <w:r>
              <w:rPr>
                <w:noProof/>
                <w:webHidden/>
              </w:rPr>
              <w:tab/>
            </w:r>
            <w:r>
              <w:rPr>
                <w:noProof/>
                <w:webHidden/>
              </w:rPr>
              <w:fldChar w:fldCharType="begin"/>
            </w:r>
            <w:r>
              <w:rPr>
                <w:noProof/>
                <w:webHidden/>
              </w:rPr>
              <w:instrText xml:space="preserve"> PAGEREF _Toc227451479 \h </w:instrText>
            </w:r>
            <w:r>
              <w:rPr>
                <w:noProof/>
                <w:webHidden/>
              </w:rPr>
            </w:r>
            <w:r>
              <w:rPr>
                <w:noProof/>
                <w:webHidden/>
              </w:rPr>
              <w:fldChar w:fldCharType="separate"/>
            </w:r>
            <w:r>
              <w:rPr>
                <w:noProof/>
                <w:webHidden/>
              </w:rPr>
              <w:t>76</w:t>
            </w:r>
            <w:r>
              <w:rPr>
                <w:noProof/>
                <w:webHidden/>
              </w:rPr>
              <w:fldChar w:fldCharType="end"/>
            </w:r>
          </w:hyperlink>
        </w:p>
        <w:p w:rsidR="00D5639B" w:rsidRDefault="00D5639B" w14:paraId="1DBA6AAC" w14:textId="6A6045E6">
          <w:pPr>
            <w:pStyle w:val="TOC1"/>
            <w:rPr>
              <w:rFonts w:asciiTheme="minorHAnsi" w:hAnsiTheme="minorHAnsi" w:eastAsiaTheme="minorEastAsia" w:cstheme="minorBidi"/>
              <w:b w:val="0"/>
              <w:caps w:val="0"/>
              <w:noProof/>
              <w:kern w:val="2"/>
              <w:sz w:val="24"/>
              <w:szCs w:val="24"/>
              <w14:ligatures w14:val="standardContextual"/>
            </w:rPr>
          </w:pPr>
          <w:hyperlink w:history="1" w:anchor="_Toc227451480">
            <w:r w:rsidRPr="00F10278">
              <w:rPr>
                <w:rStyle w:val="Hyperlink"/>
                <w:noProof/>
              </w:rPr>
              <w:t>exhibit a-1 – KEY MILESTONES AND REQUIRED KEY MILESTONE DATES</w:t>
            </w:r>
            <w:r>
              <w:rPr>
                <w:noProof/>
                <w:webHidden/>
              </w:rPr>
              <w:tab/>
            </w:r>
            <w:r>
              <w:rPr>
                <w:noProof/>
                <w:webHidden/>
              </w:rPr>
              <w:fldChar w:fldCharType="begin"/>
            </w:r>
            <w:r>
              <w:rPr>
                <w:noProof/>
                <w:webHidden/>
              </w:rPr>
              <w:instrText xml:space="preserve"> PAGEREF _Toc227451480 \h </w:instrText>
            </w:r>
            <w:r>
              <w:rPr>
                <w:noProof/>
                <w:webHidden/>
              </w:rPr>
            </w:r>
            <w:r>
              <w:rPr>
                <w:noProof/>
                <w:webHidden/>
              </w:rPr>
              <w:fldChar w:fldCharType="separate"/>
            </w:r>
            <w:r>
              <w:rPr>
                <w:noProof/>
                <w:webHidden/>
              </w:rPr>
              <w:t>78</w:t>
            </w:r>
            <w:r>
              <w:rPr>
                <w:noProof/>
                <w:webHidden/>
              </w:rPr>
              <w:fldChar w:fldCharType="end"/>
            </w:r>
          </w:hyperlink>
        </w:p>
        <w:p w:rsidR="00D5639B" w:rsidRDefault="00D5639B" w14:paraId="139B137E" w14:textId="187FC456">
          <w:pPr>
            <w:pStyle w:val="TOC1"/>
            <w:rPr>
              <w:rFonts w:asciiTheme="minorHAnsi" w:hAnsiTheme="minorHAnsi" w:eastAsiaTheme="minorEastAsia" w:cstheme="minorBidi"/>
              <w:b w:val="0"/>
              <w:caps w:val="0"/>
              <w:noProof/>
              <w:kern w:val="2"/>
              <w:sz w:val="24"/>
              <w:szCs w:val="24"/>
              <w14:ligatures w14:val="standardContextual"/>
            </w:rPr>
          </w:pPr>
          <w:hyperlink w:history="1" w:anchor="_Toc227451481">
            <w:r w:rsidRPr="00F10278">
              <w:rPr>
                <w:rStyle w:val="Hyperlink"/>
                <w:noProof/>
              </w:rPr>
              <w:t>Exhibit A-2 – Performance security and liquidated damages</w:t>
            </w:r>
            <w:r>
              <w:rPr>
                <w:noProof/>
                <w:webHidden/>
              </w:rPr>
              <w:tab/>
            </w:r>
            <w:r>
              <w:rPr>
                <w:noProof/>
                <w:webHidden/>
              </w:rPr>
              <w:fldChar w:fldCharType="begin"/>
            </w:r>
            <w:r>
              <w:rPr>
                <w:noProof/>
                <w:webHidden/>
              </w:rPr>
              <w:instrText xml:space="preserve"> PAGEREF _Toc227451481 \h </w:instrText>
            </w:r>
            <w:r>
              <w:rPr>
                <w:noProof/>
                <w:webHidden/>
              </w:rPr>
            </w:r>
            <w:r>
              <w:rPr>
                <w:noProof/>
                <w:webHidden/>
              </w:rPr>
              <w:fldChar w:fldCharType="separate"/>
            </w:r>
            <w:r>
              <w:rPr>
                <w:noProof/>
                <w:webHidden/>
              </w:rPr>
              <w:t>81</w:t>
            </w:r>
            <w:r>
              <w:rPr>
                <w:noProof/>
                <w:webHidden/>
              </w:rPr>
              <w:fldChar w:fldCharType="end"/>
            </w:r>
          </w:hyperlink>
        </w:p>
        <w:p w:rsidR="00D5639B" w:rsidRDefault="00D5639B" w14:paraId="3F47756E" w14:textId="0C2CE17A">
          <w:pPr>
            <w:pStyle w:val="TOC1"/>
            <w:rPr>
              <w:rFonts w:asciiTheme="minorHAnsi" w:hAnsiTheme="minorHAnsi" w:eastAsiaTheme="minorEastAsia" w:cstheme="minorBidi"/>
              <w:b w:val="0"/>
              <w:caps w:val="0"/>
              <w:noProof/>
              <w:kern w:val="2"/>
              <w:sz w:val="24"/>
              <w:szCs w:val="24"/>
              <w14:ligatures w14:val="standardContextual"/>
            </w:rPr>
          </w:pPr>
          <w:hyperlink w:history="1" w:anchor="_Toc227451482">
            <w:r w:rsidRPr="00F10278">
              <w:rPr>
                <w:rStyle w:val="Hyperlink"/>
                <w:noProof/>
              </w:rPr>
              <w:t>Exhibit B – Capacity; Capacity Payments AND PAYMENT REDUCTIONS; BUYDOWN</w:t>
            </w:r>
            <w:r>
              <w:rPr>
                <w:noProof/>
                <w:webHidden/>
              </w:rPr>
              <w:tab/>
            </w:r>
            <w:r>
              <w:rPr>
                <w:noProof/>
                <w:webHidden/>
              </w:rPr>
              <w:fldChar w:fldCharType="begin"/>
            </w:r>
            <w:r>
              <w:rPr>
                <w:noProof/>
                <w:webHidden/>
              </w:rPr>
              <w:instrText xml:space="preserve"> PAGEREF _Toc227451482 \h </w:instrText>
            </w:r>
            <w:r>
              <w:rPr>
                <w:noProof/>
                <w:webHidden/>
              </w:rPr>
            </w:r>
            <w:r>
              <w:rPr>
                <w:noProof/>
                <w:webHidden/>
              </w:rPr>
              <w:fldChar w:fldCharType="separate"/>
            </w:r>
            <w:r>
              <w:rPr>
                <w:noProof/>
                <w:webHidden/>
              </w:rPr>
              <w:t>82</w:t>
            </w:r>
            <w:r>
              <w:rPr>
                <w:noProof/>
                <w:webHidden/>
              </w:rPr>
              <w:fldChar w:fldCharType="end"/>
            </w:r>
          </w:hyperlink>
        </w:p>
        <w:p w:rsidR="00D5639B" w:rsidRDefault="00D5639B" w14:paraId="3370E0B1" w14:textId="1DE308FA">
          <w:pPr>
            <w:pStyle w:val="TOC1"/>
            <w:rPr>
              <w:rFonts w:asciiTheme="minorHAnsi" w:hAnsiTheme="minorHAnsi" w:eastAsiaTheme="minorEastAsia" w:cstheme="minorBidi"/>
              <w:b w:val="0"/>
              <w:caps w:val="0"/>
              <w:noProof/>
              <w:kern w:val="2"/>
              <w:sz w:val="24"/>
              <w:szCs w:val="24"/>
              <w14:ligatures w14:val="standardContextual"/>
            </w:rPr>
          </w:pPr>
          <w:hyperlink w:history="1" w:anchor="_Toc227451483">
            <w:r w:rsidRPr="00F10278">
              <w:rPr>
                <w:rStyle w:val="Hyperlink"/>
                <w:noProof/>
              </w:rPr>
              <w:t>Exhibit C – MONTHLY CAPACITY PAYMENTS; MONTHLY CAPACITY REDUCTIONS; AGC PERFORMANCE METRICS AND REQUIREMENTS</w:t>
            </w:r>
            <w:r>
              <w:rPr>
                <w:noProof/>
                <w:webHidden/>
              </w:rPr>
              <w:tab/>
            </w:r>
            <w:r>
              <w:rPr>
                <w:noProof/>
                <w:webHidden/>
              </w:rPr>
              <w:fldChar w:fldCharType="begin"/>
            </w:r>
            <w:r>
              <w:rPr>
                <w:noProof/>
                <w:webHidden/>
              </w:rPr>
              <w:instrText xml:space="preserve"> PAGEREF _Toc227451483 \h </w:instrText>
            </w:r>
            <w:r>
              <w:rPr>
                <w:noProof/>
                <w:webHidden/>
              </w:rPr>
            </w:r>
            <w:r>
              <w:rPr>
                <w:noProof/>
                <w:webHidden/>
              </w:rPr>
              <w:fldChar w:fldCharType="separate"/>
            </w:r>
            <w:r>
              <w:rPr>
                <w:noProof/>
                <w:webHidden/>
              </w:rPr>
              <w:t>86</w:t>
            </w:r>
            <w:r>
              <w:rPr>
                <w:noProof/>
                <w:webHidden/>
              </w:rPr>
              <w:fldChar w:fldCharType="end"/>
            </w:r>
          </w:hyperlink>
        </w:p>
        <w:p w:rsidR="00D5639B" w:rsidRDefault="00D5639B" w14:paraId="0C68B714" w14:textId="7A6642E6">
          <w:pPr>
            <w:pStyle w:val="TOC1"/>
            <w:rPr>
              <w:rFonts w:asciiTheme="minorHAnsi" w:hAnsiTheme="minorHAnsi" w:eastAsiaTheme="minorEastAsia" w:cstheme="minorBidi"/>
              <w:b w:val="0"/>
              <w:caps w:val="0"/>
              <w:noProof/>
              <w:kern w:val="2"/>
              <w:sz w:val="24"/>
              <w:szCs w:val="24"/>
              <w14:ligatures w14:val="standardContextual"/>
            </w:rPr>
          </w:pPr>
          <w:hyperlink w:history="1" w:anchor="_Toc227451484">
            <w:r w:rsidRPr="00F10278">
              <w:rPr>
                <w:rStyle w:val="Hyperlink"/>
                <w:noProof/>
              </w:rPr>
              <w:t>Exhibit d – annual renewable energy forecast</w:t>
            </w:r>
            <w:r>
              <w:rPr>
                <w:noProof/>
                <w:webHidden/>
              </w:rPr>
              <w:tab/>
            </w:r>
            <w:r>
              <w:rPr>
                <w:noProof/>
                <w:webHidden/>
              </w:rPr>
              <w:fldChar w:fldCharType="begin"/>
            </w:r>
            <w:r>
              <w:rPr>
                <w:noProof/>
                <w:webHidden/>
              </w:rPr>
              <w:instrText xml:space="preserve"> PAGEREF _Toc227451484 \h </w:instrText>
            </w:r>
            <w:r>
              <w:rPr>
                <w:noProof/>
                <w:webHidden/>
              </w:rPr>
            </w:r>
            <w:r>
              <w:rPr>
                <w:noProof/>
                <w:webHidden/>
              </w:rPr>
              <w:fldChar w:fldCharType="separate"/>
            </w:r>
            <w:r>
              <w:rPr>
                <w:noProof/>
                <w:webHidden/>
              </w:rPr>
              <w:t>95</w:t>
            </w:r>
            <w:r>
              <w:rPr>
                <w:noProof/>
                <w:webHidden/>
              </w:rPr>
              <w:fldChar w:fldCharType="end"/>
            </w:r>
          </w:hyperlink>
        </w:p>
        <w:p w:rsidR="00D5639B" w:rsidRDefault="00D5639B" w14:paraId="28442666" w14:textId="5E10317B">
          <w:pPr>
            <w:pStyle w:val="TOC1"/>
            <w:rPr>
              <w:rFonts w:asciiTheme="minorHAnsi" w:hAnsiTheme="minorHAnsi" w:eastAsiaTheme="minorEastAsia" w:cstheme="minorBidi"/>
              <w:b w:val="0"/>
              <w:caps w:val="0"/>
              <w:noProof/>
              <w:kern w:val="2"/>
              <w:sz w:val="24"/>
              <w:szCs w:val="24"/>
              <w14:ligatures w14:val="standardContextual"/>
            </w:rPr>
          </w:pPr>
          <w:hyperlink w:history="1" w:anchor="_Toc227451485">
            <w:r w:rsidRPr="00F10278">
              <w:rPr>
                <w:rStyle w:val="Hyperlink"/>
                <w:noProof/>
              </w:rPr>
              <w:t>Exhibit e – Performance Testing Procedures</w:t>
            </w:r>
            <w:r>
              <w:rPr>
                <w:noProof/>
                <w:webHidden/>
              </w:rPr>
              <w:tab/>
            </w:r>
            <w:r>
              <w:rPr>
                <w:noProof/>
                <w:webHidden/>
              </w:rPr>
              <w:fldChar w:fldCharType="begin"/>
            </w:r>
            <w:r>
              <w:rPr>
                <w:noProof/>
                <w:webHidden/>
              </w:rPr>
              <w:instrText xml:space="preserve"> PAGEREF _Toc227451485 \h </w:instrText>
            </w:r>
            <w:r>
              <w:rPr>
                <w:noProof/>
                <w:webHidden/>
              </w:rPr>
            </w:r>
            <w:r>
              <w:rPr>
                <w:noProof/>
                <w:webHidden/>
              </w:rPr>
              <w:fldChar w:fldCharType="separate"/>
            </w:r>
            <w:r>
              <w:rPr>
                <w:noProof/>
                <w:webHidden/>
              </w:rPr>
              <w:t>96</w:t>
            </w:r>
            <w:r>
              <w:rPr>
                <w:noProof/>
                <w:webHidden/>
              </w:rPr>
              <w:fldChar w:fldCharType="end"/>
            </w:r>
          </w:hyperlink>
        </w:p>
        <w:p w:rsidR="00D5639B" w:rsidRDefault="00D5639B" w14:paraId="5981F05E" w14:textId="7A47CDDF">
          <w:pPr>
            <w:pStyle w:val="TOC1"/>
            <w:rPr>
              <w:rFonts w:asciiTheme="minorHAnsi" w:hAnsiTheme="minorHAnsi" w:eastAsiaTheme="minorEastAsia" w:cstheme="minorBidi"/>
              <w:b w:val="0"/>
              <w:caps w:val="0"/>
              <w:noProof/>
              <w:kern w:val="2"/>
              <w:sz w:val="24"/>
              <w:szCs w:val="24"/>
              <w14:ligatures w14:val="standardContextual"/>
            </w:rPr>
          </w:pPr>
          <w:hyperlink w:history="1" w:anchor="_Toc227451486">
            <w:r w:rsidRPr="00F10278">
              <w:rPr>
                <w:rStyle w:val="Hyperlink"/>
                <w:noProof/>
              </w:rPr>
              <w:t>Exhibit F – Facility OPERATING AND dispatchING REQUIREMENTs</w:t>
            </w:r>
            <w:r>
              <w:rPr>
                <w:noProof/>
                <w:webHidden/>
              </w:rPr>
              <w:tab/>
            </w:r>
            <w:r>
              <w:rPr>
                <w:noProof/>
                <w:webHidden/>
              </w:rPr>
              <w:fldChar w:fldCharType="begin"/>
            </w:r>
            <w:r>
              <w:rPr>
                <w:noProof/>
                <w:webHidden/>
              </w:rPr>
              <w:instrText xml:space="preserve"> PAGEREF _Toc227451486 \h </w:instrText>
            </w:r>
            <w:r>
              <w:rPr>
                <w:noProof/>
                <w:webHidden/>
              </w:rPr>
            </w:r>
            <w:r>
              <w:rPr>
                <w:noProof/>
                <w:webHidden/>
              </w:rPr>
              <w:fldChar w:fldCharType="separate"/>
            </w:r>
            <w:r>
              <w:rPr>
                <w:noProof/>
                <w:webHidden/>
              </w:rPr>
              <w:t>97</w:t>
            </w:r>
            <w:r>
              <w:rPr>
                <w:noProof/>
                <w:webHidden/>
              </w:rPr>
              <w:fldChar w:fldCharType="end"/>
            </w:r>
          </w:hyperlink>
        </w:p>
        <w:p w:rsidR="00D5639B" w:rsidRDefault="00D5639B" w14:paraId="2C1733DC" w14:textId="4EA6C6E7">
          <w:pPr>
            <w:pStyle w:val="TOC1"/>
            <w:rPr>
              <w:rFonts w:asciiTheme="minorHAnsi" w:hAnsiTheme="minorHAnsi" w:eastAsiaTheme="minorEastAsia" w:cstheme="minorBidi"/>
              <w:b w:val="0"/>
              <w:caps w:val="0"/>
              <w:noProof/>
              <w:kern w:val="2"/>
              <w:sz w:val="24"/>
              <w:szCs w:val="24"/>
              <w14:ligatures w14:val="standardContextual"/>
            </w:rPr>
          </w:pPr>
          <w:hyperlink w:history="1" w:anchor="_Toc227451494">
            <w:r w:rsidRPr="00F10278">
              <w:rPr>
                <w:rStyle w:val="Hyperlink"/>
                <w:noProof/>
              </w:rPr>
              <w:t>EXHIBIT G – agc AND Facility MINIMUM DATA REQUIREMENTS</w:t>
            </w:r>
            <w:r>
              <w:rPr>
                <w:noProof/>
                <w:webHidden/>
              </w:rPr>
              <w:tab/>
            </w:r>
            <w:r>
              <w:rPr>
                <w:noProof/>
                <w:webHidden/>
              </w:rPr>
              <w:fldChar w:fldCharType="begin"/>
            </w:r>
            <w:r>
              <w:rPr>
                <w:noProof/>
                <w:webHidden/>
              </w:rPr>
              <w:instrText xml:space="preserve"> PAGEREF _Toc227451494 \h </w:instrText>
            </w:r>
            <w:r>
              <w:rPr>
                <w:noProof/>
                <w:webHidden/>
              </w:rPr>
            </w:r>
            <w:r>
              <w:rPr>
                <w:noProof/>
                <w:webHidden/>
              </w:rPr>
              <w:fldChar w:fldCharType="separate"/>
            </w:r>
            <w:r>
              <w:rPr>
                <w:noProof/>
                <w:webHidden/>
              </w:rPr>
              <w:t>99</w:t>
            </w:r>
            <w:r>
              <w:rPr>
                <w:noProof/>
                <w:webHidden/>
              </w:rPr>
              <w:fldChar w:fldCharType="end"/>
            </w:r>
          </w:hyperlink>
        </w:p>
        <w:p w:rsidR="00D5639B" w:rsidRDefault="00D5639B" w14:paraId="112D552B" w14:textId="206B6996">
          <w:pPr>
            <w:pStyle w:val="TOC1"/>
            <w:rPr>
              <w:rFonts w:asciiTheme="minorHAnsi" w:hAnsiTheme="minorHAnsi" w:eastAsiaTheme="minorEastAsia" w:cstheme="minorBidi"/>
              <w:b w:val="0"/>
              <w:caps w:val="0"/>
              <w:noProof/>
              <w:kern w:val="2"/>
              <w:sz w:val="24"/>
              <w:szCs w:val="24"/>
              <w14:ligatures w14:val="standardContextual"/>
            </w:rPr>
          </w:pPr>
          <w:hyperlink w:history="1" w:anchor="_Toc227451495">
            <w:r w:rsidRPr="00F10278">
              <w:rPr>
                <w:rStyle w:val="Hyperlink"/>
                <w:noProof/>
              </w:rPr>
              <w:t>EXHIBIT H – facility ONE-LINE DIAGRAM</w:t>
            </w:r>
            <w:r>
              <w:rPr>
                <w:noProof/>
                <w:webHidden/>
              </w:rPr>
              <w:tab/>
            </w:r>
            <w:r>
              <w:rPr>
                <w:noProof/>
                <w:webHidden/>
              </w:rPr>
              <w:fldChar w:fldCharType="begin"/>
            </w:r>
            <w:r>
              <w:rPr>
                <w:noProof/>
                <w:webHidden/>
              </w:rPr>
              <w:instrText xml:space="preserve"> PAGEREF _Toc227451495 \h </w:instrText>
            </w:r>
            <w:r>
              <w:rPr>
                <w:noProof/>
                <w:webHidden/>
              </w:rPr>
            </w:r>
            <w:r>
              <w:rPr>
                <w:noProof/>
                <w:webHidden/>
              </w:rPr>
              <w:fldChar w:fldCharType="separate"/>
            </w:r>
            <w:r>
              <w:rPr>
                <w:noProof/>
                <w:webHidden/>
              </w:rPr>
              <w:t>107</w:t>
            </w:r>
            <w:r>
              <w:rPr>
                <w:noProof/>
                <w:webHidden/>
              </w:rPr>
              <w:fldChar w:fldCharType="end"/>
            </w:r>
          </w:hyperlink>
        </w:p>
        <w:p w:rsidR="00D5639B" w:rsidRDefault="00D5639B" w14:paraId="132908B9" w14:textId="4748485A">
          <w:pPr>
            <w:pStyle w:val="TOC1"/>
            <w:rPr>
              <w:rFonts w:asciiTheme="minorHAnsi" w:hAnsiTheme="minorHAnsi" w:eastAsiaTheme="minorEastAsia" w:cstheme="minorBidi"/>
              <w:b w:val="0"/>
              <w:caps w:val="0"/>
              <w:noProof/>
              <w:kern w:val="2"/>
              <w:sz w:val="24"/>
              <w:szCs w:val="24"/>
              <w14:ligatures w14:val="standardContextual"/>
            </w:rPr>
          </w:pPr>
          <w:hyperlink w:history="1" w:anchor="_Toc227451496">
            <w:r w:rsidRPr="00F10278">
              <w:rPr>
                <w:rStyle w:val="Hyperlink"/>
                <w:noProof/>
              </w:rPr>
              <w:t>Exhibit I – requirements for PPA Facility</w:t>
            </w:r>
            <w:r>
              <w:rPr>
                <w:noProof/>
                <w:webHidden/>
              </w:rPr>
              <w:tab/>
            </w:r>
            <w:r>
              <w:rPr>
                <w:noProof/>
                <w:webHidden/>
              </w:rPr>
              <w:fldChar w:fldCharType="begin"/>
            </w:r>
            <w:r>
              <w:rPr>
                <w:noProof/>
                <w:webHidden/>
              </w:rPr>
              <w:instrText xml:space="preserve"> PAGEREF _Toc227451496 \h </w:instrText>
            </w:r>
            <w:r>
              <w:rPr>
                <w:noProof/>
                <w:webHidden/>
              </w:rPr>
            </w:r>
            <w:r>
              <w:rPr>
                <w:noProof/>
                <w:webHidden/>
              </w:rPr>
              <w:fldChar w:fldCharType="separate"/>
            </w:r>
            <w:r>
              <w:rPr>
                <w:noProof/>
                <w:webHidden/>
              </w:rPr>
              <w:t>108</w:t>
            </w:r>
            <w:r>
              <w:rPr>
                <w:noProof/>
                <w:webHidden/>
              </w:rPr>
              <w:fldChar w:fldCharType="end"/>
            </w:r>
          </w:hyperlink>
        </w:p>
        <w:p w:rsidR="00D5639B" w:rsidRDefault="00D5639B" w14:paraId="28405A3B" w14:textId="6A285663">
          <w:pPr>
            <w:pStyle w:val="TOC1"/>
            <w:rPr>
              <w:rFonts w:asciiTheme="minorHAnsi" w:hAnsiTheme="minorHAnsi" w:eastAsiaTheme="minorEastAsia" w:cstheme="minorBidi"/>
              <w:b w:val="0"/>
              <w:caps w:val="0"/>
              <w:noProof/>
              <w:kern w:val="2"/>
              <w:sz w:val="24"/>
              <w:szCs w:val="24"/>
              <w14:ligatures w14:val="standardContextual"/>
            </w:rPr>
          </w:pPr>
          <w:hyperlink w:history="1" w:anchor="_Toc227451497">
            <w:r w:rsidRPr="00F10278">
              <w:rPr>
                <w:rStyle w:val="Hyperlink"/>
                <w:noProof/>
              </w:rPr>
              <w:t>Exhibit J – form OF COMMERCIAL OPERATION COMPLETION CERTIFICATE</w:t>
            </w:r>
            <w:r>
              <w:rPr>
                <w:noProof/>
                <w:webHidden/>
              </w:rPr>
              <w:tab/>
            </w:r>
            <w:r>
              <w:rPr>
                <w:noProof/>
                <w:webHidden/>
              </w:rPr>
              <w:fldChar w:fldCharType="begin"/>
            </w:r>
            <w:r>
              <w:rPr>
                <w:noProof/>
                <w:webHidden/>
              </w:rPr>
              <w:instrText xml:space="preserve"> PAGEREF _Toc227451497 \h </w:instrText>
            </w:r>
            <w:r>
              <w:rPr>
                <w:noProof/>
                <w:webHidden/>
              </w:rPr>
            </w:r>
            <w:r>
              <w:rPr>
                <w:noProof/>
                <w:webHidden/>
              </w:rPr>
              <w:fldChar w:fldCharType="separate"/>
            </w:r>
            <w:r>
              <w:rPr>
                <w:noProof/>
                <w:webHidden/>
              </w:rPr>
              <w:t>113</w:t>
            </w:r>
            <w:r>
              <w:rPr>
                <w:noProof/>
                <w:webHidden/>
              </w:rPr>
              <w:fldChar w:fldCharType="end"/>
            </w:r>
          </w:hyperlink>
        </w:p>
        <w:p w:rsidR="00D5639B" w:rsidRDefault="00D5639B" w14:paraId="47D245AD" w14:textId="5E0FAA78">
          <w:pPr>
            <w:pStyle w:val="TOC1"/>
            <w:rPr>
              <w:rFonts w:asciiTheme="minorHAnsi" w:hAnsiTheme="minorHAnsi" w:eastAsiaTheme="minorEastAsia" w:cstheme="minorBidi"/>
              <w:b w:val="0"/>
              <w:caps w:val="0"/>
              <w:noProof/>
              <w:kern w:val="2"/>
              <w:sz w:val="24"/>
              <w:szCs w:val="24"/>
              <w14:ligatures w14:val="standardContextual"/>
            </w:rPr>
          </w:pPr>
          <w:hyperlink w:history="1" w:anchor="_Toc227451498">
            <w:r w:rsidRPr="00F10278">
              <w:rPr>
                <w:rStyle w:val="Hyperlink"/>
                <w:noProof/>
              </w:rPr>
              <w:t>Exhibit K – Form of Standby Letter of Credit</w:t>
            </w:r>
            <w:r>
              <w:rPr>
                <w:noProof/>
                <w:webHidden/>
              </w:rPr>
              <w:tab/>
            </w:r>
            <w:r>
              <w:rPr>
                <w:noProof/>
                <w:webHidden/>
              </w:rPr>
              <w:fldChar w:fldCharType="begin"/>
            </w:r>
            <w:r>
              <w:rPr>
                <w:noProof/>
                <w:webHidden/>
              </w:rPr>
              <w:instrText xml:space="preserve"> PAGEREF _Toc227451498 \h </w:instrText>
            </w:r>
            <w:r>
              <w:rPr>
                <w:noProof/>
                <w:webHidden/>
              </w:rPr>
            </w:r>
            <w:r>
              <w:rPr>
                <w:noProof/>
                <w:webHidden/>
              </w:rPr>
              <w:fldChar w:fldCharType="separate"/>
            </w:r>
            <w:r>
              <w:rPr>
                <w:noProof/>
                <w:webHidden/>
              </w:rPr>
              <w:t>115</w:t>
            </w:r>
            <w:r>
              <w:rPr>
                <w:noProof/>
                <w:webHidden/>
              </w:rPr>
              <w:fldChar w:fldCharType="end"/>
            </w:r>
          </w:hyperlink>
        </w:p>
        <w:p w:rsidR="00D5639B" w:rsidRDefault="00D5639B" w14:paraId="68C7D92F" w14:textId="4AEE014A">
          <w:pPr>
            <w:pStyle w:val="TOC1"/>
            <w:rPr>
              <w:rFonts w:asciiTheme="minorHAnsi" w:hAnsiTheme="minorHAnsi" w:eastAsiaTheme="minorEastAsia" w:cstheme="minorBidi"/>
              <w:b w:val="0"/>
              <w:caps w:val="0"/>
              <w:noProof/>
              <w:kern w:val="2"/>
              <w:sz w:val="24"/>
              <w:szCs w:val="24"/>
              <w14:ligatures w14:val="standardContextual"/>
            </w:rPr>
          </w:pPr>
          <w:hyperlink w:history="1" w:anchor="_Toc227451499">
            <w:r w:rsidRPr="00F10278">
              <w:rPr>
                <w:rStyle w:val="Hyperlink"/>
                <w:noProof/>
              </w:rPr>
              <w:t>Exhibit L – Form of Guaranty</w:t>
            </w:r>
            <w:r>
              <w:rPr>
                <w:noProof/>
                <w:webHidden/>
              </w:rPr>
              <w:tab/>
            </w:r>
            <w:r>
              <w:rPr>
                <w:noProof/>
                <w:webHidden/>
              </w:rPr>
              <w:fldChar w:fldCharType="begin"/>
            </w:r>
            <w:r>
              <w:rPr>
                <w:noProof/>
                <w:webHidden/>
              </w:rPr>
              <w:instrText xml:space="preserve"> PAGEREF _Toc227451499 \h </w:instrText>
            </w:r>
            <w:r>
              <w:rPr>
                <w:noProof/>
                <w:webHidden/>
              </w:rPr>
            </w:r>
            <w:r>
              <w:rPr>
                <w:noProof/>
                <w:webHidden/>
              </w:rPr>
              <w:fldChar w:fldCharType="separate"/>
            </w:r>
            <w:r>
              <w:rPr>
                <w:noProof/>
                <w:webHidden/>
              </w:rPr>
              <w:t>120</w:t>
            </w:r>
            <w:r>
              <w:rPr>
                <w:noProof/>
                <w:webHidden/>
              </w:rPr>
              <w:fldChar w:fldCharType="end"/>
            </w:r>
          </w:hyperlink>
        </w:p>
        <w:p w:rsidR="00D5639B" w:rsidRDefault="00D5639B" w14:paraId="55E3CA06" w14:textId="48CC1E43">
          <w:pPr>
            <w:pStyle w:val="TOC1"/>
            <w:rPr>
              <w:rFonts w:asciiTheme="minorHAnsi" w:hAnsiTheme="minorHAnsi" w:eastAsiaTheme="minorEastAsia" w:cstheme="minorBidi"/>
              <w:b w:val="0"/>
              <w:caps w:val="0"/>
              <w:noProof/>
              <w:kern w:val="2"/>
              <w:sz w:val="24"/>
              <w:szCs w:val="24"/>
              <w14:ligatures w14:val="standardContextual"/>
            </w:rPr>
          </w:pPr>
          <w:hyperlink w:history="1" w:anchor="_Toc227451500">
            <w:r w:rsidRPr="00F10278">
              <w:rPr>
                <w:rStyle w:val="Hyperlink"/>
                <w:noProof/>
              </w:rPr>
              <w:t>Exhibit M –VIE Certification</w:t>
            </w:r>
            <w:r>
              <w:rPr>
                <w:noProof/>
                <w:webHidden/>
              </w:rPr>
              <w:tab/>
            </w:r>
            <w:r>
              <w:rPr>
                <w:noProof/>
                <w:webHidden/>
              </w:rPr>
              <w:fldChar w:fldCharType="begin"/>
            </w:r>
            <w:r>
              <w:rPr>
                <w:noProof/>
                <w:webHidden/>
              </w:rPr>
              <w:instrText xml:space="preserve"> PAGEREF _Toc227451500 \h </w:instrText>
            </w:r>
            <w:r>
              <w:rPr>
                <w:noProof/>
                <w:webHidden/>
              </w:rPr>
            </w:r>
            <w:r>
              <w:rPr>
                <w:noProof/>
                <w:webHidden/>
              </w:rPr>
              <w:fldChar w:fldCharType="separate"/>
            </w:r>
            <w:r>
              <w:rPr>
                <w:noProof/>
                <w:webHidden/>
              </w:rPr>
              <w:t>129</w:t>
            </w:r>
            <w:r>
              <w:rPr>
                <w:noProof/>
                <w:webHidden/>
              </w:rPr>
              <w:fldChar w:fldCharType="end"/>
            </w:r>
          </w:hyperlink>
        </w:p>
        <w:p w:rsidR="00D5639B" w:rsidRDefault="00D5639B" w14:paraId="1ECA1BE0" w14:textId="14165EDA">
          <w:pPr>
            <w:pStyle w:val="TOC1"/>
            <w:rPr>
              <w:rFonts w:asciiTheme="minorHAnsi" w:hAnsiTheme="minorHAnsi" w:eastAsiaTheme="minorEastAsia" w:cstheme="minorBidi"/>
              <w:b w:val="0"/>
              <w:caps w:val="0"/>
              <w:noProof/>
              <w:kern w:val="2"/>
              <w:sz w:val="24"/>
              <w:szCs w:val="24"/>
              <w14:ligatures w14:val="standardContextual"/>
            </w:rPr>
          </w:pPr>
          <w:hyperlink w:history="1" w:anchor="_Toc227451501">
            <w:r w:rsidRPr="00F10278">
              <w:rPr>
                <w:rStyle w:val="Hyperlink"/>
                <w:noProof/>
              </w:rPr>
              <w:t>Exhibit N – RESERVED</w:t>
            </w:r>
            <w:r>
              <w:rPr>
                <w:noProof/>
                <w:webHidden/>
              </w:rPr>
              <w:tab/>
            </w:r>
            <w:r>
              <w:rPr>
                <w:noProof/>
                <w:webHidden/>
              </w:rPr>
              <w:fldChar w:fldCharType="begin"/>
            </w:r>
            <w:r>
              <w:rPr>
                <w:noProof/>
                <w:webHidden/>
              </w:rPr>
              <w:instrText xml:space="preserve"> PAGEREF _Toc227451501 \h </w:instrText>
            </w:r>
            <w:r>
              <w:rPr>
                <w:noProof/>
                <w:webHidden/>
              </w:rPr>
            </w:r>
            <w:r>
              <w:rPr>
                <w:noProof/>
                <w:webHidden/>
              </w:rPr>
              <w:fldChar w:fldCharType="separate"/>
            </w:r>
            <w:r>
              <w:rPr>
                <w:noProof/>
                <w:webHidden/>
              </w:rPr>
              <w:t>132</w:t>
            </w:r>
            <w:r>
              <w:rPr>
                <w:noProof/>
                <w:webHidden/>
              </w:rPr>
              <w:fldChar w:fldCharType="end"/>
            </w:r>
          </w:hyperlink>
        </w:p>
        <w:p w:rsidR="00D5639B" w:rsidRDefault="00D5639B" w14:paraId="4A9C3618" w14:textId="239C745D">
          <w:pPr>
            <w:pStyle w:val="TOC1"/>
            <w:rPr>
              <w:rFonts w:asciiTheme="minorHAnsi" w:hAnsiTheme="minorHAnsi" w:eastAsiaTheme="minorEastAsia" w:cstheme="minorBidi"/>
              <w:b w:val="0"/>
              <w:caps w:val="0"/>
              <w:noProof/>
              <w:kern w:val="2"/>
              <w:sz w:val="24"/>
              <w:szCs w:val="24"/>
              <w14:ligatures w14:val="standardContextual"/>
            </w:rPr>
          </w:pPr>
          <w:hyperlink w:history="1" w:anchor="_Toc227451502">
            <w:r w:rsidRPr="00F10278">
              <w:rPr>
                <w:rStyle w:val="Hyperlink"/>
                <w:noProof/>
                <w:w w:val="0"/>
              </w:rPr>
              <w:t>Exhibit O – Transfer of Information Acknowledgement</w:t>
            </w:r>
            <w:r>
              <w:rPr>
                <w:noProof/>
                <w:webHidden/>
              </w:rPr>
              <w:tab/>
            </w:r>
            <w:r>
              <w:rPr>
                <w:noProof/>
                <w:webHidden/>
              </w:rPr>
              <w:fldChar w:fldCharType="begin"/>
            </w:r>
            <w:r>
              <w:rPr>
                <w:noProof/>
                <w:webHidden/>
              </w:rPr>
              <w:instrText xml:space="preserve"> PAGEREF _Toc227451502 \h </w:instrText>
            </w:r>
            <w:r>
              <w:rPr>
                <w:noProof/>
                <w:webHidden/>
              </w:rPr>
            </w:r>
            <w:r>
              <w:rPr>
                <w:noProof/>
                <w:webHidden/>
              </w:rPr>
              <w:fldChar w:fldCharType="separate"/>
            </w:r>
            <w:r>
              <w:rPr>
                <w:noProof/>
                <w:webHidden/>
              </w:rPr>
              <w:t>133</w:t>
            </w:r>
            <w:r>
              <w:rPr>
                <w:noProof/>
                <w:webHidden/>
              </w:rPr>
              <w:fldChar w:fldCharType="end"/>
            </w:r>
          </w:hyperlink>
        </w:p>
        <w:p w:rsidR="00D5639B" w:rsidRDefault="00D5639B" w14:paraId="65D408C3" w14:textId="6CB8D844">
          <w:pPr>
            <w:pStyle w:val="TOC1"/>
            <w:rPr>
              <w:rFonts w:asciiTheme="minorHAnsi" w:hAnsiTheme="minorHAnsi" w:eastAsiaTheme="minorEastAsia" w:cstheme="minorBidi"/>
              <w:b w:val="0"/>
              <w:caps w:val="0"/>
              <w:noProof/>
              <w:kern w:val="2"/>
              <w:sz w:val="24"/>
              <w:szCs w:val="24"/>
              <w14:ligatures w14:val="standardContextual"/>
            </w:rPr>
          </w:pPr>
          <w:hyperlink w:history="1" w:anchor="_Toc227451503">
            <w:r w:rsidRPr="00F10278">
              <w:rPr>
                <w:rStyle w:val="Hyperlink"/>
                <w:noProof/>
              </w:rPr>
              <w:t>EXHIBIT P – ENVIRONMENTAL COMPLIANCE CERTIFICATION</w:t>
            </w:r>
            <w:r>
              <w:rPr>
                <w:noProof/>
                <w:webHidden/>
              </w:rPr>
              <w:tab/>
            </w:r>
            <w:r>
              <w:rPr>
                <w:noProof/>
                <w:webHidden/>
              </w:rPr>
              <w:fldChar w:fldCharType="begin"/>
            </w:r>
            <w:r>
              <w:rPr>
                <w:noProof/>
                <w:webHidden/>
              </w:rPr>
              <w:instrText xml:space="preserve"> PAGEREF _Toc227451503 \h </w:instrText>
            </w:r>
            <w:r>
              <w:rPr>
                <w:noProof/>
                <w:webHidden/>
              </w:rPr>
            </w:r>
            <w:r>
              <w:rPr>
                <w:noProof/>
                <w:webHidden/>
              </w:rPr>
              <w:fldChar w:fldCharType="separate"/>
            </w:r>
            <w:r>
              <w:rPr>
                <w:noProof/>
                <w:webHidden/>
              </w:rPr>
              <w:t>134</w:t>
            </w:r>
            <w:r>
              <w:rPr>
                <w:noProof/>
                <w:webHidden/>
              </w:rPr>
              <w:fldChar w:fldCharType="end"/>
            </w:r>
          </w:hyperlink>
        </w:p>
        <w:p w:rsidR="00D5639B" w:rsidRDefault="00D5639B" w14:paraId="12611D13" w14:textId="5EDA2F19">
          <w:pPr>
            <w:pStyle w:val="TOC1"/>
            <w:rPr>
              <w:rFonts w:asciiTheme="minorHAnsi" w:hAnsiTheme="minorHAnsi" w:eastAsiaTheme="minorEastAsia" w:cstheme="minorBidi"/>
              <w:b w:val="0"/>
              <w:caps w:val="0"/>
              <w:noProof/>
              <w:kern w:val="2"/>
              <w:sz w:val="24"/>
              <w:szCs w:val="24"/>
              <w14:ligatures w14:val="standardContextual"/>
            </w:rPr>
          </w:pPr>
          <w:hyperlink w:history="1" w:anchor="_Toc227451504">
            <w:r w:rsidRPr="00F10278">
              <w:rPr>
                <w:rStyle w:val="Hyperlink"/>
                <w:noProof/>
              </w:rPr>
              <w:t>Exhibit Q – Notices</w:t>
            </w:r>
            <w:r>
              <w:rPr>
                <w:noProof/>
                <w:webHidden/>
              </w:rPr>
              <w:tab/>
            </w:r>
            <w:r>
              <w:rPr>
                <w:noProof/>
                <w:webHidden/>
              </w:rPr>
              <w:fldChar w:fldCharType="begin"/>
            </w:r>
            <w:r>
              <w:rPr>
                <w:noProof/>
                <w:webHidden/>
              </w:rPr>
              <w:instrText xml:space="preserve"> PAGEREF _Toc227451504 \h </w:instrText>
            </w:r>
            <w:r>
              <w:rPr>
                <w:noProof/>
                <w:webHidden/>
              </w:rPr>
            </w:r>
            <w:r>
              <w:rPr>
                <w:noProof/>
                <w:webHidden/>
              </w:rPr>
              <w:fldChar w:fldCharType="separate"/>
            </w:r>
            <w:r>
              <w:rPr>
                <w:noProof/>
                <w:webHidden/>
              </w:rPr>
              <w:t>135</w:t>
            </w:r>
            <w:r>
              <w:rPr>
                <w:noProof/>
                <w:webHidden/>
              </w:rPr>
              <w:fldChar w:fldCharType="end"/>
            </w:r>
          </w:hyperlink>
        </w:p>
        <w:p w:rsidRPr="002D2A8F" w:rsidR="002D54C4" w:rsidP="002D54C4" w:rsidRDefault="00C3776F" w14:paraId="26C059B2" w14:textId="32A51B86">
          <w:pPr>
            <w:pStyle w:val="TOC1"/>
            <w:rPr>
              <w:rFonts w:ascii="Arial" w:hAnsi="Arial"/>
            </w:rPr>
          </w:pPr>
          <w:r w:rsidRPr="0072211F">
            <w:rPr>
              <w:rFonts w:ascii="Arial" w:hAnsi="Arial"/>
            </w:rPr>
            <w:fldChar w:fldCharType="end"/>
          </w:r>
          <w:r w:rsidRPr="000C4B02" w:rsidDel="009F375B" w:rsidR="009F375B">
            <w:rPr>
              <w:rFonts w:ascii="Arial" w:hAnsi="Arial" w:eastAsiaTheme="minorHAnsi"/>
              <w:b w:val="0"/>
              <w:caps w:val="0"/>
              <w:kern w:val="0"/>
            </w:rPr>
            <w:t xml:space="preserve"> </w:t>
          </w:r>
        </w:p>
      </w:sdtContent>
    </w:sdt>
    <w:p w:rsidR="00BF6429" w:rsidRDefault="004B00E9" w14:paraId="506D5CE0" w14:textId="77777777">
      <w:pPr>
        <w:rPr>
          <w:rFonts w:cs="Arial" w:eastAsiaTheme="minorEastAsia"/>
          <w:b/>
          <w:bCs/>
          <w:caps/>
          <w:kern w:val="14"/>
          <w:sz w:val="20"/>
          <w:szCs w:val="20"/>
        </w:rPr>
        <w:sectPr w:rsidR="00BF6429" w:rsidSect="003B614F">
          <w:type w:val="continuous"/>
          <w:pgSz w:w="12240" w:h="15840" w:code="1"/>
          <w:pgMar w:top="1440" w:right="1440" w:bottom="1440" w:left="1440" w:header="720" w:footer="720" w:gutter="0"/>
          <w:paperSrc w:first="15" w:other="15"/>
          <w:cols w:space="1440"/>
        </w:sectPr>
      </w:pPr>
      <w:r>
        <w:rPr>
          <w:rFonts w:cs="Arial" w:eastAsiaTheme="minorEastAsia"/>
          <w:b/>
          <w:bCs/>
          <w:caps/>
          <w:kern w:val="14"/>
          <w:sz w:val="20"/>
          <w:szCs w:val="20"/>
        </w:rPr>
        <w:br w:type="page"/>
      </w:r>
    </w:p>
    <w:p w:rsidR="002D54C4" w:rsidP="00860E33" w:rsidRDefault="002D54C4" w14:paraId="4C48442F" w14:textId="77777777">
      <w:pPr>
        <w:pStyle w:val="zGNormal"/>
      </w:pPr>
    </w:p>
    <w:p w:rsidRPr="002D2A8F" w:rsidR="002D54C4" w:rsidP="009E6E37" w:rsidRDefault="002D54C4" w14:paraId="4907A72D" w14:textId="703C16EC">
      <w:pPr>
        <w:pStyle w:val="zGTitleExhibit"/>
        <w:keepNext/>
        <w:rPr>
          <w:rFonts w:cs="Arial"/>
        </w:rPr>
      </w:pPr>
      <w:bookmarkStart w:name="_Toc169778577" w:id="23"/>
      <w:bookmarkStart w:name="_Toc227451342" w:id="24"/>
      <w:bookmarkEnd w:id="17"/>
      <w:r w:rsidRPr="002D2A8F">
        <w:rPr>
          <w:rFonts w:cs="Arial"/>
          <w:caps w:val="0"/>
        </w:rPr>
        <w:t>SCHEDULE OF DEFINED TERMS</w:t>
      </w:r>
      <w:bookmarkEnd w:id="23"/>
      <w:bookmarkEnd w:id="24"/>
    </w:p>
    <w:p w:rsidRPr="002D2A8F" w:rsidR="002D54C4" w:rsidP="0049433D" w:rsidRDefault="002D54C4" w14:paraId="45A55731" w14:textId="11D7FB05">
      <w:pPr>
        <w:pStyle w:val="Heading2"/>
        <w:keepNext w:val="0"/>
        <w:keepLines w:val="0"/>
        <w:widowControl w:val="0"/>
        <w:spacing w:before="120" w:line="20" w:lineRule="atLeast"/>
        <w:rPr>
          <w:rFonts w:cs="Arial"/>
          <w:sz w:val="20"/>
          <w:szCs w:val="20"/>
        </w:rPr>
      </w:pPr>
      <w:r w:rsidRPr="002D2A8F">
        <w:rPr>
          <w:rFonts w:cs="Arial"/>
          <w:sz w:val="20"/>
          <w:szCs w:val="20"/>
        </w:rPr>
        <w:t xml:space="preserve">This PPA uses the defined terms identified in this </w:t>
      </w:r>
      <w:r w:rsidRPr="002D2A8F">
        <w:rPr>
          <w:rFonts w:cs="Arial"/>
          <w:i/>
          <w:sz w:val="20"/>
          <w:szCs w:val="20"/>
        </w:rPr>
        <w:t>Schedule of Defined Terms</w:t>
      </w:r>
      <w:r w:rsidRPr="002D2A8F">
        <w:rPr>
          <w:rFonts w:cs="Arial"/>
          <w:sz w:val="20"/>
          <w:szCs w:val="20"/>
        </w:rPr>
        <w:t xml:space="preserve"> or in the body of this PPA and the rules of construction identified in </w:t>
      </w:r>
      <w:r w:rsidRPr="00534192">
        <w:rPr>
          <w:rFonts w:cs="Arial"/>
          <w:sz w:val="20"/>
          <w:szCs w:val="20"/>
        </w:rPr>
        <w:t>Section 20.1</w:t>
      </w:r>
      <w:r w:rsidRPr="00534192" w:rsidR="004273C5">
        <w:rPr>
          <w:rFonts w:cs="Arial"/>
          <w:sz w:val="20"/>
          <w:szCs w:val="20"/>
        </w:rPr>
        <w:t>7</w:t>
      </w:r>
      <w:r w:rsidRPr="00534192">
        <w:rPr>
          <w:rFonts w:cs="Arial"/>
          <w:sz w:val="20"/>
          <w:szCs w:val="20"/>
        </w:rPr>
        <w:t xml:space="preserve"> (</w:t>
      </w:r>
      <w:r w:rsidRPr="00534192">
        <w:rPr>
          <w:rFonts w:cs="Arial"/>
          <w:i/>
          <w:sz w:val="20"/>
          <w:szCs w:val="20"/>
        </w:rPr>
        <w:t>Contract Interpretation</w:t>
      </w:r>
      <w:r w:rsidRPr="00534192">
        <w:rPr>
          <w:rFonts w:cs="Arial"/>
          <w:sz w:val="20"/>
          <w:szCs w:val="20"/>
        </w:rPr>
        <w:t>).</w:t>
      </w:r>
      <w:r w:rsidRPr="002D2A8F">
        <w:rPr>
          <w:rFonts w:cs="Arial"/>
          <w:sz w:val="20"/>
          <w:szCs w:val="20"/>
        </w:rPr>
        <w:t xml:space="preserve"> </w:t>
      </w:r>
      <w:bookmarkEnd w:id="18"/>
      <w:bookmarkEnd w:id="19"/>
      <w:bookmarkEnd w:id="20"/>
      <w:bookmarkEnd w:id="21"/>
      <w:bookmarkEnd w:id="22"/>
    </w:p>
    <w:p w:rsidRPr="009606D6" w:rsidR="00531AB9" w:rsidP="009606D6" w:rsidRDefault="009606D6" w14:paraId="7285B246" w14:textId="443BA936">
      <w:pPr>
        <w:spacing w:before="120" w:after="120" w:line="240" w:lineRule="auto"/>
        <w:jc w:val="both"/>
        <w:rPr>
          <w:rFonts w:ascii="Arial" w:hAnsi="Arial" w:cs="Arial"/>
          <w:sz w:val="20"/>
          <w:szCs w:val="20"/>
        </w:rPr>
      </w:pPr>
      <w:r w:rsidRPr="000C0B43">
        <w:rPr>
          <w:rFonts w:ascii="Arial" w:hAnsi="Arial" w:cs="Arial"/>
          <w:b/>
          <w:bCs/>
          <w:sz w:val="20"/>
          <w:szCs w:val="20"/>
          <w:u w:val="single"/>
        </w:rPr>
        <w:t>Abandonment</w:t>
      </w:r>
      <w:r w:rsidRPr="000C0B43">
        <w:rPr>
          <w:rFonts w:ascii="Arial" w:hAnsi="Arial" w:cs="Arial"/>
          <w:sz w:val="20"/>
          <w:szCs w:val="20"/>
        </w:rPr>
        <w:t xml:space="preserve">: </w:t>
      </w:r>
      <w:r w:rsidR="00E25663">
        <w:rPr>
          <w:rFonts w:ascii="Arial" w:hAnsi="Arial" w:cs="Arial"/>
          <w:sz w:val="20"/>
          <w:szCs w:val="20"/>
        </w:rPr>
        <w:t>A</w:t>
      </w:r>
      <w:r w:rsidRPr="000C0B43">
        <w:rPr>
          <w:rFonts w:ascii="Arial" w:hAnsi="Arial" w:cs="Arial"/>
          <w:sz w:val="20"/>
          <w:szCs w:val="20"/>
        </w:rPr>
        <w:t>ny Seller</w:t>
      </w:r>
      <w:r w:rsidR="00BD153D">
        <w:rPr>
          <w:rFonts w:ascii="Arial" w:hAnsi="Arial" w:cs="Arial"/>
          <w:sz w:val="20"/>
          <w:szCs w:val="20"/>
        </w:rPr>
        <w:t>:</w:t>
      </w:r>
      <w:r w:rsidRPr="000C0B43">
        <w:rPr>
          <w:rFonts w:ascii="Arial" w:hAnsi="Arial" w:cs="Arial"/>
          <w:sz w:val="20"/>
          <w:szCs w:val="20"/>
        </w:rPr>
        <w:t xml:space="preserve"> (i) cessation of </w:t>
      </w:r>
      <w:r w:rsidR="00D41C21">
        <w:rPr>
          <w:rFonts w:ascii="Arial" w:hAnsi="Arial" w:cs="Arial"/>
          <w:sz w:val="20"/>
          <w:szCs w:val="20"/>
        </w:rPr>
        <w:t xml:space="preserve">Facility </w:t>
      </w:r>
      <w:r w:rsidRPr="000C0B43">
        <w:rPr>
          <w:rFonts w:ascii="Arial" w:hAnsi="Arial" w:cs="Arial"/>
          <w:sz w:val="20"/>
          <w:szCs w:val="20"/>
        </w:rPr>
        <w:t xml:space="preserve">development, construction, or installation activities for a continuous period of not less than </w:t>
      </w:r>
      <w:r w:rsidRPr="009D4C64">
        <w:rPr>
          <w:rFonts w:ascii="Arial" w:hAnsi="Arial" w:cs="Arial"/>
          <w:sz w:val="20"/>
          <w:szCs w:val="20"/>
        </w:rPr>
        <w:t>90</w:t>
      </w:r>
      <w:r w:rsidRPr="000C0B43">
        <w:rPr>
          <w:rFonts w:ascii="Arial" w:hAnsi="Arial" w:cs="Arial"/>
          <w:sz w:val="20"/>
          <w:szCs w:val="20"/>
        </w:rPr>
        <w:t xml:space="preserve"> consecutive </w:t>
      </w:r>
      <w:r w:rsidR="009D4C64">
        <w:rPr>
          <w:rFonts w:ascii="Arial" w:hAnsi="Arial" w:cs="Arial"/>
          <w:sz w:val="20"/>
          <w:szCs w:val="20"/>
        </w:rPr>
        <w:t>D</w:t>
      </w:r>
      <w:r w:rsidRPr="000C0B43">
        <w:rPr>
          <w:rFonts w:ascii="Arial" w:hAnsi="Arial" w:cs="Arial"/>
          <w:sz w:val="20"/>
          <w:szCs w:val="20"/>
        </w:rPr>
        <w:t>ays, other than</w:t>
      </w:r>
      <w:r w:rsidR="00BD153D">
        <w:rPr>
          <w:rFonts w:ascii="Arial" w:hAnsi="Arial" w:cs="Arial"/>
          <w:sz w:val="20"/>
          <w:szCs w:val="20"/>
        </w:rPr>
        <w:t>:</w:t>
      </w:r>
      <w:r w:rsidRPr="000C0B43">
        <w:rPr>
          <w:rFonts w:ascii="Arial" w:hAnsi="Arial" w:cs="Arial"/>
          <w:sz w:val="20"/>
          <w:szCs w:val="20"/>
        </w:rPr>
        <w:t xml:space="preserve"> </w:t>
      </w:r>
      <w:r w:rsidR="00995766">
        <w:rPr>
          <w:rFonts w:ascii="Arial" w:hAnsi="Arial" w:cs="Arial"/>
          <w:sz w:val="20"/>
          <w:szCs w:val="20"/>
        </w:rPr>
        <w:t>(</w:t>
      </w:r>
      <w:r w:rsidR="001137DB">
        <w:rPr>
          <w:rFonts w:ascii="Arial" w:hAnsi="Arial" w:cs="Arial"/>
          <w:sz w:val="20"/>
          <w:szCs w:val="20"/>
        </w:rPr>
        <w:t>a</w:t>
      </w:r>
      <w:r w:rsidR="00995766">
        <w:rPr>
          <w:rFonts w:ascii="Arial" w:hAnsi="Arial" w:cs="Arial"/>
          <w:sz w:val="20"/>
          <w:szCs w:val="20"/>
        </w:rPr>
        <w:t xml:space="preserve">) </w:t>
      </w:r>
      <w:r w:rsidR="007B2722">
        <w:rPr>
          <w:rFonts w:ascii="Arial" w:hAnsi="Arial" w:cs="Arial"/>
          <w:sz w:val="20"/>
          <w:szCs w:val="20"/>
        </w:rPr>
        <w:t>as mutually agreed by the Parties</w:t>
      </w:r>
      <w:r w:rsidR="001137DB">
        <w:rPr>
          <w:rFonts w:ascii="Arial" w:hAnsi="Arial" w:cs="Arial"/>
          <w:sz w:val="20"/>
          <w:szCs w:val="20"/>
        </w:rPr>
        <w:t xml:space="preserve"> </w:t>
      </w:r>
      <w:r w:rsidR="007B2722">
        <w:rPr>
          <w:rFonts w:ascii="Arial" w:hAnsi="Arial" w:cs="Arial"/>
          <w:sz w:val="20"/>
          <w:szCs w:val="20"/>
        </w:rPr>
        <w:t>in writing</w:t>
      </w:r>
      <w:r w:rsidR="00BD153D">
        <w:rPr>
          <w:rFonts w:ascii="Arial" w:hAnsi="Arial" w:cs="Arial"/>
          <w:sz w:val="20"/>
          <w:szCs w:val="20"/>
        </w:rPr>
        <w:t>;</w:t>
      </w:r>
      <w:r w:rsidR="007B2722">
        <w:rPr>
          <w:rFonts w:ascii="Arial" w:hAnsi="Arial" w:cs="Arial"/>
          <w:sz w:val="20"/>
          <w:szCs w:val="20"/>
        </w:rPr>
        <w:t xml:space="preserve"> (</w:t>
      </w:r>
      <w:r w:rsidR="001137DB">
        <w:rPr>
          <w:rFonts w:ascii="Arial" w:hAnsi="Arial" w:cs="Arial"/>
          <w:sz w:val="20"/>
          <w:szCs w:val="20"/>
        </w:rPr>
        <w:t>b</w:t>
      </w:r>
      <w:r w:rsidR="007B2722">
        <w:rPr>
          <w:rFonts w:ascii="Arial" w:hAnsi="Arial" w:cs="Arial"/>
          <w:sz w:val="20"/>
          <w:szCs w:val="20"/>
        </w:rPr>
        <w:t xml:space="preserve">) </w:t>
      </w:r>
      <w:r w:rsidRPr="000C0B43">
        <w:rPr>
          <w:rFonts w:ascii="Arial" w:hAnsi="Arial" w:cs="Arial"/>
          <w:sz w:val="20"/>
          <w:szCs w:val="20"/>
        </w:rPr>
        <w:t>a suspension resulting from an FME</w:t>
      </w:r>
      <w:r w:rsidR="00BD153D">
        <w:rPr>
          <w:rFonts w:ascii="Arial" w:hAnsi="Arial" w:cs="Arial"/>
          <w:sz w:val="20"/>
          <w:szCs w:val="20"/>
        </w:rPr>
        <w:t>;</w:t>
      </w:r>
      <w:r w:rsidR="00995766">
        <w:rPr>
          <w:rFonts w:ascii="Arial" w:hAnsi="Arial" w:cs="Arial"/>
          <w:sz w:val="20"/>
          <w:szCs w:val="20"/>
        </w:rPr>
        <w:t xml:space="preserve"> </w:t>
      </w:r>
      <w:r w:rsidRPr="006C202B" w:rsidR="00995766">
        <w:rPr>
          <w:rFonts w:ascii="Arial" w:hAnsi="Arial" w:cs="Arial"/>
          <w:sz w:val="20"/>
          <w:szCs w:val="20"/>
        </w:rPr>
        <w:t>or (</w:t>
      </w:r>
      <w:r w:rsidR="00E81CF8">
        <w:rPr>
          <w:rFonts w:ascii="Arial" w:hAnsi="Arial" w:cs="Arial"/>
          <w:sz w:val="20"/>
          <w:szCs w:val="20"/>
        </w:rPr>
        <w:t>c</w:t>
      </w:r>
      <w:r w:rsidRPr="006C202B" w:rsidR="00995766">
        <w:rPr>
          <w:rFonts w:ascii="Arial" w:hAnsi="Arial" w:cs="Arial"/>
          <w:sz w:val="20"/>
          <w:szCs w:val="20"/>
        </w:rPr>
        <w:t xml:space="preserve">) </w:t>
      </w:r>
      <w:r w:rsidRPr="006C202B" w:rsidR="006C202B">
        <w:rPr>
          <w:rFonts w:ascii="Arial" w:hAnsi="Arial" w:cs="Arial"/>
          <w:sz w:val="20"/>
          <w:szCs w:val="20"/>
        </w:rPr>
        <w:t xml:space="preserve">planned periods of inactivity reflected in the level 3 critical path method </w:t>
      </w:r>
      <w:r w:rsidRPr="00CC21AF" w:rsidR="006C202B">
        <w:rPr>
          <w:rFonts w:ascii="Arial" w:hAnsi="Arial" w:cs="Arial"/>
          <w:sz w:val="20"/>
          <w:szCs w:val="20"/>
        </w:rPr>
        <w:t>EPC Contract Schedule</w:t>
      </w:r>
      <w:r w:rsidRPr="006C202B" w:rsidR="006C202B">
        <w:rPr>
          <w:rFonts w:ascii="Arial" w:hAnsi="Arial" w:cs="Arial"/>
          <w:sz w:val="20"/>
          <w:szCs w:val="20"/>
        </w:rPr>
        <w:t xml:space="preserve"> provided by Seller for the corresponding Key Milestone Date</w:t>
      </w:r>
      <w:r w:rsidRPr="000C0B43">
        <w:rPr>
          <w:rFonts w:ascii="Arial" w:hAnsi="Arial" w:cs="Arial"/>
          <w:sz w:val="20"/>
          <w:szCs w:val="20"/>
        </w:rPr>
        <w:t xml:space="preserve">; or (ii) written statement or action evidencing Seller’s intent to permanently discontinue development or construction of the Facility or otherwise not to achieve Commercial Operation. </w:t>
      </w:r>
    </w:p>
    <w:p w:rsidR="002D54C4" w:rsidP="00261AEB" w:rsidRDefault="002D54C4" w14:paraId="730ED794" w14:textId="4DB34C5F">
      <w:pPr>
        <w:pStyle w:val="Heading3"/>
        <w:keepNext w:val="0"/>
        <w:keepLines w:val="0"/>
        <w:widowControl w:val="0"/>
        <w:spacing w:before="120"/>
        <w:rPr>
          <w:rFonts w:cs="Arial"/>
          <w:b w:val="0"/>
          <w:bCs w:val="0"/>
          <w:u w:val="none"/>
        </w:rPr>
      </w:pPr>
      <w:r w:rsidRPr="00A213B8">
        <w:rPr>
          <w:rFonts w:cs="Arial"/>
        </w:rPr>
        <w:t>ACP</w:t>
      </w:r>
      <w:r w:rsidRPr="00A213B8">
        <w:rPr>
          <w:rFonts w:cs="Arial"/>
          <w:u w:val="none"/>
        </w:rPr>
        <w:t>:</w:t>
      </w:r>
      <w:r w:rsidRPr="00A213B8">
        <w:rPr>
          <w:rFonts w:cs="Arial"/>
          <w:b w:val="0"/>
          <w:bCs w:val="0"/>
          <w:u w:val="none"/>
        </w:rPr>
        <w:t xml:space="preserve"> See</w:t>
      </w:r>
      <w:r w:rsidRPr="00A213B8">
        <w:rPr>
          <w:rFonts w:cs="Arial"/>
          <w:b w:val="0"/>
          <w:bCs w:val="0"/>
          <w:i/>
          <w:iCs/>
          <w:u w:val="none"/>
        </w:rPr>
        <w:t xml:space="preserve"> Annual Capacity Price</w:t>
      </w:r>
      <w:r w:rsidRPr="00A213B8">
        <w:rPr>
          <w:rFonts w:cs="Arial"/>
          <w:b w:val="0"/>
          <w:bCs w:val="0"/>
          <w:u w:val="none"/>
        </w:rPr>
        <w:t>.</w:t>
      </w:r>
    </w:p>
    <w:p w:rsidRPr="00EA1588" w:rsidR="00EA1588" w:rsidP="00EA1588" w:rsidRDefault="00D92CAD" w14:paraId="085C0432" w14:textId="57C540C7">
      <w:r>
        <w:rPr>
          <w:rFonts w:ascii="Arial" w:hAnsi="Arial" w:cs="Arial"/>
          <w:b/>
          <w:sz w:val="20"/>
          <w:szCs w:val="20"/>
          <w:u w:val="single"/>
        </w:rPr>
        <w:t>ACP Adjustment</w:t>
      </w:r>
      <w:r>
        <w:rPr>
          <w:rFonts w:ascii="Arial" w:hAnsi="Arial" w:cs="Arial"/>
          <w:b/>
          <w:sz w:val="20"/>
          <w:szCs w:val="20"/>
        </w:rPr>
        <w:t xml:space="preserve">: </w:t>
      </w:r>
      <w:r>
        <w:rPr>
          <w:rFonts w:ascii="Arial" w:hAnsi="Arial" w:cs="Arial"/>
          <w:bCs/>
          <w:sz w:val="20"/>
          <w:szCs w:val="20"/>
        </w:rPr>
        <w:t xml:space="preserve">As defined in </w:t>
      </w:r>
      <w:r w:rsidRPr="00C04CA7">
        <w:rPr>
          <w:rFonts w:ascii="Arial" w:hAnsi="Arial" w:cs="Arial"/>
          <w:bCs/>
          <w:sz w:val="20"/>
          <w:szCs w:val="20"/>
        </w:rPr>
        <w:t>Section 17.1.</w:t>
      </w:r>
      <w:r w:rsidRPr="00C04CA7" w:rsidR="001712DD">
        <w:rPr>
          <w:rFonts w:ascii="Arial" w:hAnsi="Arial" w:cs="Arial"/>
          <w:bCs/>
          <w:sz w:val="20"/>
          <w:szCs w:val="20"/>
        </w:rPr>
        <w:t>3</w:t>
      </w:r>
      <w:r w:rsidRPr="00C04CA7">
        <w:rPr>
          <w:rFonts w:ascii="Arial" w:hAnsi="Arial" w:cs="Arial"/>
          <w:bCs/>
          <w:sz w:val="20"/>
          <w:szCs w:val="20"/>
        </w:rPr>
        <w:t xml:space="preserve"> (</w:t>
      </w:r>
      <w:r w:rsidRPr="001E0CC5">
        <w:rPr>
          <w:rFonts w:ascii="Arial" w:hAnsi="Arial" w:cs="Arial"/>
          <w:bCs/>
          <w:i/>
          <w:iCs/>
          <w:sz w:val="20"/>
          <w:szCs w:val="20"/>
        </w:rPr>
        <w:t>GPC Review; ACP Adjustment</w:t>
      </w:r>
      <w:r w:rsidRPr="00C04CA7">
        <w:rPr>
          <w:rFonts w:ascii="Arial" w:hAnsi="Arial" w:cs="Arial"/>
          <w:bCs/>
          <w:sz w:val="20"/>
          <w:szCs w:val="20"/>
        </w:rPr>
        <w:t>).</w:t>
      </w:r>
    </w:p>
    <w:p w:rsidRPr="00A213B8" w:rsidR="00AB1304" w:rsidP="000432D0" w:rsidRDefault="00AB1304" w14:paraId="6FE03B8B" w14:textId="7B09FBD2">
      <w:pPr>
        <w:spacing w:before="120" w:after="120" w:line="240" w:lineRule="auto"/>
        <w:rPr>
          <w:rFonts w:ascii="Arial" w:hAnsi="Arial" w:cs="Arial"/>
          <w:sz w:val="20"/>
          <w:szCs w:val="20"/>
        </w:rPr>
      </w:pPr>
      <w:r w:rsidRPr="00A213B8">
        <w:rPr>
          <w:rFonts w:ascii="Arial" w:hAnsi="Arial" w:cs="Arial"/>
          <w:b/>
          <w:bCs/>
          <w:sz w:val="20"/>
          <w:szCs w:val="20"/>
          <w:u w:val="single"/>
        </w:rPr>
        <w:t>Adjustment Period:</w:t>
      </w:r>
      <w:r w:rsidRPr="00A213B8">
        <w:rPr>
          <w:rFonts w:ascii="Arial" w:hAnsi="Arial" w:cs="Arial"/>
          <w:sz w:val="20"/>
          <w:szCs w:val="20"/>
        </w:rPr>
        <w:t xml:space="preserve"> As defined in Section 8.2.3 (</w:t>
      </w:r>
      <w:r w:rsidRPr="00A213B8">
        <w:rPr>
          <w:rFonts w:ascii="Arial" w:hAnsi="Arial" w:cs="Arial"/>
          <w:i/>
          <w:iCs/>
          <w:sz w:val="20"/>
          <w:szCs w:val="20"/>
        </w:rPr>
        <w:t>Adjustments</w:t>
      </w:r>
      <w:r w:rsidRPr="00A213B8">
        <w:rPr>
          <w:rFonts w:ascii="Arial" w:hAnsi="Arial" w:cs="Arial"/>
          <w:sz w:val="20"/>
          <w:szCs w:val="20"/>
        </w:rPr>
        <w:t>).</w:t>
      </w:r>
    </w:p>
    <w:p w:rsidRPr="00A213B8" w:rsidR="002D54C4" w:rsidP="00261AEB" w:rsidRDefault="002D54C4" w14:paraId="21AC41A2" w14:textId="0088B379">
      <w:pPr>
        <w:pStyle w:val="Heading3"/>
        <w:keepNext w:val="0"/>
        <w:keepLines w:val="0"/>
        <w:spacing w:before="120"/>
        <w:rPr>
          <w:rFonts w:cs="Arial"/>
        </w:rPr>
      </w:pPr>
      <w:r w:rsidRPr="00A213B8">
        <w:rPr>
          <w:rFonts w:cs="Arial"/>
        </w:rPr>
        <w:t>Affiliate</w:t>
      </w:r>
      <w:r w:rsidRPr="00A213B8">
        <w:rPr>
          <w:rFonts w:cs="Arial"/>
          <w:u w:val="none"/>
        </w:rPr>
        <w:t xml:space="preserve">: </w:t>
      </w:r>
      <w:r w:rsidRPr="00A213B8">
        <w:rPr>
          <w:rFonts w:cs="Arial"/>
          <w:b w:val="0"/>
          <w:u w:val="none"/>
        </w:rPr>
        <w:t>For any specific Person, any other Person directly or indirectly controlling or controlled by or under common control with that Person. For purposes of this definition, “control” when used regarding any entity means the power to direct the management and policies of the entity, directly or indirectly, whether through the ownership of voting securities, by contract, or otherwise. For purposes of this PPA, it is assumed that a Person directly or indirectly owning 50% or more of the outstanding stock or other equity interest of another Person has “control” of that Person. The terms “controlling” and “controlled” have meanings correlative to “control.”</w:t>
      </w:r>
    </w:p>
    <w:p w:rsidRPr="00802935" w:rsidR="009A4A97" w:rsidP="00261AEB" w:rsidRDefault="009A4A97" w14:paraId="0CB5F9D2" w14:textId="3332B1F3">
      <w:pPr>
        <w:pStyle w:val="zGNormal6"/>
        <w:widowControl w:val="0"/>
      </w:pPr>
      <w:r w:rsidRPr="00261AEB">
        <w:rPr>
          <w:b/>
          <w:u w:val="single"/>
        </w:rPr>
        <w:t>After-Tax Basis</w:t>
      </w:r>
      <w:r w:rsidRPr="00802935">
        <w:t xml:space="preserve">: </w:t>
      </w:r>
      <w:r w:rsidRPr="00A213B8">
        <w:rPr>
          <w:rFonts w:eastAsia="PMingLiU"/>
        </w:rPr>
        <w:t>With respect to a given</w:t>
      </w:r>
      <w:r w:rsidRPr="00802935">
        <w:t xml:space="preserve"> payment </w:t>
      </w:r>
      <w:r w:rsidRPr="00A213B8">
        <w:rPr>
          <w:rFonts w:eastAsia="PMingLiU"/>
        </w:rPr>
        <w:t xml:space="preserve">required to be made to </w:t>
      </w:r>
      <w:r w:rsidRPr="00802935">
        <w:t xml:space="preserve">any Person, the amount of </w:t>
      </w:r>
      <w:r w:rsidRPr="00A213B8">
        <w:rPr>
          <w:rFonts w:eastAsia="PMingLiU"/>
        </w:rPr>
        <w:t>such</w:t>
      </w:r>
      <w:r w:rsidRPr="00802935">
        <w:t xml:space="preserve"> payment </w:t>
      </w:r>
      <w:r w:rsidRPr="00A213B8">
        <w:rPr>
          <w:rFonts w:eastAsia="PMingLiU"/>
        </w:rPr>
        <w:t>(“</w:t>
      </w:r>
      <w:r w:rsidRPr="00A213B8">
        <w:rPr>
          <w:rFonts w:eastAsia="PMingLiU"/>
          <w:b/>
        </w:rPr>
        <w:t>Base Payment</w:t>
      </w:r>
      <w:r w:rsidRPr="00A213B8">
        <w:rPr>
          <w:rFonts w:eastAsia="PMingLiU"/>
          <w:bCs/>
        </w:rPr>
        <w:t>”</w:t>
      </w:r>
      <w:r w:rsidRPr="00A213B8">
        <w:rPr>
          <w:rFonts w:eastAsia="PMingLiU"/>
        </w:rPr>
        <w:t>)</w:t>
      </w:r>
      <w:r w:rsidRPr="00802935">
        <w:t xml:space="preserve"> supplemented by a further payment </w:t>
      </w:r>
      <w:r w:rsidRPr="00A213B8">
        <w:rPr>
          <w:rFonts w:eastAsia="PMingLiU"/>
        </w:rPr>
        <w:t>(“</w:t>
      </w:r>
      <w:r w:rsidRPr="00A213B8">
        <w:rPr>
          <w:rFonts w:eastAsia="PMingLiU"/>
          <w:b/>
        </w:rPr>
        <w:t>Additional</w:t>
      </w:r>
      <w:r w:rsidRPr="00A213B8">
        <w:rPr>
          <w:rFonts w:eastAsia="PMingLiU"/>
        </w:rPr>
        <w:t xml:space="preserve"> </w:t>
      </w:r>
      <w:r w:rsidRPr="00A213B8">
        <w:rPr>
          <w:rFonts w:eastAsia="PMingLiU"/>
          <w:b/>
        </w:rPr>
        <w:t>Payment</w:t>
      </w:r>
      <w:r w:rsidRPr="00A213B8">
        <w:rPr>
          <w:rFonts w:eastAsia="PMingLiU"/>
          <w:bCs/>
        </w:rPr>
        <w:t>”</w:t>
      </w:r>
      <w:r w:rsidRPr="00A213B8">
        <w:rPr>
          <w:rFonts w:eastAsia="PMingLiU"/>
        </w:rPr>
        <w:t>)</w:t>
      </w:r>
      <w:r w:rsidRPr="00802935">
        <w:t xml:space="preserve"> to that Person so that the sum of the </w:t>
      </w:r>
      <w:r w:rsidRPr="00A213B8">
        <w:rPr>
          <w:rFonts w:eastAsia="PMingLiU"/>
        </w:rPr>
        <w:t>Base Payment</w:t>
      </w:r>
      <w:r w:rsidRPr="00802935">
        <w:t xml:space="preserve"> plus the </w:t>
      </w:r>
      <w:r w:rsidRPr="00A213B8">
        <w:rPr>
          <w:rFonts w:eastAsia="PMingLiU"/>
        </w:rPr>
        <w:t>Additional Payment</w:t>
      </w:r>
      <w:r w:rsidRPr="00802935">
        <w:t xml:space="preserve"> will, after deduction of the amount of all </w:t>
      </w:r>
      <w:r w:rsidRPr="00A213B8">
        <w:rPr>
          <w:rFonts w:eastAsia="PMingLiU"/>
        </w:rPr>
        <w:t>income taxes</w:t>
      </w:r>
      <w:r w:rsidRPr="00802935">
        <w:t xml:space="preserve"> required to be paid by </w:t>
      </w:r>
      <w:r w:rsidRPr="00A213B8">
        <w:rPr>
          <w:rFonts w:eastAsia="PMingLiU"/>
        </w:rPr>
        <w:t>such</w:t>
      </w:r>
      <w:r w:rsidRPr="00802935">
        <w:t xml:space="preserve"> Person </w:t>
      </w:r>
      <w:r w:rsidRPr="00A213B8">
        <w:rPr>
          <w:rFonts w:eastAsia="PMingLiU"/>
        </w:rPr>
        <w:t>in respect of</w:t>
      </w:r>
      <w:r w:rsidRPr="00802935">
        <w:t xml:space="preserve"> the receipt or accrual of the </w:t>
      </w:r>
      <w:r w:rsidRPr="00A213B8">
        <w:rPr>
          <w:rFonts w:eastAsia="PMingLiU"/>
        </w:rPr>
        <w:t>Base Payment</w:t>
      </w:r>
      <w:r w:rsidRPr="00802935">
        <w:t xml:space="preserve"> and the </w:t>
      </w:r>
      <w:r w:rsidRPr="00A213B8">
        <w:rPr>
          <w:rFonts w:eastAsia="PMingLiU"/>
        </w:rPr>
        <w:t>Additional Payment</w:t>
      </w:r>
      <w:r w:rsidRPr="00802935">
        <w:t xml:space="preserve"> (taking into account </w:t>
      </w:r>
      <w:r w:rsidRPr="00A213B8">
        <w:rPr>
          <w:rFonts w:eastAsia="PMingLiU"/>
        </w:rPr>
        <w:t>the net present value of any reduction in such income taxes resulting</w:t>
      </w:r>
      <w:r w:rsidRPr="00802935">
        <w:t xml:space="preserve"> from </w:t>
      </w:r>
      <w:r w:rsidRPr="00A213B8">
        <w:rPr>
          <w:rFonts w:eastAsia="PMingLiU"/>
        </w:rPr>
        <w:t xml:space="preserve">tax benefits realized by </w:t>
      </w:r>
      <w:r w:rsidRPr="00802935">
        <w:t xml:space="preserve">the </w:t>
      </w:r>
      <w:r w:rsidRPr="00A213B8">
        <w:rPr>
          <w:rFonts w:eastAsia="PMingLiU"/>
        </w:rPr>
        <w:t>recipient as a result of</w:t>
      </w:r>
      <w:r w:rsidRPr="00802935">
        <w:t xml:space="preserve"> the payment </w:t>
      </w:r>
      <w:r w:rsidRPr="00A213B8">
        <w:rPr>
          <w:rFonts w:eastAsia="PMingLiU"/>
        </w:rPr>
        <w:t>or</w:t>
      </w:r>
      <w:r w:rsidRPr="00802935">
        <w:t xml:space="preserve"> the </w:t>
      </w:r>
      <w:r w:rsidRPr="00A213B8">
        <w:rPr>
          <w:rFonts w:eastAsia="PMingLiU"/>
        </w:rPr>
        <w:t>event giving rise to</w:t>
      </w:r>
      <w:r w:rsidRPr="00802935">
        <w:t xml:space="preserve"> the payment), be equal to the amount required to be received. </w:t>
      </w:r>
      <w:r w:rsidRPr="00A213B8">
        <w:rPr>
          <w:rFonts w:eastAsia="PMingLiU"/>
        </w:rPr>
        <w:t>Such</w:t>
      </w:r>
      <w:r w:rsidRPr="00802935">
        <w:t xml:space="preserve"> calculations will be made on the basis of the highest </w:t>
      </w:r>
      <w:r w:rsidRPr="00A213B8">
        <w:rPr>
          <w:rFonts w:eastAsia="PMingLiU"/>
        </w:rPr>
        <w:t xml:space="preserve">generally </w:t>
      </w:r>
      <w:r w:rsidRPr="00802935">
        <w:t xml:space="preserve">applicable </w:t>
      </w:r>
      <w:r w:rsidRPr="00A213B8">
        <w:rPr>
          <w:rFonts w:eastAsia="PMingLiU"/>
        </w:rPr>
        <w:t>federal, state, and local income tax rates</w:t>
      </w:r>
      <w:r w:rsidRPr="00802935">
        <w:t xml:space="preserve"> applicable to </w:t>
      </w:r>
      <w:r w:rsidRPr="00A213B8">
        <w:rPr>
          <w:rFonts w:eastAsia="PMingLiU"/>
        </w:rPr>
        <w:t>the Person</w:t>
      </w:r>
      <w:r w:rsidRPr="00802935">
        <w:t xml:space="preserve"> for </w:t>
      </w:r>
      <w:r w:rsidRPr="00A213B8">
        <w:rPr>
          <w:rFonts w:eastAsia="PMingLiU"/>
        </w:rPr>
        <w:t>whom the calculation is being made for all</w:t>
      </w:r>
      <w:r w:rsidRPr="00802935">
        <w:t xml:space="preserve"> relevant periods and </w:t>
      </w:r>
      <w:r w:rsidRPr="00A213B8">
        <w:rPr>
          <w:rFonts w:eastAsia="PMingLiU"/>
        </w:rPr>
        <w:t>will take into account the deductibility of state and local income taxes for federal income tax purposes</w:t>
      </w:r>
      <w:r w:rsidRPr="00802935">
        <w:t>.</w:t>
      </w:r>
    </w:p>
    <w:p w:rsidRPr="00A213B8" w:rsidR="001C553D" w:rsidP="00261AEB" w:rsidRDefault="0014370A" w14:paraId="1DD9C1C7" w14:textId="5EE66EAD">
      <w:pPr>
        <w:pStyle w:val="Heading3"/>
        <w:keepNext w:val="0"/>
        <w:keepLines w:val="0"/>
        <w:spacing w:before="120"/>
        <w:rPr>
          <w:rFonts w:cs="Arial"/>
          <w:b w:val="0"/>
          <w:u w:val="none"/>
        </w:rPr>
      </w:pPr>
      <w:r w:rsidRPr="00A213B8">
        <w:rPr>
          <w:rFonts w:cs="Arial"/>
        </w:rPr>
        <w:t>AGC</w:t>
      </w:r>
      <w:r w:rsidRPr="00A213B8">
        <w:rPr>
          <w:rFonts w:cs="Arial"/>
          <w:u w:val="none"/>
        </w:rPr>
        <w:t xml:space="preserve">: </w:t>
      </w:r>
      <w:r w:rsidRPr="00A213B8">
        <w:rPr>
          <w:rFonts w:cs="Arial"/>
          <w:b w:val="0"/>
          <w:u w:val="none"/>
        </w:rPr>
        <w:t xml:space="preserve">See </w:t>
      </w:r>
      <w:r w:rsidRPr="00A213B8">
        <w:rPr>
          <w:rFonts w:cs="Arial"/>
          <w:b w:val="0"/>
          <w:i/>
          <w:u w:val="none"/>
        </w:rPr>
        <w:t>Automatic Generation Control</w:t>
      </w:r>
      <w:r w:rsidRPr="00A213B8">
        <w:rPr>
          <w:rFonts w:cs="Arial"/>
          <w:b w:val="0"/>
          <w:u w:val="none"/>
        </w:rPr>
        <w:t xml:space="preserve">. </w:t>
      </w:r>
    </w:p>
    <w:p w:rsidRPr="00A213B8" w:rsidR="008600B7" w:rsidP="000432D0" w:rsidRDefault="0014370A" w14:paraId="4BF7E89A" w14:textId="3FD74A18">
      <w:pPr>
        <w:pStyle w:val="Heading3"/>
        <w:keepNext w:val="0"/>
        <w:keepLines w:val="0"/>
        <w:spacing w:before="120"/>
        <w:rPr>
          <w:rFonts w:cs="Arial"/>
          <w:b w:val="0"/>
          <w:u w:val="none"/>
        </w:rPr>
      </w:pPr>
      <w:r w:rsidRPr="00A213B8">
        <w:rPr>
          <w:rFonts w:cs="Arial"/>
        </w:rPr>
        <w:t>AGC Performance Requirements</w:t>
      </w:r>
      <w:r w:rsidRPr="00A213B8">
        <w:rPr>
          <w:rFonts w:cs="Arial"/>
          <w:u w:val="none"/>
        </w:rPr>
        <w:t xml:space="preserve">: </w:t>
      </w:r>
      <w:r w:rsidRPr="00A213B8">
        <w:rPr>
          <w:rFonts w:cs="Arial"/>
          <w:b w:val="0"/>
          <w:u w:val="none"/>
        </w:rPr>
        <w:t xml:space="preserve">The AGC </w:t>
      </w:r>
      <w:r w:rsidRPr="00A213B8" w:rsidR="006265BE">
        <w:rPr>
          <w:rFonts w:cs="Arial"/>
          <w:b w:val="0"/>
          <w:u w:val="none"/>
        </w:rPr>
        <w:t xml:space="preserve">Status </w:t>
      </w:r>
      <w:r w:rsidRPr="00261AEB" w:rsidR="006265BE">
        <w:rPr>
          <w:b w:val="0"/>
          <w:u w:val="none"/>
        </w:rPr>
        <w:t xml:space="preserve">Performance </w:t>
      </w:r>
      <w:r w:rsidRPr="00A213B8" w:rsidR="006265BE">
        <w:rPr>
          <w:rFonts w:cs="Arial"/>
          <w:b w:val="0"/>
          <w:u w:val="none"/>
        </w:rPr>
        <w:t>Requirement</w:t>
      </w:r>
      <w:r w:rsidRPr="00261AEB" w:rsidR="006265BE">
        <w:rPr>
          <w:b w:val="0"/>
          <w:u w:val="none"/>
        </w:rPr>
        <w:t xml:space="preserve"> and </w:t>
      </w:r>
      <w:r w:rsidRPr="00A213B8" w:rsidR="006265BE">
        <w:rPr>
          <w:rFonts w:cs="Arial"/>
          <w:b w:val="0"/>
          <w:u w:val="none"/>
        </w:rPr>
        <w:t xml:space="preserve">the AGC Setpoint Response </w:t>
      </w:r>
      <w:r w:rsidRPr="00261AEB" w:rsidR="006265BE">
        <w:rPr>
          <w:b w:val="0"/>
          <w:u w:val="none"/>
        </w:rPr>
        <w:t xml:space="preserve">Performance </w:t>
      </w:r>
      <w:r w:rsidRPr="00A213B8" w:rsidR="006265BE">
        <w:rPr>
          <w:rFonts w:cs="Arial"/>
          <w:b w:val="0"/>
          <w:u w:val="none"/>
        </w:rPr>
        <w:t xml:space="preserve">Requirement. </w:t>
      </w:r>
    </w:p>
    <w:p w:rsidRPr="0097562D" w:rsidR="00507F79" w:rsidP="00261AEB" w:rsidRDefault="00507F79" w14:paraId="354142C8" w14:textId="4054B26C">
      <w:pPr>
        <w:spacing w:before="120" w:after="120" w:line="240" w:lineRule="auto"/>
      </w:pPr>
      <w:r w:rsidRPr="00A213B8">
        <w:rPr>
          <w:rFonts w:ascii="Arial" w:hAnsi="Arial" w:cs="Arial"/>
          <w:b/>
          <w:bCs/>
          <w:sz w:val="20"/>
          <w:szCs w:val="20"/>
          <w:u w:val="single"/>
        </w:rPr>
        <w:t>AGC Plan</w:t>
      </w:r>
      <w:r w:rsidRPr="00A213B8">
        <w:rPr>
          <w:rFonts w:ascii="Arial" w:hAnsi="Arial" w:cs="Arial"/>
          <w:sz w:val="20"/>
          <w:szCs w:val="20"/>
        </w:rPr>
        <w:t>: As defined in Section 10.9 (</w:t>
      </w:r>
      <w:r w:rsidRPr="00A213B8">
        <w:rPr>
          <w:rFonts w:ascii="Arial" w:hAnsi="Arial" w:cs="Arial"/>
          <w:i/>
          <w:iCs/>
          <w:sz w:val="20"/>
          <w:szCs w:val="20"/>
        </w:rPr>
        <w:t>AGC Performance</w:t>
      </w:r>
      <w:r w:rsidRPr="00261AEB">
        <w:rPr>
          <w:rFonts w:ascii="Arial" w:hAnsi="Arial"/>
          <w:i/>
          <w:sz w:val="20"/>
        </w:rPr>
        <w:t xml:space="preserve"> Requirements</w:t>
      </w:r>
      <w:r w:rsidRPr="00261AEB">
        <w:rPr>
          <w:rFonts w:ascii="Arial" w:hAnsi="Arial"/>
          <w:sz w:val="20"/>
        </w:rPr>
        <w:t>).</w:t>
      </w:r>
    </w:p>
    <w:p w:rsidRPr="00A213B8" w:rsidR="0023647C" w:rsidP="00261AEB" w:rsidRDefault="0023647C" w14:paraId="04B9F4B7" w14:textId="35EA2F7A">
      <w:pPr>
        <w:pStyle w:val="Heading3"/>
        <w:keepNext w:val="0"/>
        <w:keepLines w:val="0"/>
        <w:spacing w:before="120"/>
        <w:rPr>
          <w:rFonts w:cs="Arial"/>
        </w:rPr>
      </w:pPr>
      <w:r w:rsidRPr="00A213B8">
        <w:rPr>
          <w:rFonts w:cs="Arial"/>
        </w:rPr>
        <w:t>AGC Setpoint</w:t>
      </w:r>
      <w:r w:rsidRPr="00A213B8">
        <w:rPr>
          <w:rFonts w:cs="Arial"/>
          <w:u w:val="none"/>
        </w:rPr>
        <w:t>:</w:t>
      </w:r>
      <w:r w:rsidRPr="00A213B8">
        <w:rPr>
          <w:rFonts w:cs="Arial"/>
          <w:b w:val="0"/>
          <w:bCs w:val="0"/>
          <w:u w:val="none"/>
        </w:rPr>
        <w:t xml:space="preserve"> A value (MW) that will range from the Operating Low Limit to the Operating High Limit.</w:t>
      </w:r>
    </w:p>
    <w:p w:rsidRPr="00A213B8" w:rsidR="0023647C" w:rsidP="00F5521A" w:rsidRDefault="0023647C" w14:paraId="6CEDC8E6" w14:textId="5D12DF2E">
      <w:pPr>
        <w:pStyle w:val="Heading3"/>
        <w:keepNext w:val="0"/>
        <w:keepLines w:val="0"/>
        <w:widowControl w:val="0"/>
        <w:spacing w:before="120"/>
        <w:rPr>
          <w:rFonts w:cs="Arial"/>
          <w:b w:val="0"/>
          <w:u w:val="none"/>
        </w:rPr>
      </w:pPr>
      <w:r w:rsidRPr="00A213B8">
        <w:rPr>
          <w:rFonts w:cs="Arial"/>
        </w:rPr>
        <w:t>AGC Setpoint Response Performance Metric</w:t>
      </w:r>
      <w:r w:rsidRPr="00A213B8">
        <w:rPr>
          <w:rFonts w:cs="Arial"/>
          <w:u w:val="none"/>
        </w:rPr>
        <w:t xml:space="preserve">: </w:t>
      </w:r>
      <w:r w:rsidRPr="00A213B8">
        <w:rPr>
          <w:rFonts w:cs="Arial"/>
          <w:b w:val="0"/>
          <w:u w:val="none"/>
        </w:rPr>
        <w:t xml:space="preserve">As defined in Section </w:t>
      </w:r>
      <w:r w:rsidRPr="00A213B8" w:rsidR="00BB3408">
        <w:rPr>
          <w:rFonts w:cs="Arial"/>
          <w:b w:val="0"/>
          <w:u w:val="none"/>
        </w:rPr>
        <w:t>3</w:t>
      </w:r>
      <w:r w:rsidRPr="00A213B8">
        <w:rPr>
          <w:rFonts w:cs="Arial"/>
          <w:b w:val="0"/>
          <w:u w:val="none"/>
        </w:rPr>
        <w:t>.2.</w:t>
      </w:r>
      <w:r w:rsidRPr="00A213B8" w:rsidR="00440A17">
        <w:rPr>
          <w:rFonts w:cs="Arial"/>
          <w:b w:val="0"/>
          <w:u w:val="none"/>
        </w:rPr>
        <w:t>2</w:t>
      </w:r>
      <w:r w:rsidRPr="00A213B8">
        <w:rPr>
          <w:rFonts w:cs="Arial"/>
          <w:b w:val="0"/>
          <w:u w:val="none"/>
        </w:rPr>
        <w:t xml:space="preserve"> </w:t>
      </w:r>
      <w:r w:rsidR="00F42B23">
        <w:rPr>
          <w:b w:val="0"/>
          <w:u w:val="none"/>
        </w:rPr>
        <w:t>(</w:t>
      </w:r>
      <w:r w:rsidR="00F42B23">
        <w:rPr>
          <w:b w:val="0"/>
          <w:i/>
          <w:u w:val="none"/>
        </w:rPr>
        <w:t>AGC Setpoint Response Performance Requirement</w:t>
      </w:r>
      <w:r w:rsidR="00F42B23">
        <w:rPr>
          <w:b w:val="0"/>
          <w:u w:val="none"/>
        </w:rPr>
        <w:t xml:space="preserve">) </w:t>
      </w:r>
      <w:r w:rsidRPr="00A213B8">
        <w:rPr>
          <w:rFonts w:cs="Arial"/>
          <w:b w:val="0"/>
          <w:u w:val="none"/>
        </w:rPr>
        <w:t>of Exhibit C (</w:t>
      </w:r>
      <w:r w:rsidRPr="00A213B8" w:rsidR="008F673D">
        <w:rPr>
          <w:rFonts w:cs="Arial"/>
          <w:b w:val="0"/>
          <w:i/>
          <w:u w:val="none"/>
        </w:rPr>
        <w:t xml:space="preserve">Monthly Capacity Payments; Monthly Capacity Reductions; AGC Performance </w:t>
      </w:r>
      <w:r w:rsidRPr="00A213B8" w:rsidR="00866BB1">
        <w:rPr>
          <w:rFonts w:cs="Arial"/>
          <w:b w:val="0"/>
          <w:i/>
          <w:u w:val="none"/>
        </w:rPr>
        <w:t xml:space="preserve">Metrics and </w:t>
      </w:r>
      <w:r w:rsidRPr="00A213B8" w:rsidR="008F673D">
        <w:rPr>
          <w:rFonts w:cs="Arial"/>
          <w:b w:val="0"/>
          <w:i/>
          <w:u w:val="none"/>
        </w:rPr>
        <w:t>Requirements</w:t>
      </w:r>
      <w:r w:rsidRPr="00A213B8">
        <w:rPr>
          <w:rFonts w:cs="Arial"/>
          <w:b w:val="0"/>
          <w:u w:val="none"/>
        </w:rPr>
        <w:t>).</w:t>
      </w:r>
    </w:p>
    <w:p w:rsidRPr="00A213B8" w:rsidR="0023647C" w:rsidP="00F5521A" w:rsidRDefault="0023647C" w14:paraId="79411723" w14:textId="230A7576">
      <w:pPr>
        <w:pStyle w:val="Heading3"/>
        <w:keepNext w:val="0"/>
        <w:keepLines w:val="0"/>
        <w:widowControl w:val="0"/>
        <w:spacing w:before="120"/>
        <w:rPr>
          <w:rFonts w:cs="Arial"/>
        </w:rPr>
      </w:pPr>
      <w:r w:rsidRPr="00A213B8">
        <w:rPr>
          <w:rFonts w:cs="Arial"/>
        </w:rPr>
        <w:t>AGC Setpoint Response Performance Requirement</w:t>
      </w:r>
      <w:r w:rsidRPr="00A213B8">
        <w:rPr>
          <w:rFonts w:cs="Arial"/>
          <w:u w:val="none"/>
        </w:rPr>
        <w:t xml:space="preserve">: </w:t>
      </w:r>
      <w:r w:rsidRPr="00A213B8">
        <w:rPr>
          <w:rFonts w:cs="Arial"/>
          <w:b w:val="0"/>
          <w:u w:val="none"/>
        </w:rPr>
        <w:t xml:space="preserve">As defined in Section </w:t>
      </w:r>
      <w:r w:rsidRPr="00A213B8" w:rsidR="00BB3408">
        <w:rPr>
          <w:rFonts w:cs="Arial"/>
          <w:b w:val="0"/>
          <w:u w:val="none"/>
        </w:rPr>
        <w:t>3</w:t>
      </w:r>
      <w:r w:rsidRPr="00A213B8">
        <w:rPr>
          <w:rFonts w:cs="Arial"/>
          <w:b w:val="0"/>
          <w:u w:val="none"/>
        </w:rPr>
        <w:t>.</w:t>
      </w:r>
      <w:r w:rsidRPr="00A213B8" w:rsidR="002E2AF4">
        <w:rPr>
          <w:rFonts w:cs="Arial"/>
          <w:b w:val="0"/>
          <w:u w:val="none"/>
        </w:rPr>
        <w:t>2.</w:t>
      </w:r>
      <w:r w:rsidRPr="00A213B8" w:rsidR="00440A17">
        <w:rPr>
          <w:rFonts w:cs="Arial"/>
          <w:b w:val="0"/>
          <w:u w:val="none"/>
        </w:rPr>
        <w:t>2</w:t>
      </w:r>
      <w:r w:rsidRPr="00A213B8">
        <w:rPr>
          <w:rFonts w:cs="Arial"/>
          <w:b w:val="0"/>
          <w:u w:val="none"/>
        </w:rPr>
        <w:t xml:space="preserve"> </w:t>
      </w:r>
      <w:r w:rsidR="00F42B23">
        <w:rPr>
          <w:b w:val="0"/>
          <w:u w:val="none"/>
        </w:rPr>
        <w:t>(</w:t>
      </w:r>
      <w:r w:rsidR="00F42B23">
        <w:rPr>
          <w:b w:val="0"/>
          <w:i/>
          <w:u w:val="none"/>
        </w:rPr>
        <w:t>AGC Setpoint Response Performance Requirement</w:t>
      </w:r>
      <w:r w:rsidR="00F42B23">
        <w:rPr>
          <w:b w:val="0"/>
          <w:u w:val="none"/>
        </w:rPr>
        <w:t xml:space="preserve">) </w:t>
      </w:r>
      <w:r w:rsidRPr="00A213B8">
        <w:rPr>
          <w:rFonts w:cs="Arial"/>
          <w:b w:val="0"/>
          <w:u w:val="none"/>
        </w:rPr>
        <w:t>of Exhibit C (</w:t>
      </w:r>
      <w:r w:rsidRPr="00A213B8" w:rsidR="008F673D">
        <w:rPr>
          <w:rFonts w:cs="Arial"/>
          <w:b w:val="0"/>
          <w:i/>
          <w:u w:val="none"/>
        </w:rPr>
        <w:t xml:space="preserve">Monthly Capacity Payments; Monthly Capacity Reductions; AGC Performance </w:t>
      </w:r>
      <w:r w:rsidRPr="00A213B8" w:rsidR="00866BB1">
        <w:rPr>
          <w:rFonts w:cs="Arial"/>
          <w:b w:val="0"/>
          <w:i/>
          <w:u w:val="none"/>
        </w:rPr>
        <w:t xml:space="preserve">Metrics and </w:t>
      </w:r>
      <w:r w:rsidRPr="00A213B8" w:rsidR="008F673D">
        <w:rPr>
          <w:rFonts w:cs="Arial"/>
          <w:b w:val="0"/>
          <w:i/>
          <w:u w:val="none"/>
        </w:rPr>
        <w:t>Requirements</w:t>
      </w:r>
      <w:r w:rsidRPr="00A213B8">
        <w:rPr>
          <w:rFonts w:cs="Arial"/>
          <w:b w:val="0"/>
          <w:u w:val="none"/>
        </w:rPr>
        <w:t>).</w:t>
      </w:r>
    </w:p>
    <w:p w:rsidRPr="00261AEB" w:rsidR="0023647C" w:rsidP="00261AEB" w:rsidRDefault="0023647C" w14:paraId="51219605" w14:textId="0D40E5D7">
      <w:pPr>
        <w:pStyle w:val="Heading3"/>
        <w:keepNext w:val="0"/>
        <w:keepLines w:val="0"/>
        <w:widowControl w:val="0"/>
        <w:spacing w:before="120"/>
      </w:pPr>
      <w:r w:rsidRPr="00A213B8">
        <w:rPr>
          <w:rFonts w:cs="Arial"/>
        </w:rPr>
        <w:t>AGC Status</w:t>
      </w:r>
      <w:r w:rsidRPr="00A213B8">
        <w:rPr>
          <w:rFonts w:cs="Arial"/>
          <w:u w:val="none"/>
        </w:rPr>
        <w:t>:</w:t>
      </w:r>
      <w:r w:rsidRPr="00A213B8">
        <w:rPr>
          <w:rFonts w:cs="Arial"/>
          <w:b w:val="0"/>
          <w:u w:val="none"/>
        </w:rPr>
        <w:t xml:space="preserve"> As defined in Section </w:t>
      </w:r>
      <w:r w:rsidRPr="00A213B8" w:rsidR="007F5AA6">
        <w:rPr>
          <w:rFonts w:cs="Arial"/>
          <w:b w:val="0"/>
          <w:u w:val="none"/>
        </w:rPr>
        <w:t>3</w:t>
      </w:r>
      <w:r w:rsidRPr="00A213B8">
        <w:rPr>
          <w:rFonts w:cs="Arial"/>
          <w:b w:val="0"/>
          <w:u w:val="none"/>
        </w:rPr>
        <w:t>.</w:t>
      </w:r>
      <w:r w:rsidRPr="00A213B8" w:rsidR="00087861">
        <w:rPr>
          <w:rFonts w:cs="Arial"/>
          <w:b w:val="0"/>
          <w:u w:val="none"/>
        </w:rPr>
        <w:t>2.</w:t>
      </w:r>
      <w:r w:rsidRPr="00A213B8" w:rsidR="00440A17">
        <w:rPr>
          <w:rFonts w:cs="Arial"/>
          <w:b w:val="0"/>
          <w:u w:val="none"/>
        </w:rPr>
        <w:t>1</w:t>
      </w:r>
      <w:r w:rsidRPr="00A213B8">
        <w:rPr>
          <w:rFonts w:cs="Arial"/>
          <w:b w:val="0"/>
          <w:u w:val="none"/>
        </w:rPr>
        <w:t xml:space="preserve"> </w:t>
      </w:r>
      <w:r w:rsidR="00F42B23">
        <w:rPr>
          <w:b w:val="0"/>
          <w:u w:val="none"/>
        </w:rPr>
        <w:t>(</w:t>
      </w:r>
      <w:r w:rsidR="00F42B23">
        <w:rPr>
          <w:b w:val="0"/>
          <w:i/>
          <w:u w:val="none"/>
        </w:rPr>
        <w:t>AGC Status Performance Requirement</w:t>
      </w:r>
      <w:r w:rsidR="00F42B23">
        <w:rPr>
          <w:b w:val="0"/>
          <w:u w:val="none"/>
        </w:rPr>
        <w:t xml:space="preserve">) </w:t>
      </w:r>
      <w:r w:rsidRPr="00A213B8">
        <w:rPr>
          <w:rFonts w:cs="Arial"/>
          <w:b w:val="0"/>
          <w:u w:val="none"/>
        </w:rPr>
        <w:t>of Exhibit C (</w:t>
      </w:r>
      <w:r w:rsidRPr="00A213B8" w:rsidR="008F673D">
        <w:rPr>
          <w:rFonts w:cs="Arial"/>
          <w:b w:val="0"/>
          <w:i/>
          <w:u w:val="none"/>
        </w:rPr>
        <w:t xml:space="preserve">Monthly Capacity Payments; Monthly Capacity Reductions; AGC Performance </w:t>
      </w:r>
      <w:r w:rsidRPr="00A213B8" w:rsidR="00866BB1">
        <w:rPr>
          <w:rFonts w:cs="Arial"/>
          <w:b w:val="0"/>
          <w:i/>
          <w:u w:val="none"/>
        </w:rPr>
        <w:t xml:space="preserve">Metrics and </w:t>
      </w:r>
      <w:r w:rsidRPr="00A213B8" w:rsidR="008F673D">
        <w:rPr>
          <w:rFonts w:cs="Arial"/>
          <w:b w:val="0"/>
          <w:i/>
          <w:u w:val="none"/>
        </w:rPr>
        <w:t>Requirements</w:t>
      </w:r>
      <w:r w:rsidRPr="00A213B8">
        <w:rPr>
          <w:rFonts w:cs="Arial"/>
          <w:b w:val="0"/>
          <w:u w:val="none"/>
        </w:rPr>
        <w:t>).</w:t>
      </w:r>
    </w:p>
    <w:p w:rsidRPr="00261AEB" w:rsidR="00123ABD" w:rsidP="00261AEB" w:rsidRDefault="0023647C" w14:paraId="37D6798A" w14:textId="176D267D">
      <w:pPr>
        <w:pStyle w:val="Heading3"/>
        <w:keepNext w:val="0"/>
        <w:keepLines w:val="0"/>
        <w:widowControl w:val="0"/>
        <w:spacing w:before="120"/>
        <w:rPr>
          <w:b w:val="0"/>
          <w:u w:val="none"/>
        </w:rPr>
      </w:pPr>
      <w:r w:rsidRPr="00A213B8">
        <w:rPr>
          <w:rFonts w:cs="Arial"/>
        </w:rPr>
        <w:t>AGC Status Performance Metric</w:t>
      </w:r>
      <w:r w:rsidRPr="00A213B8">
        <w:rPr>
          <w:rFonts w:cs="Arial"/>
          <w:u w:val="none"/>
        </w:rPr>
        <w:t>:</w:t>
      </w:r>
      <w:r w:rsidRPr="00261AEB">
        <w:rPr>
          <w:b w:val="0"/>
          <w:u w:val="none"/>
        </w:rPr>
        <w:t xml:space="preserve"> </w:t>
      </w:r>
      <w:r w:rsidRPr="00A213B8">
        <w:rPr>
          <w:rFonts w:cs="Arial"/>
          <w:b w:val="0"/>
          <w:u w:val="none"/>
        </w:rPr>
        <w:t xml:space="preserve">As defined in Section </w:t>
      </w:r>
      <w:r w:rsidRPr="00A213B8" w:rsidR="003B4AFE">
        <w:rPr>
          <w:rFonts w:cs="Arial"/>
          <w:b w:val="0"/>
          <w:u w:val="none"/>
        </w:rPr>
        <w:t>3</w:t>
      </w:r>
      <w:r w:rsidRPr="00A213B8">
        <w:rPr>
          <w:rFonts w:cs="Arial"/>
          <w:b w:val="0"/>
          <w:u w:val="none"/>
        </w:rPr>
        <w:t>.</w:t>
      </w:r>
      <w:r w:rsidRPr="00A213B8" w:rsidR="002E2AF4">
        <w:rPr>
          <w:rFonts w:cs="Arial"/>
          <w:b w:val="0"/>
          <w:u w:val="none"/>
        </w:rPr>
        <w:t>2.</w:t>
      </w:r>
      <w:r w:rsidRPr="00A213B8" w:rsidR="00440A17">
        <w:rPr>
          <w:rFonts w:cs="Arial"/>
          <w:b w:val="0"/>
          <w:u w:val="none"/>
        </w:rPr>
        <w:t>1</w:t>
      </w:r>
      <w:r w:rsidRPr="00A213B8">
        <w:rPr>
          <w:rFonts w:cs="Arial"/>
          <w:b w:val="0"/>
          <w:u w:val="none"/>
        </w:rPr>
        <w:t xml:space="preserve"> </w:t>
      </w:r>
      <w:r w:rsidR="00F42B23">
        <w:rPr>
          <w:b w:val="0"/>
          <w:u w:val="none"/>
        </w:rPr>
        <w:t>(</w:t>
      </w:r>
      <w:r w:rsidR="00F42B23">
        <w:rPr>
          <w:b w:val="0"/>
          <w:i/>
          <w:u w:val="none"/>
        </w:rPr>
        <w:t>AGC Status Performance Requirement</w:t>
      </w:r>
      <w:r w:rsidR="00F42B23">
        <w:rPr>
          <w:b w:val="0"/>
          <w:u w:val="none"/>
        </w:rPr>
        <w:t xml:space="preserve">) </w:t>
      </w:r>
      <w:r w:rsidRPr="00A213B8">
        <w:rPr>
          <w:rFonts w:cs="Arial"/>
          <w:b w:val="0"/>
          <w:u w:val="none"/>
        </w:rPr>
        <w:t xml:space="preserve">of Exhibit </w:t>
      </w:r>
      <w:r w:rsidRPr="00A213B8" w:rsidR="002E2AF4">
        <w:rPr>
          <w:rFonts w:cs="Arial"/>
          <w:b w:val="0"/>
          <w:u w:val="none"/>
        </w:rPr>
        <w:t>C</w:t>
      </w:r>
      <w:r w:rsidRPr="00A213B8">
        <w:rPr>
          <w:rFonts w:cs="Arial"/>
          <w:b w:val="0"/>
          <w:u w:val="none"/>
        </w:rPr>
        <w:t xml:space="preserve"> (</w:t>
      </w:r>
      <w:r w:rsidRPr="00A213B8" w:rsidR="008F673D">
        <w:rPr>
          <w:rFonts w:cs="Arial"/>
          <w:b w:val="0"/>
          <w:i/>
          <w:u w:val="none"/>
        </w:rPr>
        <w:t xml:space="preserve">Monthly Capacity Payments; Monthly Capacity Reductions; AGC Performance </w:t>
      </w:r>
      <w:r w:rsidRPr="00A213B8" w:rsidR="00866BB1">
        <w:rPr>
          <w:rFonts w:cs="Arial"/>
          <w:b w:val="0"/>
          <w:i/>
          <w:u w:val="none"/>
        </w:rPr>
        <w:t xml:space="preserve">Metrics and </w:t>
      </w:r>
      <w:r w:rsidRPr="00A213B8" w:rsidR="008F673D">
        <w:rPr>
          <w:rFonts w:cs="Arial"/>
          <w:b w:val="0"/>
          <w:i/>
          <w:u w:val="none"/>
        </w:rPr>
        <w:t>Requirements</w:t>
      </w:r>
      <w:r w:rsidRPr="00A213B8">
        <w:rPr>
          <w:rFonts w:cs="Arial"/>
          <w:b w:val="0"/>
          <w:u w:val="none"/>
        </w:rPr>
        <w:t>).</w:t>
      </w:r>
    </w:p>
    <w:p w:rsidRPr="00261AEB" w:rsidR="006B744E" w:rsidP="00261AEB" w:rsidRDefault="006B744E" w14:paraId="19D64C22" w14:textId="781D71BE">
      <w:pPr>
        <w:pStyle w:val="Heading3"/>
        <w:keepNext w:val="0"/>
        <w:keepLines w:val="0"/>
        <w:widowControl w:val="0"/>
        <w:spacing w:before="120"/>
        <w:rPr>
          <w:b w:val="0"/>
          <w:u w:val="none"/>
        </w:rPr>
      </w:pPr>
      <w:r w:rsidRPr="00A213B8">
        <w:rPr>
          <w:rFonts w:cs="Arial"/>
        </w:rPr>
        <w:t>AGC Status Performance Requirement</w:t>
      </w:r>
      <w:r w:rsidRPr="00A213B8">
        <w:rPr>
          <w:rFonts w:cs="Arial"/>
          <w:u w:val="none"/>
        </w:rPr>
        <w:t>:</w:t>
      </w:r>
      <w:r w:rsidRPr="00261AEB">
        <w:rPr>
          <w:u w:val="none"/>
        </w:rPr>
        <w:t xml:space="preserve"> </w:t>
      </w:r>
      <w:r w:rsidRPr="00A213B8">
        <w:rPr>
          <w:rFonts w:cs="Arial"/>
          <w:b w:val="0"/>
          <w:bCs w:val="0"/>
          <w:u w:val="none"/>
        </w:rPr>
        <w:t xml:space="preserve">As defined in </w:t>
      </w:r>
      <w:r w:rsidRPr="00A213B8">
        <w:rPr>
          <w:rFonts w:cs="Arial"/>
          <w:b w:val="0"/>
          <w:u w:val="none"/>
        </w:rPr>
        <w:t xml:space="preserve">Section </w:t>
      </w:r>
      <w:r w:rsidRPr="00A213B8" w:rsidR="00982E0E">
        <w:rPr>
          <w:rFonts w:cs="Arial"/>
          <w:b w:val="0"/>
          <w:u w:val="none"/>
        </w:rPr>
        <w:t>3</w:t>
      </w:r>
      <w:r w:rsidRPr="00A213B8" w:rsidR="006419A1">
        <w:rPr>
          <w:rFonts w:cs="Arial"/>
          <w:b w:val="0"/>
          <w:u w:val="none"/>
        </w:rPr>
        <w:t>.2.</w:t>
      </w:r>
      <w:r w:rsidRPr="00A213B8" w:rsidR="00440A17">
        <w:rPr>
          <w:rFonts w:cs="Arial"/>
          <w:b w:val="0"/>
          <w:u w:val="none"/>
        </w:rPr>
        <w:t>1</w:t>
      </w:r>
      <w:r w:rsidRPr="00A213B8" w:rsidR="006419A1">
        <w:rPr>
          <w:rFonts w:cs="Arial"/>
          <w:b w:val="0"/>
          <w:u w:val="none"/>
        </w:rPr>
        <w:t xml:space="preserve"> </w:t>
      </w:r>
      <w:r w:rsidR="00F42B23">
        <w:rPr>
          <w:b w:val="0"/>
          <w:u w:val="none"/>
        </w:rPr>
        <w:t>(</w:t>
      </w:r>
      <w:r w:rsidR="00F42B23">
        <w:rPr>
          <w:b w:val="0"/>
          <w:i/>
          <w:u w:val="none"/>
        </w:rPr>
        <w:t xml:space="preserve">AGC Status Performance </w:t>
      </w:r>
      <w:r w:rsidR="00F42B23">
        <w:rPr>
          <w:b w:val="0"/>
          <w:i/>
          <w:u w:val="none"/>
        </w:rPr>
        <w:lastRenderedPageBreak/>
        <w:t>Requirement</w:t>
      </w:r>
      <w:r w:rsidR="00F42B23">
        <w:rPr>
          <w:b w:val="0"/>
          <w:u w:val="none"/>
        </w:rPr>
        <w:t xml:space="preserve">) </w:t>
      </w:r>
      <w:r w:rsidRPr="00A213B8" w:rsidR="006419A1">
        <w:rPr>
          <w:rFonts w:cs="Arial"/>
          <w:b w:val="0"/>
          <w:u w:val="none"/>
        </w:rPr>
        <w:t>of Exhibit C (</w:t>
      </w:r>
      <w:r w:rsidRPr="00A213B8" w:rsidR="003B4AFE">
        <w:rPr>
          <w:rFonts w:cs="Arial"/>
          <w:b w:val="0"/>
          <w:i/>
          <w:u w:val="none"/>
        </w:rPr>
        <w:t xml:space="preserve">Monthly Capacity Payments; Monthly Capacity Reductions; AGC Performance </w:t>
      </w:r>
      <w:r w:rsidRPr="00A213B8" w:rsidR="00866BB1">
        <w:rPr>
          <w:rFonts w:cs="Arial"/>
          <w:b w:val="0"/>
          <w:i/>
          <w:u w:val="none"/>
        </w:rPr>
        <w:t xml:space="preserve">Metrics and </w:t>
      </w:r>
      <w:r w:rsidRPr="00A213B8" w:rsidR="003B4AFE">
        <w:rPr>
          <w:rFonts w:cs="Arial"/>
          <w:b w:val="0"/>
          <w:i/>
          <w:u w:val="none"/>
        </w:rPr>
        <w:t>Requirements</w:t>
      </w:r>
      <w:r w:rsidRPr="00A213B8" w:rsidR="006419A1">
        <w:rPr>
          <w:rFonts w:cs="Arial"/>
          <w:b w:val="0"/>
          <w:u w:val="none"/>
        </w:rPr>
        <w:t>)</w:t>
      </w:r>
      <w:r w:rsidRPr="00A213B8" w:rsidR="006419A1">
        <w:rPr>
          <w:rFonts w:cs="Arial"/>
          <w:b w:val="0"/>
          <w:bCs w:val="0"/>
          <w:u w:val="none"/>
        </w:rPr>
        <w:t>.</w:t>
      </w:r>
    </w:p>
    <w:p w:rsidRPr="00A213B8" w:rsidR="001A4E28" w:rsidP="000432D0" w:rsidRDefault="001A4E28" w14:paraId="6F294097" w14:textId="516A4E58">
      <w:pPr>
        <w:pStyle w:val="Heading3"/>
        <w:keepNext w:val="0"/>
        <w:keepLines w:val="0"/>
        <w:widowControl w:val="0"/>
        <w:spacing w:before="120"/>
        <w:rPr>
          <w:rFonts w:cs="Arial"/>
          <w:b w:val="0"/>
          <w:u w:val="none"/>
        </w:rPr>
      </w:pPr>
      <w:r w:rsidRPr="00A213B8">
        <w:rPr>
          <w:rFonts w:cs="Arial"/>
        </w:rPr>
        <w:t>AIER</w:t>
      </w:r>
      <w:r w:rsidRPr="00A213B8">
        <w:rPr>
          <w:rFonts w:cs="Arial"/>
          <w:u w:val="none"/>
        </w:rPr>
        <w:t xml:space="preserve">: </w:t>
      </w:r>
      <w:r w:rsidRPr="00A213B8">
        <w:rPr>
          <w:rFonts w:cs="Arial"/>
          <w:b w:val="0"/>
          <w:u w:val="none"/>
        </w:rPr>
        <w:t>As determined for each Hour, the variable dispatch cost of the incremental resources that serve the collective obligations of the Southern Companies.</w:t>
      </w:r>
    </w:p>
    <w:p w:rsidRPr="00261AEB" w:rsidR="00E101BF" w:rsidP="00261AEB" w:rsidRDefault="00E101BF" w14:paraId="5D42271F" w14:textId="6AA8C54C">
      <w:pPr>
        <w:spacing w:before="120" w:after="120" w:line="240" w:lineRule="auto"/>
        <w:rPr>
          <w:b/>
        </w:rPr>
      </w:pPr>
      <w:r w:rsidRPr="00A213B8">
        <w:rPr>
          <w:rFonts w:cs="Arial"/>
        </w:rPr>
        <w:t>Amended Commission Certificate</w:t>
      </w:r>
      <w:r w:rsidRPr="00802935">
        <w:t xml:space="preserve">: As defined in Section </w:t>
      </w:r>
      <w:r w:rsidRPr="00A213B8">
        <w:rPr>
          <w:rFonts w:cs="Arial"/>
        </w:rPr>
        <w:t>1.</w:t>
      </w:r>
      <w:r w:rsidRPr="00802935">
        <w:t>3.</w:t>
      </w:r>
      <w:r w:rsidRPr="00A213B8">
        <w:rPr>
          <w:rFonts w:ascii="Arial" w:hAnsi="Arial" w:cs="Arial"/>
          <w:sz w:val="20"/>
          <w:szCs w:val="20"/>
        </w:rPr>
        <w:t>4 (</w:t>
      </w:r>
      <w:r w:rsidRPr="00A213B8">
        <w:rPr>
          <w:rFonts w:ascii="Arial" w:hAnsi="Arial" w:cs="Arial"/>
          <w:i/>
          <w:iCs/>
          <w:sz w:val="20"/>
          <w:szCs w:val="20"/>
        </w:rPr>
        <w:t>Revocation, Qualifications, or Conditions</w:t>
      </w:r>
      <w:r w:rsidRPr="00261AEB">
        <w:rPr>
          <w:rFonts w:ascii="Arial" w:hAnsi="Arial"/>
          <w:sz w:val="20"/>
        </w:rPr>
        <w:t>).</w:t>
      </w:r>
    </w:p>
    <w:p w:rsidRPr="00A213B8" w:rsidR="002D54C4" w:rsidP="00261AEB" w:rsidRDefault="002D54C4" w14:paraId="11FA3077" w14:textId="67A5D81D">
      <w:pPr>
        <w:pStyle w:val="Heading3"/>
        <w:keepNext w:val="0"/>
        <w:keepLines w:val="0"/>
        <w:widowControl w:val="0"/>
        <w:spacing w:before="120"/>
        <w:rPr>
          <w:rFonts w:cs="Arial"/>
          <w:b w:val="0"/>
          <w:u w:val="none"/>
        </w:rPr>
      </w:pPr>
      <w:r w:rsidRPr="00A213B8">
        <w:rPr>
          <w:rFonts w:cs="Arial"/>
        </w:rPr>
        <w:t>Ancillary Services</w:t>
      </w:r>
      <w:r w:rsidRPr="00A213B8">
        <w:rPr>
          <w:rFonts w:cs="Arial"/>
          <w:u w:val="none"/>
        </w:rPr>
        <w:t xml:space="preserve">: </w:t>
      </w:r>
      <w:r w:rsidRPr="00A213B8">
        <w:rPr>
          <w:rFonts w:cs="Arial"/>
          <w:b w:val="0"/>
          <w:u w:val="none"/>
        </w:rPr>
        <w:t>All commercial products other than electrical output that are produced by or related to the Facility, including Electrical Products, Environmental Attributes, any other environmental or regulatory credits or allowances resulting from operation of the Facility, and  any other benefit GPC</w:t>
      </w:r>
      <w:r w:rsidRPr="00A213B8" w:rsidDel="007F67C8">
        <w:rPr>
          <w:rFonts w:cs="Arial"/>
          <w:b w:val="0"/>
          <w:u w:val="none"/>
        </w:rPr>
        <w:t xml:space="preserve"> </w:t>
      </w:r>
      <w:r w:rsidRPr="00A213B8">
        <w:rPr>
          <w:rFonts w:cs="Arial"/>
          <w:b w:val="0"/>
          <w:u w:val="none"/>
        </w:rPr>
        <w:t>otherwise would have realized from or related to the Facility if GPC</w:t>
      </w:r>
      <w:r w:rsidRPr="00A213B8" w:rsidDel="007F67C8">
        <w:rPr>
          <w:rFonts w:cs="Arial"/>
          <w:b w:val="0"/>
          <w:u w:val="none"/>
        </w:rPr>
        <w:t xml:space="preserve"> </w:t>
      </w:r>
      <w:r w:rsidRPr="00A213B8">
        <w:rPr>
          <w:rFonts w:cs="Arial"/>
          <w:b w:val="0"/>
          <w:u w:val="none"/>
        </w:rPr>
        <w:t>rather than Seller had constructed, owned, or operated the Facility, it being the Parties’ intent that all the benefits and entitlements in addition to electrical output that flow to the owner or operator of the Facility, whether existing as of the Effective Date or at any time during the Term, belong to GPC</w:t>
      </w:r>
      <w:r w:rsidRPr="00A213B8" w:rsidDel="007F67C8">
        <w:rPr>
          <w:rFonts w:cs="Arial"/>
          <w:b w:val="0"/>
          <w:u w:val="none"/>
        </w:rPr>
        <w:t xml:space="preserve"> </w:t>
      </w:r>
      <w:r w:rsidRPr="00A213B8">
        <w:rPr>
          <w:rFonts w:cs="Arial"/>
          <w:b w:val="0"/>
          <w:u w:val="none"/>
        </w:rPr>
        <w:t>at no additional cost to GPC. However, if a commercial product is not produced by the Facility, Seller will not be required to acquire the commercial product in the market to comply with this PPA.</w:t>
      </w:r>
      <w:r w:rsidRPr="00A213B8">
        <w:rPr>
          <w:rFonts w:cs="Arial"/>
          <w:b w:val="0"/>
          <w:w w:val="0"/>
          <w:u w:val="none"/>
        </w:rPr>
        <w:t xml:space="preserve"> Ancillary Services </w:t>
      </w:r>
      <w:r w:rsidRPr="00A213B8">
        <w:rPr>
          <w:rFonts w:cs="Arial"/>
          <w:b w:val="0"/>
          <w:u w:val="none"/>
        </w:rPr>
        <w:t xml:space="preserve">do not include: (i) any federal, state, or local tax attributes arising from the ownership of the Facility, including </w:t>
      </w:r>
      <w:r w:rsidRPr="00A213B8" w:rsidR="002D18BE">
        <w:rPr>
          <w:rFonts w:cs="Arial"/>
          <w:b w:val="0"/>
          <w:u w:val="none"/>
        </w:rPr>
        <w:t>investment tax credit (</w:t>
      </w:r>
      <w:r w:rsidRPr="00A213B8">
        <w:rPr>
          <w:rFonts w:cs="Arial"/>
          <w:b w:val="0"/>
          <w:u w:val="none"/>
        </w:rPr>
        <w:t>ITC</w:t>
      </w:r>
      <w:r w:rsidRPr="00A213B8" w:rsidR="002D18BE">
        <w:rPr>
          <w:rFonts w:cs="Arial"/>
          <w:b w:val="0"/>
          <w:u w:val="none"/>
        </w:rPr>
        <w:t>)</w:t>
      </w:r>
      <w:r w:rsidRPr="00A213B8">
        <w:rPr>
          <w:rFonts w:cs="Arial"/>
          <w:b w:val="0"/>
          <w:u w:val="none"/>
        </w:rPr>
        <w:t xml:space="preserve">, </w:t>
      </w:r>
      <w:r w:rsidRPr="00A213B8" w:rsidR="0055106A">
        <w:rPr>
          <w:rFonts w:cs="Arial"/>
          <w:b w:val="0"/>
          <w:u w:val="none"/>
        </w:rPr>
        <w:t>production tax credit (</w:t>
      </w:r>
      <w:r w:rsidRPr="00A213B8">
        <w:rPr>
          <w:rFonts w:cs="Arial"/>
          <w:b w:val="0"/>
          <w:u w:val="none"/>
        </w:rPr>
        <w:t>PTC</w:t>
      </w:r>
      <w:r w:rsidRPr="00A213B8" w:rsidR="0055106A">
        <w:rPr>
          <w:rFonts w:cs="Arial"/>
          <w:b w:val="0"/>
          <w:u w:val="none"/>
        </w:rPr>
        <w:t>)</w:t>
      </w:r>
      <w:r w:rsidRPr="00A213B8">
        <w:rPr>
          <w:rFonts w:cs="Arial"/>
          <w:b w:val="0"/>
          <w:u w:val="none"/>
        </w:rPr>
        <w:t>, and depreciation deductions; (ii) grants in lieu of investment tax credits or any similar financial payment or grant regarding the Facility; or (iii) the metered electric energy produced by the Facility.</w:t>
      </w:r>
    </w:p>
    <w:p w:rsidRPr="00A213B8" w:rsidR="002D54C4" w:rsidP="00261AEB" w:rsidRDefault="002D54C4" w14:paraId="4622012C" w14:textId="2FBD0B83">
      <w:pPr>
        <w:pStyle w:val="Heading3"/>
        <w:keepNext w:val="0"/>
        <w:keepLines w:val="0"/>
        <w:widowControl w:val="0"/>
        <w:spacing w:before="120"/>
        <w:rPr>
          <w:rFonts w:cs="Arial"/>
          <w:u w:val="none"/>
        </w:rPr>
      </w:pPr>
      <w:r w:rsidRPr="00A213B8">
        <w:rPr>
          <w:rFonts w:cs="Arial"/>
        </w:rPr>
        <w:t>Annual Capacity Price (ACP)</w:t>
      </w:r>
      <w:r w:rsidRPr="00A213B8">
        <w:rPr>
          <w:rFonts w:cs="Arial"/>
          <w:u w:val="none"/>
        </w:rPr>
        <w:t xml:space="preserve">: </w:t>
      </w:r>
      <w:r w:rsidRPr="00A213B8">
        <w:rPr>
          <w:rFonts w:cs="Arial"/>
          <w:b w:val="0"/>
          <w:u w:val="none"/>
        </w:rPr>
        <w:t xml:space="preserve">The annual price to be paid by GPC to Seller for GPC’s purchase of the Facility’s capacity and energy, as set forth in Table </w:t>
      </w:r>
      <w:r w:rsidRPr="00A213B8" w:rsidR="00CB4BA8">
        <w:rPr>
          <w:rFonts w:cs="Arial"/>
          <w:b w:val="0"/>
          <w:u w:val="none"/>
        </w:rPr>
        <w:t>C</w:t>
      </w:r>
      <w:r w:rsidRPr="00A213B8">
        <w:rPr>
          <w:rFonts w:cs="Arial"/>
          <w:b w:val="0"/>
          <w:u w:val="none"/>
        </w:rPr>
        <w:t>-</w:t>
      </w:r>
      <w:r w:rsidRPr="00A213B8" w:rsidR="00CB4BA8">
        <w:rPr>
          <w:rFonts w:cs="Arial"/>
          <w:b w:val="0"/>
          <w:u w:val="none"/>
        </w:rPr>
        <w:t>1</w:t>
      </w:r>
      <w:r w:rsidRPr="00A213B8">
        <w:rPr>
          <w:rFonts w:cs="Arial"/>
          <w:b w:val="0"/>
          <w:u w:val="none"/>
        </w:rPr>
        <w:t xml:space="preserve"> </w:t>
      </w:r>
      <w:r w:rsidR="00F42B23">
        <w:rPr>
          <w:b w:val="0"/>
          <w:u w:val="none"/>
        </w:rPr>
        <w:t>(</w:t>
      </w:r>
      <w:r w:rsidR="00F42B23">
        <w:rPr>
          <w:b w:val="0"/>
          <w:i/>
          <w:u w:val="none"/>
        </w:rPr>
        <w:t>Annual Capacity Price</w:t>
      </w:r>
      <w:r w:rsidR="00F42B23">
        <w:rPr>
          <w:b w:val="0"/>
          <w:u w:val="none"/>
        </w:rPr>
        <w:t xml:space="preserve">) </w:t>
      </w:r>
      <w:r w:rsidRPr="00A213B8">
        <w:rPr>
          <w:rFonts w:cs="Arial"/>
          <w:b w:val="0"/>
          <w:u w:val="none"/>
        </w:rPr>
        <w:t xml:space="preserve">in Exhibit </w:t>
      </w:r>
      <w:r w:rsidRPr="00A213B8" w:rsidR="00CB4BA8">
        <w:rPr>
          <w:rFonts w:cs="Arial"/>
          <w:b w:val="0"/>
          <w:u w:val="none"/>
        </w:rPr>
        <w:t>C</w:t>
      </w:r>
      <w:r w:rsidRPr="00A213B8" w:rsidR="002B29FE">
        <w:rPr>
          <w:rFonts w:cs="Arial"/>
          <w:b w:val="0"/>
          <w:i/>
          <w:u w:val="none"/>
        </w:rPr>
        <w:t xml:space="preserve"> </w:t>
      </w:r>
      <w:r w:rsidRPr="00A213B8">
        <w:rPr>
          <w:rFonts w:cs="Arial"/>
          <w:b w:val="0"/>
          <w:u w:val="none"/>
        </w:rPr>
        <w:t>(</w:t>
      </w:r>
      <w:r w:rsidRPr="00A213B8" w:rsidR="00CB4BA8">
        <w:rPr>
          <w:rFonts w:cs="Arial"/>
          <w:b w:val="0"/>
          <w:i/>
          <w:u w:val="none"/>
        </w:rPr>
        <w:t xml:space="preserve">Monthly Capacity Payments; Monthly Capacity Reductions; AGC Performance </w:t>
      </w:r>
      <w:r w:rsidRPr="00A213B8" w:rsidR="00F03DCD">
        <w:rPr>
          <w:rFonts w:cs="Arial"/>
          <w:b w:val="0"/>
          <w:i/>
          <w:u w:val="none"/>
        </w:rPr>
        <w:t xml:space="preserve">Metrics and </w:t>
      </w:r>
      <w:r w:rsidRPr="00A213B8" w:rsidR="00CB4BA8">
        <w:rPr>
          <w:rFonts w:cs="Arial"/>
          <w:b w:val="0"/>
          <w:i/>
          <w:u w:val="none"/>
        </w:rPr>
        <w:t>Requirements</w:t>
      </w:r>
      <w:r w:rsidRPr="00A213B8">
        <w:rPr>
          <w:rFonts w:cs="Arial"/>
          <w:b w:val="0"/>
          <w:u w:val="none"/>
        </w:rPr>
        <w:t>)</w:t>
      </w:r>
      <w:r w:rsidRPr="00A213B8" w:rsidR="003022B5">
        <w:rPr>
          <w:rFonts w:cs="Arial"/>
          <w:b w:val="0"/>
          <w:u w:val="none"/>
        </w:rPr>
        <w:t>, subject to adjustment as set forth in Part 17 (</w:t>
      </w:r>
      <w:r w:rsidRPr="00A213B8" w:rsidR="003022B5">
        <w:rPr>
          <w:rFonts w:cs="Arial"/>
          <w:b w:val="0"/>
          <w:i/>
          <w:iCs/>
          <w:u w:val="none"/>
        </w:rPr>
        <w:t>Compliance with Laws</w:t>
      </w:r>
      <w:r w:rsidRPr="00A213B8" w:rsidR="003022B5">
        <w:rPr>
          <w:rFonts w:cs="Arial"/>
          <w:b w:val="0"/>
          <w:u w:val="none"/>
        </w:rPr>
        <w:t>)</w:t>
      </w:r>
      <w:r w:rsidRPr="00A213B8">
        <w:rPr>
          <w:rFonts w:cs="Arial"/>
          <w:b w:val="0"/>
          <w:u w:val="none"/>
        </w:rPr>
        <w:t>.</w:t>
      </w:r>
    </w:p>
    <w:p w:rsidRPr="00261AEB" w:rsidR="002D54C4" w:rsidP="00261AEB" w:rsidRDefault="002D54C4" w14:paraId="2193DAD0" w14:textId="6F2CA26D">
      <w:pPr>
        <w:pStyle w:val="Heading3"/>
        <w:keepNext w:val="0"/>
        <w:rPr>
          <w:b w:val="0"/>
          <w:color w:val="000000" w:themeColor="text1"/>
          <w:u w:val="none"/>
        </w:rPr>
      </w:pPr>
      <w:r w:rsidRPr="00A213B8">
        <w:rPr>
          <w:rFonts w:cs="Arial"/>
        </w:rPr>
        <w:t>Annual Period</w:t>
      </w:r>
      <w:r w:rsidRPr="00A213B8">
        <w:rPr>
          <w:rFonts w:cs="Arial"/>
          <w:u w:val="none"/>
        </w:rPr>
        <w:t>:</w:t>
      </w:r>
      <w:r w:rsidRPr="00A213B8">
        <w:rPr>
          <w:rFonts w:cs="Arial"/>
          <w:b w:val="0"/>
          <w:u w:val="none"/>
        </w:rPr>
        <w:t xml:space="preserve"> </w:t>
      </w:r>
      <w:r w:rsidR="004506C8">
        <w:rPr>
          <w:b w:val="0"/>
          <w:color w:val="000000" w:themeColor="text1"/>
          <w:u w:val="none"/>
        </w:rPr>
        <w:t>Each</w:t>
      </w:r>
      <w:r w:rsidRPr="007836D7" w:rsidR="007836D7">
        <w:rPr>
          <w:rFonts w:cs="Arial"/>
          <w:b w:val="0"/>
          <w:bCs w:val="0"/>
          <w:u w:val="none"/>
        </w:rPr>
        <w:t xml:space="preserve"> consecutive 12-</w:t>
      </w:r>
      <w:r w:rsidR="009527AA">
        <w:rPr>
          <w:rFonts w:cs="Arial"/>
          <w:b w:val="0"/>
          <w:bCs w:val="0"/>
          <w:u w:val="none"/>
        </w:rPr>
        <w:t>M</w:t>
      </w:r>
      <w:r w:rsidRPr="007836D7" w:rsidR="007836D7">
        <w:rPr>
          <w:rFonts w:cs="Arial"/>
          <w:b w:val="0"/>
          <w:bCs w:val="0"/>
          <w:u w:val="none"/>
        </w:rPr>
        <w:t>onth period during the</w:t>
      </w:r>
      <w:r w:rsidRPr="007836D7" w:rsidDel="006608E4" w:rsidR="007836D7">
        <w:rPr>
          <w:rFonts w:cs="Arial"/>
          <w:b w:val="0"/>
          <w:bCs w:val="0"/>
          <w:u w:val="none"/>
        </w:rPr>
        <w:t xml:space="preserve"> </w:t>
      </w:r>
      <w:r w:rsidRPr="007836D7" w:rsidR="007836D7">
        <w:rPr>
          <w:rFonts w:cs="Arial"/>
          <w:b w:val="0"/>
          <w:bCs w:val="0"/>
          <w:u w:val="none"/>
        </w:rPr>
        <w:t>Term</w:t>
      </w:r>
      <w:r w:rsidR="004506C8">
        <w:rPr>
          <w:rFonts w:cs="Arial"/>
          <w:b w:val="0"/>
          <w:bCs w:val="0"/>
          <w:u w:val="none"/>
        </w:rPr>
        <w:t>, with the first Annual Period</w:t>
      </w:r>
      <w:r w:rsidRPr="007836D7" w:rsidR="007836D7">
        <w:rPr>
          <w:rFonts w:cs="Arial"/>
          <w:b w:val="0"/>
          <w:bCs w:val="0"/>
          <w:u w:val="none"/>
        </w:rPr>
        <w:t xml:space="preserve"> beginning on the Delivery Commencement Date. </w:t>
      </w:r>
    </w:p>
    <w:p w:rsidRPr="00A213B8" w:rsidR="002D54C4" w:rsidP="00261AEB" w:rsidRDefault="002D54C4" w14:paraId="403E31A2" w14:textId="3608830E">
      <w:pPr>
        <w:pStyle w:val="Heading3"/>
        <w:keepNext w:val="0"/>
        <w:keepLines w:val="0"/>
        <w:widowControl w:val="0"/>
        <w:spacing w:before="120"/>
        <w:rPr>
          <w:rFonts w:cs="Arial"/>
          <w:b w:val="0"/>
          <w:u w:val="none"/>
        </w:rPr>
      </w:pPr>
      <w:r w:rsidRPr="00A213B8">
        <w:rPr>
          <w:rFonts w:cs="Arial"/>
        </w:rPr>
        <w:t xml:space="preserve">Annual Renewable Energy Performance </w:t>
      </w:r>
      <w:r w:rsidRPr="00A213B8" w:rsidR="006F7A5E">
        <w:rPr>
          <w:rFonts w:cs="Arial"/>
        </w:rPr>
        <w:t>True-up</w:t>
      </w:r>
      <w:r w:rsidRPr="00A213B8">
        <w:rPr>
          <w:rFonts w:cs="Arial"/>
          <w:u w:val="none"/>
        </w:rPr>
        <w:t xml:space="preserve">: </w:t>
      </w:r>
      <w:r w:rsidRPr="00A213B8">
        <w:rPr>
          <w:rFonts w:cs="Arial"/>
          <w:b w:val="0"/>
          <w:u w:val="none"/>
        </w:rPr>
        <w:t xml:space="preserve">See Exhibit </w:t>
      </w:r>
      <w:bookmarkStart w:name="_Hlk160061452" w:id="25"/>
      <w:r w:rsidRPr="00A213B8" w:rsidR="00CB4BA8">
        <w:rPr>
          <w:rFonts w:cs="Arial"/>
          <w:b w:val="0"/>
          <w:u w:val="none"/>
        </w:rPr>
        <w:t xml:space="preserve">C </w:t>
      </w:r>
      <w:r w:rsidRPr="00A213B8">
        <w:rPr>
          <w:rFonts w:cs="Arial"/>
          <w:b w:val="0"/>
          <w:u w:val="none"/>
        </w:rPr>
        <w:t>(</w:t>
      </w:r>
      <w:r w:rsidRPr="00A213B8" w:rsidR="00CB4BA8">
        <w:rPr>
          <w:rFonts w:cs="Arial"/>
          <w:b w:val="0"/>
          <w:i/>
          <w:u w:val="none"/>
        </w:rPr>
        <w:t xml:space="preserve">Monthly Capacity Payments; Monthly Capacity Reductions; AGC Performance </w:t>
      </w:r>
      <w:r w:rsidRPr="00A213B8" w:rsidR="004C6ED4">
        <w:rPr>
          <w:rFonts w:cs="Arial"/>
          <w:b w:val="0"/>
          <w:i/>
          <w:u w:val="none"/>
        </w:rPr>
        <w:t xml:space="preserve">Metrics and </w:t>
      </w:r>
      <w:r w:rsidRPr="00A213B8" w:rsidR="00CB4BA8">
        <w:rPr>
          <w:rFonts w:cs="Arial"/>
          <w:b w:val="0"/>
          <w:i/>
          <w:u w:val="none"/>
        </w:rPr>
        <w:t>Requirements</w:t>
      </w:r>
      <w:r w:rsidRPr="00A213B8">
        <w:rPr>
          <w:rFonts w:cs="Arial"/>
          <w:b w:val="0"/>
          <w:u w:val="none"/>
        </w:rPr>
        <w:t>)</w:t>
      </w:r>
      <w:bookmarkEnd w:id="25"/>
      <w:r w:rsidRPr="00A213B8">
        <w:rPr>
          <w:rFonts w:cs="Arial"/>
          <w:b w:val="0"/>
          <w:u w:val="none"/>
        </w:rPr>
        <w:t>.</w:t>
      </w:r>
    </w:p>
    <w:p w:rsidRPr="00A213B8" w:rsidR="002D54C4" w:rsidP="00261AEB" w:rsidRDefault="002D54C4" w14:paraId="2D02E60D" w14:textId="550096F0">
      <w:pPr>
        <w:pStyle w:val="Heading3"/>
        <w:keepNext w:val="0"/>
        <w:keepLines w:val="0"/>
        <w:widowControl w:val="0"/>
        <w:spacing w:before="120"/>
        <w:rPr>
          <w:rFonts w:cs="Arial"/>
          <w:b w:val="0"/>
          <w:u w:val="none"/>
        </w:rPr>
      </w:pPr>
      <w:r w:rsidRPr="00A213B8">
        <w:rPr>
          <w:rFonts w:cs="Arial"/>
        </w:rPr>
        <w:t>Annual Renewable Energy Factor (AREF)</w:t>
      </w:r>
      <w:r w:rsidRPr="00A213B8">
        <w:rPr>
          <w:rFonts w:cs="Arial"/>
          <w:u w:val="none"/>
        </w:rPr>
        <w:t xml:space="preserve">: </w:t>
      </w:r>
      <w:r w:rsidRPr="00A213B8">
        <w:rPr>
          <w:rFonts w:cs="Arial"/>
          <w:b w:val="0"/>
          <w:u w:val="none"/>
        </w:rPr>
        <w:t xml:space="preserve">See Exhibit </w:t>
      </w:r>
      <w:r w:rsidRPr="00A213B8" w:rsidR="00CB4BA8">
        <w:rPr>
          <w:rFonts w:cs="Arial"/>
          <w:b w:val="0"/>
          <w:u w:val="none"/>
        </w:rPr>
        <w:t xml:space="preserve">C </w:t>
      </w:r>
      <w:r w:rsidRPr="00A213B8">
        <w:rPr>
          <w:rFonts w:cs="Arial"/>
          <w:b w:val="0"/>
          <w:u w:val="none"/>
        </w:rPr>
        <w:t>(</w:t>
      </w:r>
      <w:r w:rsidRPr="00A213B8" w:rsidR="00CB4BA8">
        <w:rPr>
          <w:rFonts w:cs="Arial"/>
          <w:b w:val="0"/>
          <w:i/>
          <w:u w:val="none"/>
        </w:rPr>
        <w:t xml:space="preserve">Monthly Capacity Payments; Monthly Capacity Reductions; AGC Performance </w:t>
      </w:r>
      <w:r w:rsidRPr="00A213B8" w:rsidR="004C6ED4">
        <w:rPr>
          <w:rFonts w:cs="Arial"/>
          <w:b w:val="0"/>
          <w:i/>
          <w:u w:val="none"/>
        </w:rPr>
        <w:t xml:space="preserve">Metrics and </w:t>
      </w:r>
      <w:r w:rsidRPr="00A213B8" w:rsidR="00CB4BA8">
        <w:rPr>
          <w:rFonts w:cs="Arial"/>
          <w:b w:val="0"/>
          <w:i/>
          <w:u w:val="none"/>
        </w:rPr>
        <w:t>Requirements</w:t>
      </w:r>
      <w:r w:rsidRPr="00A213B8">
        <w:rPr>
          <w:rFonts w:cs="Arial"/>
          <w:b w:val="0"/>
          <w:u w:val="none"/>
        </w:rPr>
        <w:t>).</w:t>
      </w:r>
    </w:p>
    <w:p w:rsidRPr="00A213B8" w:rsidR="00F2614D" w:rsidP="00261AEB" w:rsidRDefault="00F2614D" w14:paraId="0DF7FFEE" w14:textId="0B57D0FE">
      <w:pPr>
        <w:pStyle w:val="Heading3"/>
        <w:keepNext w:val="0"/>
        <w:keepLines w:val="0"/>
        <w:widowControl w:val="0"/>
        <w:spacing w:before="120"/>
        <w:rPr>
          <w:rFonts w:cs="Arial"/>
          <w:b w:val="0"/>
          <w:bCs w:val="0"/>
          <w:u w:val="none"/>
        </w:rPr>
      </w:pPr>
      <w:r w:rsidRPr="00A213B8">
        <w:rPr>
          <w:rFonts w:cs="Arial"/>
        </w:rPr>
        <w:t>Annual Renewable Energy Forecast</w:t>
      </w:r>
      <w:r w:rsidRPr="00A213B8">
        <w:rPr>
          <w:rFonts w:cs="Arial"/>
          <w:u w:val="none"/>
        </w:rPr>
        <w:t xml:space="preserve">: </w:t>
      </w:r>
      <w:r w:rsidRPr="00A213B8" w:rsidR="00DA3145">
        <w:rPr>
          <w:rFonts w:cs="Arial"/>
          <w:b w:val="0"/>
          <w:bCs w:val="0"/>
          <w:u w:val="none"/>
        </w:rPr>
        <w:t xml:space="preserve">Seller’s binding </w:t>
      </w:r>
      <w:r w:rsidRPr="00A213B8" w:rsidR="00DA209F">
        <w:rPr>
          <w:rFonts w:cs="Arial"/>
          <w:b w:val="0"/>
          <w:bCs w:val="0"/>
          <w:u w:val="none"/>
        </w:rPr>
        <w:t xml:space="preserve">forecast </w:t>
      </w:r>
      <w:r w:rsidRPr="00A213B8" w:rsidR="00B9482B">
        <w:rPr>
          <w:rFonts w:cs="Arial"/>
          <w:b w:val="0"/>
          <w:bCs w:val="0"/>
          <w:u w:val="none"/>
        </w:rPr>
        <w:t xml:space="preserve">included as </w:t>
      </w:r>
      <w:r w:rsidRPr="00A213B8" w:rsidR="00B9482B">
        <w:rPr>
          <w:rFonts w:cs="Arial"/>
          <w:b w:val="0"/>
          <w:u w:val="none"/>
        </w:rPr>
        <w:t>Exhibit D</w:t>
      </w:r>
      <w:r w:rsidRPr="00A213B8" w:rsidR="00906676">
        <w:rPr>
          <w:rFonts w:cs="Arial"/>
          <w:b w:val="0"/>
          <w:u w:val="none"/>
        </w:rPr>
        <w:t xml:space="preserve"> (</w:t>
      </w:r>
      <w:r w:rsidRPr="00A213B8" w:rsidR="00906676">
        <w:rPr>
          <w:rFonts w:cs="Arial"/>
          <w:b w:val="0"/>
          <w:i/>
          <w:u w:val="none"/>
        </w:rPr>
        <w:t>Annual Renewable Energy Forecast</w:t>
      </w:r>
      <w:r w:rsidRPr="00A213B8" w:rsidR="00906676">
        <w:rPr>
          <w:rFonts w:cs="Arial"/>
          <w:b w:val="0"/>
          <w:u w:val="none"/>
        </w:rPr>
        <w:t>)</w:t>
      </w:r>
      <w:r w:rsidRPr="00A213B8" w:rsidR="00B9482B">
        <w:rPr>
          <w:rFonts w:cs="Arial"/>
          <w:b w:val="0"/>
          <w:bCs w:val="0"/>
          <w:u w:val="none"/>
        </w:rPr>
        <w:t>.</w:t>
      </w:r>
    </w:p>
    <w:p w:rsidRPr="000D001A" w:rsidR="004B20B7" w:rsidP="000432D0" w:rsidRDefault="004B20B7" w14:paraId="1C69254E" w14:textId="12DA118E">
      <w:pPr>
        <w:pStyle w:val="Heading3"/>
        <w:spacing w:before="120"/>
      </w:pPr>
      <w:r>
        <w:t>Annual RTE</w:t>
      </w:r>
      <w:r w:rsidRPr="00E46454">
        <w:rPr>
          <w:u w:val="none"/>
        </w:rPr>
        <w:t xml:space="preserve">: </w:t>
      </w:r>
      <w:r>
        <w:rPr>
          <w:b w:val="0"/>
          <w:u w:val="none"/>
        </w:rPr>
        <w:t>As defined in</w:t>
      </w:r>
      <w:r w:rsidR="00C3513E">
        <w:rPr>
          <w:b w:val="0"/>
          <w:u w:val="none"/>
        </w:rPr>
        <w:t xml:space="preserve"> Section 2.4.1 (</w:t>
      </w:r>
      <w:r w:rsidRPr="00C3513E" w:rsidR="00C3513E">
        <w:rPr>
          <w:b w:val="0"/>
          <w:i/>
          <w:u w:val="none"/>
        </w:rPr>
        <w:t>Annual RTE Performance Test</w:t>
      </w:r>
      <w:r w:rsidR="00C3513E">
        <w:rPr>
          <w:b w:val="0"/>
          <w:u w:val="none"/>
        </w:rPr>
        <w:t>) of</w:t>
      </w:r>
      <w:r>
        <w:rPr>
          <w:b w:val="0"/>
          <w:u w:val="none"/>
        </w:rPr>
        <w:t xml:space="preserve"> Exhibit C (</w:t>
      </w:r>
      <w:r>
        <w:rPr>
          <w:b w:val="0"/>
          <w:i/>
          <w:u w:val="none"/>
        </w:rPr>
        <w:t>Monthly Capacity Payments; Monthly Capacity Reductions; AGC Performance Metrics and Requirements</w:t>
      </w:r>
      <w:r>
        <w:rPr>
          <w:b w:val="0"/>
          <w:u w:val="none"/>
        </w:rPr>
        <w:t>).</w:t>
      </w:r>
    </w:p>
    <w:p w:rsidR="004B20B7" w:rsidP="000432D0" w:rsidRDefault="004B20B7" w14:paraId="4E75E10A" w14:textId="1335B3F8">
      <w:pPr>
        <w:pStyle w:val="Heading3"/>
        <w:widowControl w:val="0"/>
        <w:spacing w:before="120"/>
        <w:rPr>
          <w:b w:val="0"/>
          <w:u w:val="none"/>
        </w:rPr>
      </w:pPr>
      <w:r>
        <w:t>Annual RTE Test</w:t>
      </w:r>
      <w:r w:rsidRPr="00E46454">
        <w:rPr>
          <w:u w:val="none"/>
        </w:rPr>
        <w:t xml:space="preserve">: </w:t>
      </w:r>
      <w:r>
        <w:rPr>
          <w:b w:val="0"/>
          <w:u w:val="none"/>
        </w:rPr>
        <w:t>As defined in</w:t>
      </w:r>
      <w:r w:rsidR="002D2E7D">
        <w:rPr>
          <w:b w:val="0"/>
          <w:u w:val="none"/>
        </w:rPr>
        <w:t xml:space="preserve"> Section 2.4.1 (</w:t>
      </w:r>
      <w:r w:rsidRPr="002D2E7D" w:rsidR="002D2E7D">
        <w:rPr>
          <w:b w:val="0"/>
          <w:i/>
          <w:u w:val="none"/>
        </w:rPr>
        <w:t>Annual RTE Performance Test</w:t>
      </w:r>
      <w:r w:rsidR="002D2E7D">
        <w:rPr>
          <w:b w:val="0"/>
          <w:u w:val="none"/>
        </w:rPr>
        <w:t>) of</w:t>
      </w:r>
      <w:r>
        <w:rPr>
          <w:b w:val="0"/>
          <w:u w:val="none"/>
        </w:rPr>
        <w:t xml:space="preserve"> Exhibit C (Monthly Capacity Payments; Monthly Capacity Reductions; AGC Performance Metrics and Requirements).</w:t>
      </w:r>
    </w:p>
    <w:p w:rsidRPr="00A213B8" w:rsidR="00F17A8C" w:rsidP="000432D0" w:rsidRDefault="00EB2072" w14:paraId="5E908CC9" w14:textId="66091A39">
      <w:pPr>
        <w:spacing w:before="120" w:after="120" w:line="240" w:lineRule="auto"/>
        <w:rPr>
          <w:rFonts w:ascii="Arial" w:hAnsi="Arial" w:cs="Arial"/>
          <w:sz w:val="20"/>
          <w:szCs w:val="20"/>
        </w:rPr>
      </w:pPr>
      <w:r w:rsidRPr="00A213B8">
        <w:rPr>
          <w:rFonts w:ascii="Arial" w:hAnsi="Arial" w:cs="Arial"/>
          <w:b/>
          <w:bCs/>
          <w:sz w:val="20"/>
          <w:szCs w:val="20"/>
          <w:u w:val="single"/>
        </w:rPr>
        <w:t>Arbitration Panel:</w:t>
      </w:r>
      <w:r w:rsidRPr="00A213B8">
        <w:rPr>
          <w:rFonts w:ascii="Arial" w:hAnsi="Arial" w:cs="Arial"/>
          <w:sz w:val="20"/>
          <w:szCs w:val="20"/>
        </w:rPr>
        <w:t xml:space="preserve"> As defined in Section 19.3.2</w:t>
      </w:r>
      <w:r w:rsidRPr="00A213B8" w:rsidR="00235AC1">
        <w:rPr>
          <w:rFonts w:ascii="Arial" w:hAnsi="Arial" w:cs="Arial"/>
          <w:sz w:val="20"/>
          <w:szCs w:val="20"/>
        </w:rPr>
        <w:t>(i)</w:t>
      </w:r>
      <w:r w:rsidRPr="00A213B8">
        <w:rPr>
          <w:rFonts w:ascii="Arial" w:hAnsi="Arial" w:cs="Arial"/>
          <w:sz w:val="20"/>
          <w:szCs w:val="20"/>
        </w:rPr>
        <w:t xml:space="preserve"> (</w:t>
      </w:r>
      <w:r w:rsidRPr="00A213B8">
        <w:rPr>
          <w:rFonts w:ascii="Arial" w:hAnsi="Arial" w:cs="Arial"/>
          <w:i/>
          <w:iCs/>
          <w:sz w:val="20"/>
          <w:szCs w:val="20"/>
        </w:rPr>
        <w:t>Initiation of Arbitration; Selection of</w:t>
      </w:r>
      <w:r w:rsidRPr="00A213B8" w:rsidR="00235AC1">
        <w:rPr>
          <w:rFonts w:ascii="Arial" w:hAnsi="Arial" w:cs="Arial"/>
          <w:i/>
          <w:iCs/>
          <w:sz w:val="20"/>
          <w:szCs w:val="20"/>
        </w:rPr>
        <w:t xml:space="preserve"> Party-Appointed </w:t>
      </w:r>
      <w:r w:rsidRPr="00A213B8">
        <w:rPr>
          <w:rFonts w:ascii="Arial" w:hAnsi="Arial" w:cs="Arial"/>
          <w:i/>
          <w:iCs/>
          <w:sz w:val="20"/>
          <w:szCs w:val="20"/>
        </w:rPr>
        <w:t>Arbitrators</w:t>
      </w:r>
      <w:r w:rsidRPr="00A213B8">
        <w:rPr>
          <w:rFonts w:ascii="Arial" w:hAnsi="Arial" w:cs="Arial"/>
          <w:sz w:val="20"/>
          <w:szCs w:val="20"/>
        </w:rPr>
        <w:t xml:space="preserve">). </w:t>
      </w:r>
    </w:p>
    <w:p w:rsidRPr="00A213B8" w:rsidR="002D54C4" w:rsidP="00261AEB" w:rsidRDefault="002D54C4" w14:paraId="63403E29" w14:textId="5935918B">
      <w:pPr>
        <w:pStyle w:val="Heading3"/>
        <w:keepNext w:val="0"/>
        <w:keepLines w:val="0"/>
        <w:widowControl w:val="0"/>
        <w:spacing w:before="120"/>
        <w:rPr>
          <w:rFonts w:cs="Arial"/>
          <w:b w:val="0"/>
          <w:u w:val="none"/>
        </w:rPr>
      </w:pPr>
      <w:r w:rsidRPr="00A213B8">
        <w:rPr>
          <w:rFonts w:cs="Arial"/>
        </w:rPr>
        <w:t>ASC</w:t>
      </w:r>
      <w:r w:rsidRPr="00A213B8">
        <w:rPr>
          <w:rFonts w:cs="Arial"/>
          <w:u w:val="none"/>
        </w:rPr>
        <w:t xml:space="preserve">: </w:t>
      </w:r>
      <w:r w:rsidRPr="00A213B8">
        <w:rPr>
          <w:rFonts w:cs="Arial"/>
          <w:b w:val="0"/>
          <w:u w:val="none"/>
        </w:rPr>
        <w:t>The FASB Accounting Standards Codification.</w:t>
      </w:r>
    </w:p>
    <w:p w:rsidRPr="00A213B8" w:rsidR="002D54C4" w:rsidP="00261AEB" w:rsidRDefault="002D54C4" w14:paraId="6569335F" w14:textId="255F0E3D">
      <w:pPr>
        <w:pStyle w:val="Heading3"/>
        <w:keepNext w:val="0"/>
        <w:keepLines w:val="0"/>
        <w:widowControl w:val="0"/>
        <w:spacing w:before="120"/>
        <w:rPr>
          <w:rFonts w:cs="Arial"/>
          <w:b w:val="0"/>
          <w:u w:val="none"/>
        </w:rPr>
      </w:pPr>
      <w:r w:rsidRPr="00A213B8">
        <w:rPr>
          <w:rFonts w:cs="Arial"/>
        </w:rPr>
        <w:t>Automatic Generation Control (AGC)</w:t>
      </w:r>
      <w:r w:rsidRPr="00A213B8">
        <w:rPr>
          <w:rFonts w:cs="Arial"/>
          <w:u w:val="none"/>
        </w:rPr>
        <w:t xml:space="preserve">: </w:t>
      </w:r>
      <w:r w:rsidRPr="00A213B8">
        <w:rPr>
          <w:rStyle w:val="cf01"/>
          <w:rFonts w:ascii="Arial" w:hAnsi="Arial" w:cs="Arial"/>
          <w:b w:val="0"/>
          <w:sz w:val="20"/>
          <w:szCs w:val="20"/>
          <w:u w:val="none"/>
        </w:rPr>
        <w:t xml:space="preserve">The equipment and capability of a </w:t>
      </w:r>
      <w:r w:rsidRPr="00A213B8" w:rsidR="00D41E8F">
        <w:rPr>
          <w:rStyle w:val="cf01"/>
          <w:rFonts w:ascii="Arial" w:hAnsi="Arial" w:cs="Arial"/>
          <w:b w:val="0"/>
          <w:sz w:val="20"/>
          <w:szCs w:val="20"/>
          <w:u w:val="none"/>
        </w:rPr>
        <w:t>f</w:t>
      </w:r>
      <w:r w:rsidRPr="00A213B8">
        <w:rPr>
          <w:rStyle w:val="cf01"/>
          <w:rFonts w:ascii="Arial" w:hAnsi="Arial" w:cs="Arial"/>
          <w:b w:val="0"/>
          <w:sz w:val="20"/>
          <w:szCs w:val="20"/>
          <w:u w:val="none"/>
        </w:rPr>
        <w:t>acility to automatically adjust energy output within the applicable balancing authority for purposes of interchange balancing, and specifically, the Facility’s capability to accept a set point electronically and the automatic adjustment and regulation of the Facility’s energy output to meet that set point.</w:t>
      </w:r>
    </w:p>
    <w:p w:rsidRPr="00A213B8" w:rsidR="00413C75" w:rsidP="00261AEB" w:rsidRDefault="00413C75" w14:paraId="7B88D5C2" w14:textId="3358ED76">
      <w:pPr>
        <w:pStyle w:val="Heading3"/>
        <w:keepNext w:val="0"/>
        <w:keepLines w:val="0"/>
        <w:widowControl w:val="0"/>
        <w:spacing w:before="120"/>
        <w:rPr>
          <w:rFonts w:cs="Arial"/>
        </w:rPr>
      </w:pPr>
      <w:r w:rsidRPr="00A213B8">
        <w:rPr>
          <w:rFonts w:cs="Arial"/>
        </w:rPr>
        <w:t>Auxiliary Operational Load</w:t>
      </w:r>
      <w:r w:rsidRPr="00A213B8">
        <w:rPr>
          <w:rFonts w:cs="Arial"/>
          <w:u w:val="none"/>
        </w:rPr>
        <w:t>:</w:t>
      </w:r>
      <w:r w:rsidRPr="00A213B8">
        <w:rPr>
          <w:rFonts w:cs="Arial"/>
          <w:b w:val="0"/>
          <w:u w:val="none"/>
        </w:rPr>
        <w:t xml:space="preserve"> </w:t>
      </w:r>
      <w:r w:rsidRPr="00A213B8">
        <w:rPr>
          <w:rStyle w:val="cf01"/>
          <w:rFonts w:ascii="Arial" w:hAnsi="Arial" w:cs="Arial"/>
          <w:b w:val="0"/>
          <w:sz w:val="20"/>
          <w:szCs w:val="20"/>
          <w:u w:val="none"/>
        </w:rPr>
        <w:t xml:space="preserve">Load that is required for thermal management of the </w:t>
      </w:r>
      <w:r w:rsidRPr="00A213B8" w:rsidR="005F6135">
        <w:rPr>
          <w:rStyle w:val="cf01"/>
          <w:rFonts w:ascii="Arial" w:hAnsi="Arial" w:cs="Arial"/>
          <w:b w:val="0"/>
          <w:sz w:val="20"/>
          <w:szCs w:val="20"/>
          <w:u w:val="none"/>
        </w:rPr>
        <w:t>B</w:t>
      </w:r>
      <w:r w:rsidRPr="00A213B8">
        <w:rPr>
          <w:rStyle w:val="cf01"/>
          <w:rFonts w:ascii="Arial" w:hAnsi="Arial" w:cs="Arial"/>
          <w:b w:val="0"/>
          <w:sz w:val="20"/>
          <w:szCs w:val="20"/>
          <w:u w:val="none"/>
        </w:rPr>
        <w:t xml:space="preserve">ESS (e.g. HVAC) and essential Facility operation (e.g. control system building) that must be metered separately from </w:t>
      </w:r>
      <w:r w:rsidRPr="00A213B8" w:rsidR="00B5370B">
        <w:rPr>
          <w:rStyle w:val="cf01"/>
          <w:rFonts w:ascii="Arial" w:hAnsi="Arial" w:cs="Arial"/>
          <w:b w:val="0"/>
          <w:sz w:val="20"/>
          <w:szCs w:val="20"/>
          <w:u w:val="none"/>
        </w:rPr>
        <w:t>C</w:t>
      </w:r>
      <w:r w:rsidRPr="00A213B8">
        <w:rPr>
          <w:rStyle w:val="cf01"/>
          <w:rFonts w:ascii="Arial" w:hAnsi="Arial" w:cs="Arial"/>
          <w:b w:val="0"/>
          <w:sz w:val="20"/>
          <w:szCs w:val="20"/>
          <w:u w:val="none"/>
        </w:rPr>
        <w:t xml:space="preserve">harging </w:t>
      </w:r>
      <w:r w:rsidRPr="00E25848" w:rsidR="00B5370B">
        <w:rPr>
          <w:rStyle w:val="cf01"/>
          <w:rFonts w:ascii="Arial" w:hAnsi="Arial" w:cs="Arial"/>
          <w:b w:val="0"/>
          <w:sz w:val="20"/>
          <w:szCs w:val="20"/>
          <w:u w:val="none"/>
        </w:rPr>
        <w:t>E</w:t>
      </w:r>
      <w:r w:rsidRPr="00E25848">
        <w:rPr>
          <w:rStyle w:val="cf01"/>
          <w:rFonts w:ascii="Arial" w:hAnsi="Arial" w:cs="Arial"/>
          <w:b w:val="0"/>
          <w:sz w:val="20"/>
          <w:szCs w:val="20"/>
          <w:u w:val="none"/>
        </w:rPr>
        <w:t>nergy</w:t>
      </w:r>
      <w:r w:rsidRPr="00E25848" w:rsidR="00E25848">
        <w:rPr>
          <w:rStyle w:val="cf01"/>
          <w:rFonts w:ascii="Arial" w:hAnsi="Arial" w:cs="Arial"/>
          <w:b w:val="0"/>
          <w:sz w:val="20"/>
          <w:szCs w:val="20"/>
          <w:u w:val="none"/>
        </w:rPr>
        <w:t xml:space="preserve"> </w:t>
      </w:r>
      <w:r w:rsidRPr="00D15E34" w:rsidR="00E25848">
        <w:rPr>
          <w:rFonts w:cs="Arial"/>
          <w:b w:val="0"/>
          <w:u w:val="none"/>
        </w:rPr>
        <w:t xml:space="preserve">or, if the BESS is not capable of separately metering Auxiliary Operational Load, determined based on aggregated telemetry from the BESS controller or other measurement </w:t>
      </w:r>
      <w:r w:rsidRPr="00D15E34" w:rsidR="00285E0C">
        <w:rPr>
          <w:rFonts w:cs="Arial"/>
          <w:b w:val="0"/>
          <w:u w:val="none"/>
        </w:rPr>
        <w:t>mutually</w:t>
      </w:r>
      <w:r w:rsidRPr="00D15E34" w:rsidR="00CD5C83">
        <w:rPr>
          <w:rFonts w:cs="Arial"/>
          <w:b w:val="0"/>
          <w:u w:val="none"/>
        </w:rPr>
        <w:t xml:space="preserve"> agreed by the Operating Committee</w:t>
      </w:r>
      <w:r w:rsidRPr="00D15E34" w:rsidR="00E25848">
        <w:rPr>
          <w:rFonts w:cs="Arial"/>
          <w:b w:val="0"/>
          <w:u w:val="none"/>
        </w:rPr>
        <w:t>. Auxiliary Operational Load is distinct from and must be measured or calculated separately from Charging Energy and paid for by Seller</w:t>
      </w:r>
      <w:r w:rsidRPr="00D15E34">
        <w:rPr>
          <w:rStyle w:val="cf01"/>
          <w:rFonts w:ascii="Arial" w:hAnsi="Arial" w:cs="Arial"/>
          <w:b w:val="0"/>
          <w:sz w:val="20"/>
          <w:szCs w:val="20"/>
          <w:u w:val="none"/>
        </w:rPr>
        <w:t>.</w:t>
      </w:r>
    </w:p>
    <w:p w:rsidRPr="00A213B8" w:rsidR="002D54C4" w:rsidP="00261AEB" w:rsidRDefault="002D54C4" w14:paraId="007AC35B" w14:textId="47DB9AD2">
      <w:pPr>
        <w:pStyle w:val="Heading3"/>
        <w:keepNext w:val="0"/>
        <w:keepLines w:val="0"/>
        <w:widowControl w:val="0"/>
        <w:spacing w:before="120"/>
        <w:rPr>
          <w:rFonts w:cs="Arial"/>
          <w:b w:val="0"/>
          <w:u w:val="none"/>
        </w:rPr>
      </w:pPr>
      <w:r w:rsidRPr="00A213B8">
        <w:rPr>
          <w:rFonts w:cs="Arial"/>
        </w:rPr>
        <w:t>Available</w:t>
      </w:r>
      <w:r w:rsidRPr="00A213B8">
        <w:rPr>
          <w:rFonts w:cs="Arial"/>
          <w:u w:val="none"/>
        </w:rPr>
        <w:t xml:space="preserve">: </w:t>
      </w:r>
      <w:r w:rsidRPr="00A213B8">
        <w:rPr>
          <w:rFonts w:cs="Arial"/>
          <w:b w:val="0"/>
          <w:u w:val="none"/>
        </w:rPr>
        <w:t xml:space="preserve">All times following the Delivery Commencement Date when the </w:t>
      </w:r>
      <w:r w:rsidRPr="00A213B8" w:rsidR="005F6135">
        <w:rPr>
          <w:rFonts w:cs="Arial"/>
          <w:b w:val="0"/>
          <w:u w:val="none"/>
        </w:rPr>
        <w:t>B</w:t>
      </w:r>
      <w:r w:rsidRPr="00A213B8">
        <w:rPr>
          <w:rFonts w:cs="Arial"/>
          <w:b w:val="0"/>
          <w:u w:val="none"/>
        </w:rPr>
        <w:t>ESS,</w:t>
      </w:r>
      <w:r w:rsidRPr="00A213B8">
        <w:rPr>
          <w:rFonts w:cs="Arial"/>
          <w:b w:val="0"/>
          <w:i/>
          <w:u w:val="none"/>
        </w:rPr>
        <w:t xml:space="preserve"> </w:t>
      </w:r>
      <w:r w:rsidRPr="00A213B8">
        <w:rPr>
          <w:rFonts w:cs="Arial"/>
          <w:b w:val="0"/>
          <w:u w:val="none"/>
        </w:rPr>
        <w:t xml:space="preserve">as applicable, is not </w:t>
      </w:r>
      <w:r w:rsidRPr="00A213B8">
        <w:rPr>
          <w:rFonts w:cs="Arial"/>
          <w:b w:val="0"/>
          <w:u w:val="none"/>
        </w:rPr>
        <w:lastRenderedPageBreak/>
        <w:t>Unavailable.</w:t>
      </w:r>
    </w:p>
    <w:p w:rsidRPr="00A213B8" w:rsidR="002323E1" w:rsidP="00261AEB" w:rsidRDefault="000E5594" w14:paraId="01A5EBEC" w14:textId="15B239BD">
      <w:pPr>
        <w:pStyle w:val="Heading3"/>
        <w:keepNext w:val="0"/>
        <w:keepLines w:val="0"/>
        <w:widowControl w:val="0"/>
        <w:spacing w:before="120"/>
        <w:rPr>
          <w:rFonts w:cs="Arial"/>
          <w:b w:val="0"/>
          <w:bCs w:val="0"/>
          <w:u w:val="none"/>
        </w:rPr>
      </w:pPr>
      <w:r w:rsidRPr="00A213B8">
        <w:rPr>
          <w:rFonts w:cs="Arial"/>
        </w:rPr>
        <w:t>Banking Day</w:t>
      </w:r>
      <w:r w:rsidRPr="00A213B8">
        <w:rPr>
          <w:rFonts w:cs="Arial"/>
          <w:u w:val="none"/>
        </w:rPr>
        <w:t xml:space="preserve">: </w:t>
      </w:r>
      <w:r w:rsidRPr="00A213B8">
        <w:rPr>
          <w:rFonts w:cs="Arial"/>
          <w:b w:val="0"/>
          <w:bCs w:val="0"/>
          <w:u w:val="none"/>
        </w:rPr>
        <w:t>Any Day on which banking institutions in Atlanta, Georgia are open.</w:t>
      </w:r>
    </w:p>
    <w:p w:rsidRPr="00A213B8" w:rsidR="002475C5" w:rsidP="000432D0" w:rsidRDefault="002475C5" w14:paraId="777CB7B5" w14:textId="77777777">
      <w:pPr>
        <w:pStyle w:val="Heading3"/>
        <w:spacing w:before="120"/>
        <w:rPr>
          <w:rFonts w:cs="Arial"/>
          <w:b w:val="0"/>
          <w:u w:val="none"/>
        </w:rPr>
      </w:pPr>
      <w:r w:rsidRPr="00A213B8">
        <w:rPr>
          <w:rFonts w:cs="Arial"/>
        </w:rPr>
        <w:t>Battery Energy Storage System (BESS)</w:t>
      </w:r>
      <w:r w:rsidRPr="00A213B8">
        <w:rPr>
          <w:rFonts w:cs="Arial"/>
          <w:u w:val="none"/>
        </w:rPr>
        <w:t>:</w:t>
      </w:r>
      <w:r w:rsidRPr="00A213B8">
        <w:rPr>
          <w:rFonts w:cs="Arial"/>
          <w:b w:val="0"/>
          <w:u w:val="none"/>
        </w:rPr>
        <w:t xml:space="preserve"> The battery energy storage system at the Site, as further described in Exhibit A (</w:t>
      </w:r>
      <w:r w:rsidRPr="00A213B8">
        <w:rPr>
          <w:rFonts w:cs="Arial"/>
          <w:b w:val="0"/>
          <w:i/>
          <w:u w:val="none"/>
        </w:rPr>
        <w:t>Facility Description and Additional Details</w:t>
      </w:r>
      <w:r w:rsidRPr="00A213B8">
        <w:rPr>
          <w:rFonts w:cs="Arial"/>
          <w:b w:val="0"/>
          <w:u w:val="none"/>
        </w:rPr>
        <w:t>)</w:t>
      </w:r>
      <w:r w:rsidRPr="00A213B8">
        <w:rPr>
          <w:rFonts w:cs="Arial"/>
          <w:b w:val="0"/>
          <w:bCs w:val="0"/>
          <w:u w:val="none"/>
        </w:rPr>
        <w:t>,</w:t>
      </w:r>
      <w:r w:rsidRPr="00A213B8">
        <w:rPr>
          <w:rFonts w:cs="Arial"/>
          <w:b w:val="0"/>
          <w:u w:val="none"/>
        </w:rPr>
        <w:t xml:space="preserve"> that is interconnected to the Southern Company Transmission System at the POI.</w:t>
      </w:r>
    </w:p>
    <w:p w:rsidRPr="0097562D" w:rsidR="00386B74" w:rsidP="00261AEB" w:rsidRDefault="00386B74" w14:paraId="5F51310A" w14:textId="11BA813E">
      <w:pPr>
        <w:spacing w:before="120" w:after="120" w:line="240" w:lineRule="auto"/>
      </w:pPr>
      <w:r w:rsidRPr="00A213B8">
        <w:rPr>
          <w:rFonts w:ascii="Arial" w:hAnsi="Arial" w:cs="Arial"/>
          <w:b/>
          <w:bCs/>
          <w:sz w:val="20"/>
          <w:szCs w:val="20"/>
          <w:u w:val="single"/>
        </w:rPr>
        <w:t>Battery Management System</w:t>
      </w:r>
      <w:r w:rsidR="00C0117C">
        <w:rPr>
          <w:rFonts w:ascii="Arial" w:hAnsi="Arial" w:cs="Arial"/>
          <w:b/>
          <w:bCs/>
          <w:sz w:val="20"/>
          <w:szCs w:val="20"/>
          <w:u w:val="single"/>
        </w:rPr>
        <w:t xml:space="preserve"> (</w:t>
      </w:r>
      <w:r w:rsidRPr="00261AEB" w:rsidR="00C0117C">
        <w:rPr>
          <w:rFonts w:ascii="Arial" w:hAnsi="Arial"/>
          <w:b/>
          <w:sz w:val="20"/>
          <w:u w:val="single"/>
        </w:rPr>
        <w:t>BMS</w:t>
      </w:r>
      <w:r w:rsidR="00C0117C">
        <w:rPr>
          <w:rFonts w:ascii="Arial" w:hAnsi="Arial" w:cs="Arial"/>
          <w:b/>
          <w:bCs/>
          <w:sz w:val="20"/>
          <w:szCs w:val="20"/>
          <w:u w:val="single"/>
        </w:rPr>
        <w:t>)</w:t>
      </w:r>
      <w:r w:rsidRPr="00A213B8">
        <w:rPr>
          <w:rFonts w:ascii="Arial" w:hAnsi="Arial" w:cs="Arial"/>
          <w:sz w:val="20"/>
          <w:szCs w:val="20"/>
        </w:rPr>
        <w:t>:</w:t>
      </w:r>
      <w:r w:rsidRPr="00261AEB">
        <w:rPr>
          <w:rFonts w:ascii="Arial" w:hAnsi="Arial"/>
          <w:sz w:val="20"/>
        </w:rPr>
        <w:t xml:space="preserve"> As defined in Section 10.13.1 (</w:t>
      </w:r>
      <w:r w:rsidRPr="00261AEB">
        <w:rPr>
          <w:rFonts w:ascii="Arial" w:hAnsi="Arial"/>
          <w:i/>
          <w:sz w:val="20"/>
        </w:rPr>
        <w:t>Sourcing Restrictions</w:t>
      </w:r>
      <w:r w:rsidRPr="00261AEB">
        <w:rPr>
          <w:rFonts w:ascii="Arial" w:hAnsi="Arial"/>
          <w:sz w:val="20"/>
        </w:rPr>
        <w:t>).</w:t>
      </w:r>
      <w:r w:rsidRPr="00A213B8">
        <w:rPr>
          <w:rFonts w:ascii="Arial" w:hAnsi="Arial" w:cs="Arial"/>
          <w:sz w:val="20"/>
          <w:szCs w:val="20"/>
        </w:rPr>
        <w:t xml:space="preserve"> </w:t>
      </w:r>
    </w:p>
    <w:p w:rsidRPr="002475C5" w:rsidR="002475C5" w:rsidP="000432D0" w:rsidRDefault="002475C5" w14:paraId="40000EB9" w14:textId="267BA823">
      <w:pPr>
        <w:pStyle w:val="Heading3"/>
        <w:spacing w:before="120"/>
        <w:rPr>
          <w:b w:val="0"/>
          <w:u w:val="none"/>
        </w:rPr>
      </w:pPr>
      <w:r w:rsidRPr="00A213B8">
        <w:rPr>
          <w:rFonts w:cs="Arial"/>
        </w:rPr>
        <w:t>BESS</w:t>
      </w:r>
      <w:r w:rsidRPr="00A213B8">
        <w:rPr>
          <w:rFonts w:cs="Arial"/>
          <w:u w:val="none"/>
        </w:rPr>
        <w:t xml:space="preserve">: </w:t>
      </w:r>
      <w:r>
        <w:rPr>
          <w:b w:val="0"/>
          <w:u w:val="none"/>
        </w:rPr>
        <w:t xml:space="preserve">See </w:t>
      </w:r>
      <w:r>
        <w:rPr>
          <w:b w:val="0"/>
          <w:i/>
          <w:u w:val="none"/>
        </w:rPr>
        <w:t>Battery Energy Storage System</w:t>
      </w:r>
      <w:r>
        <w:rPr>
          <w:b w:val="0"/>
          <w:u w:val="none"/>
        </w:rPr>
        <w:t>.</w:t>
      </w:r>
    </w:p>
    <w:p w:rsidRPr="00261AEB" w:rsidR="00FA6BF9" w:rsidP="00261AEB" w:rsidRDefault="00FA6BF9" w14:paraId="5DFA5BC9" w14:textId="5407882D">
      <w:pPr>
        <w:pStyle w:val="Heading3"/>
        <w:spacing w:before="120"/>
        <w:rPr>
          <w:b w:val="0"/>
          <w:u w:val="none"/>
        </w:rPr>
      </w:pPr>
      <w:r w:rsidRPr="00242BE9">
        <w:t>BESS Controller</w:t>
      </w:r>
      <w:r w:rsidRPr="00242BE9">
        <w:rPr>
          <w:u w:val="none"/>
        </w:rPr>
        <w:t>:</w:t>
      </w:r>
      <w:r w:rsidRPr="00242BE9">
        <w:rPr>
          <w:b w:val="0"/>
          <w:u w:val="none"/>
        </w:rPr>
        <w:t xml:space="preserve"> As defined in Section 10.13.1 (</w:t>
      </w:r>
      <w:r w:rsidRPr="00242BE9">
        <w:rPr>
          <w:b w:val="0"/>
          <w:i/>
          <w:u w:val="none"/>
        </w:rPr>
        <w:t>Sourcing Restrictions</w:t>
      </w:r>
      <w:r w:rsidRPr="00242BE9">
        <w:rPr>
          <w:b w:val="0"/>
          <w:u w:val="none"/>
        </w:rPr>
        <w:t>).</w:t>
      </w:r>
    </w:p>
    <w:p w:rsidRPr="00A213B8" w:rsidR="00285754" w:rsidP="000432D0" w:rsidRDefault="00285754" w14:paraId="73051E65" w14:textId="055C5CFF">
      <w:pPr>
        <w:spacing w:before="120" w:after="120" w:line="240" w:lineRule="auto"/>
        <w:rPr>
          <w:rFonts w:ascii="Arial" w:hAnsi="Arial" w:cs="Arial"/>
          <w:sz w:val="20"/>
          <w:szCs w:val="20"/>
        </w:rPr>
      </w:pPr>
      <w:r w:rsidRPr="00A213B8">
        <w:rPr>
          <w:rFonts w:ascii="Arial" w:hAnsi="Arial" w:cs="Arial"/>
          <w:b/>
          <w:bCs/>
          <w:sz w:val="20"/>
          <w:szCs w:val="20"/>
          <w:u w:val="single"/>
        </w:rPr>
        <w:t>Billing Dispute:</w:t>
      </w:r>
      <w:r w:rsidRPr="00A213B8">
        <w:rPr>
          <w:rFonts w:ascii="Arial" w:hAnsi="Arial" w:cs="Arial"/>
          <w:sz w:val="20"/>
          <w:szCs w:val="20"/>
        </w:rPr>
        <w:t xml:space="preserve"> As defined in Section 19.3 (</w:t>
      </w:r>
      <w:r w:rsidRPr="00A213B8">
        <w:rPr>
          <w:rFonts w:ascii="Arial" w:hAnsi="Arial" w:cs="Arial"/>
          <w:i/>
          <w:iCs/>
          <w:sz w:val="20"/>
          <w:szCs w:val="20"/>
        </w:rPr>
        <w:t>JAMS Arbitration</w:t>
      </w:r>
      <w:r w:rsidRPr="00A213B8">
        <w:rPr>
          <w:rFonts w:ascii="Arial" w:hAnsi="Arial" w:cs="Arial"/>
          <w:sz w:val="20"/>
          <w:szCs w:val="20"/>
        </w:rPr>
        <w:t>).</w:t>
      </w:r>
    </w:p>
    <w:p w:rsidRPr="007877AA" w:rsidR="00EA2459" w:rsidP="000432D0" w:rsidRDefault="00FA6BF9" w14:paraId="001965F7" w14:textId="12828DDC">
      <w:pPr>
        <w:pStyle w:val="Heading3"/>
        <w:spacing w:before="120"/>
      </w:pPr>
      <w:r w:rsidRPr="00242BE9">
        <w:t>BMS</w:t>
      </w:r>
      <w:r w:rsidRPr="00242BE9">
        <w:rPr>
          <w:u w:val="none"/>
        </w:rPr>
        <w:t>:</w:t>
      </w:r>
      <w:r w:rsidRPr="00242BE9">
        <w:rPr>
          <w:b w:val="0"/>
          <w:u w:val="none"/>
        </w:rPr>
        <w:t xml:space="preserve"> </w:t>
      </w:r>
      <w:r w:rsidR="00A7536A">
        <w:rPr>
          <w:b w:val="0"/>
          <w:u w:val="none"/>
        </w:rPr>
        <w:t xml:space="preserve">See </w:t>
      </w:r>
      <w:r w:rsidRPr="00A7536A" w:rsidR="00A7536A">
        <w:rPr>
          <w:b w:val="0"/>
          <w:i/>
          <w:u w:val="none"/>
        </w:rPr>
        <w:t>Battery Management System</w:t>
      </w:r>
      <w:r w:rsidRPr="00242BE9">
        <w:rPr>
          <w:b w:val="0"/>
          <w:u w:val="none"/>
        </w:rPr>
        <w:t>.</w:t>
      </w:r>
    </w:p>
    <w:p w:rsidRPr="00A213B8" w:rsidR="002D54C4" w:rsidP="00261AEB" w:rsidRDefault="002D54C4" w14:paraId="5B12FAFA" w14:textId="55D33720">
      <w:pPr>
        <w:pStyle w:val="Heading3"/>
        <w:keepNext w:val="0"/>
        <w:keepLines w:val="0"/>
        <w:widowControl w:val="0"/>
        <w:spacing w:before="120"/>
        <w:rPr>
          <w:rFonts w:cs="Arial"/>
        </w:rPr>
      </w:pPr>
      <w:r w:rsidRPr="00A213B8">
        <w:rPr>
          <w:rFonts w:cs="Arial"/>
        </w:rPr>
        <w:t>Business Day</w:t>
      </w:r>
      <w:r w:rsidRPr="00A213B8">
        <w:rPr>
          <w:rFonts w:cs="Arial"/>
          <w:u w:val="none"/>
        </w:rPr>
        <w:t xml:space="preserve">: </w:t>
      </w:r>
      <w:r w:rsidRPr="00A213B8">
        <w:rPr>
          <w:rFonts w:cs="Arial"/>
          <w:b w:val="0"/>
          <w:u w:val="none"/>
        </w:rPr>
        <w:t>Any Day excluding Saturday, Sunday, and NERC-defined holidays.</w:t>
      </w:r>
      <w:r w:rsidRPr="00A213B8">
        <w:rPr>
          <w:rFonts w:cs="Arial"/>
        </w:rPr>
        <w:t xml:space="preserve"> </w:t>
      </w:r>
    </w:p>
    <w:p w:rsidRPr="00A213B8" w:rsidR="002D54C4" w:rsidP="00261AEB" w:rsidRDefault="002D54C4" w14:paraId="02333129" w14:textId="034FA4C7">
      <w:pPr>
        <w:pStyle w:val="Heading3"/>
        <w:keepNext w:val="0"/>
        <w:keepLines w:val="0"/>
        <w:widowControl w:val="0"/>
        <w:spacing w:before="120"/>
        <w:rPr>
          <w:rFonts w:cs="Arial"/>
        </w:rPr>
      </w:pPr>
      <w:r w:rsidRPr="00A213B8">
        <w:rPr>
          <w:rFonts w:cs="Arial"/>
          <w:w w:val="0"/>
        </w:rPr>
        <w:t>Central Prevailing Time (CPT)</w:t>
      </w:r>
      <w:r w:rsidRPr="00A213B8">
        <w:rPr>
          <w:rFonts w:cs="Arial"/>
          <w:w w:val="0"/>
          <w:u w:val="none"/>
        </w:rPr>
        <w:t xml:space="preserve">: </w:t>
      </w:r>
      <w:r w:rsidRPr="00A213B8">
        <w:rPr>
          <w:rFonts w:cs="Arial"/>
          <w:b w:val="0"/>
          <w:u w:val="none"/>
        </w:rPr>
        <w:t>The time in the central time zone of the United States, considering daylight savings time if it is in effect (i.e., Central Standard Time (CST) or Central Daylight Time (CDT), as applicable).</w:t>
      </w:r>
      <w:r w:rsidRPr="00A213B8" w:rsidDel="00717ACC">
        <w:rPr>
          <w:rFonts w:cs="Arial"/>
          <w:highlight w:val="yellow"/>
        </w:rPr>
        <w:t xml:space="preserve"> </w:t>
      </w:r>
    </w:p>
    <w:p w:rsidRPr="00A213B8" w:rsidR="00395E08" w:rsidP="000432D0" w:rsidRDefault="00395E08" w14:paraId="4A7395A4" w14:textId="7A9F3B8C">
      <w:pPr>
        <w:spacing w:before="120" w:after="120" w:line="240" w:lineRule="auto"/>
        <w:rPr>
          <w:rFonts w:ascii="Arial" w:hAnsi="Arial" w:cs="Arial"/>
          <w:sz w:val="20"/>
          <w:szCs w:val="20"/>
        </w:rPr>
      </w:pPr>
      <w:r w:rsidRPr="00A213B8">
        <w:rPr>
          <w:rFonts w:ascii="Arial" w:hAnsi="Arial" w:cs="Arial"/>
          <w:b/>
          <w:bCs/>
          <w:sz w:val="20"/>
          <w:szCs w:val="20"/>
          <w:u w:val="single"/>
        </w:rPr>
        <w:t>Change in Accounting Standards</w:t>
      </w:r>
      <w:r w:rsidRPr="00A213B8">
        <w:rPr>
          <w:rFonts w:ascii="Arial" w:hAnsi="Arial" w:cs="Arial"/>
          <w:sz w:val="20"/>
          <w:szCs w:val="20"/>
        </w:rPr>
        <w:t>: As defined in Section 2.1.8(iv) (</w:t>
      </w:r>
      <w:r w:rsidRPr="00A213B8">
        <w:rPr>
          <w:rFonts w:ascii="Arial" w:hAnsi="Arial" w:cs="Arial"/>
          <w:i/>
          <w:iCs/>
          <w:sz w:val="20"/>
          <w:szCs w:val="20"/>
        </w:rPr>
        <w:t>VIE Certification</w:t>
      </w:r>
      <w:r w:rsidRPr="00A213B8">
        <w:rPr>
          <w:rFonts w:ascii="Arial" w:hAnsi="Arial" w:cs="Arial"/>
          <w:sz w:val="20"/>
          <w:szCs w:val="20"/>
        </w:rPr>
        <w:t xml:space="preserve">). </w:t>
      </w:r>
    </w:p>
    <w:p w:rsidRPr="00A213B8" w:rsidR="002D54C4" w:rsidP="000432D0" w:rsidRDefault="002D54C4" w14:paraId="50708A0C" w14:textId="7F63772C">
      <w:pPr>
        <w:pStyle w:val="Heading3"/>
        <w:keepNext w:val="0"/>
        <w:keepLines w:val="0"/>
        <w:widowControl w:val="0"/>
        <w:tabs>
          <w:tab w:val="left" w:pos="4500"/>
        </w:tabs>
        <w:spacing w:before="120"/>
        <w:rPr>
          <w:rFonts w:cs="Arial"/>
          <w:b w:val="0"/>
          <w:u w:val="none"/>
        </w:rPr>
      </w:pPr>
      <w:r w:rsidRPr="00A213B8">
        <w:rPr>
          <w:rFonts w:cs="Arial"/>
        </w:rPr>
        <w:t>Change of Control Transaction</w:t>
      </w:r>
      <w:r w:rsidRPr="00A213B8">
        <w:rPr>
          <w:rFonts w:cs="Arial"/>
          <w:u w:val="none"/>
        </w:rPr>
        <w:t xml:space="preserve">: </w:t>
      </w:r>
      <w:r w:rsidRPr="00A213B8" w:rsidR="002E1F40">
        <w:rPr>
          <w:rFonts w:cs="Arial"/>
          <w:b w:val="0"/>
          <w:u w:val="none"/>
        </w:rPr>
        <w:t>A</w:t>
      </w:r>
      <w:r w:rsidRPr="00A213B8">
        <w:rPr>
          <w:rFonts w:cs="Arial"/>
          <w:b w:val="0"/>
          <w:u w:val="none"/>
        </w:rPr>
        <w:t xml:space="preserve">ny transaction or series of related transactions that, if consummated, would result in </w:t>
      </w:r>
      <w:r w:rsidRPr="00A213B8" w:rsidR="00782893">
        <w:rPr>
          <w:rFonts w:cs="Arial"/>
          <w:b w:val="0"/>
          <w:u w:val="none"/>
        </w:rPr>
        <w:t>a Party</w:t>
      </w:r>
      <w:r w:rsidRPr="00A213B8">
        <w:rPr>
          <w:rFonts w:cs="Arial"/>
          <w:b w:val="0"/>
          <w:u w:val="none"/>
        </w:rPr>
        <w:t xml:space="preserve"> being an Affiliate of </w:t>
      </w:r>
      <w:r w:rsidRPr="00A213B8" w:rsidR="00C953D5">
        <w:rPr>
          <w:rFonts w:cs="Arial"/>
          <w:b w:val="0"/>
          <w:u w:val="none"/>
        </w:rPr>
        <w:t xml:space="preserve">a </w:t>
      </w:r>
      <w:r w:rsidRPr="00A213B8" w:rsidR="008C039E">
        <w:rPr>
          <w:rFonts w:cs="Arial"/>
          <w:b w:val="0"/>
          <w:u w:val="none"/>
        </w:rPr>
        <w:t>different U</w:t>
      </w:r>
      <w:r w:rsidRPr="00A213B8">
        <w:rPr>
          <w:rFonts w:cs="Arial"/>
          <w:b w:val="0"/>
          <w:u w:val="none"/>
        </w:rPr>
        <w:t xml:space="preserve">ltimate </w:t>
      </w:r>
      <w:r w:rsidRPr="00A213B8" w:rsidR="008C039E">
        <w:rPr>
          <w:rFonts w:cs="Arial"/>
          <w:b w:val="0"/>
          <w:u w:val="none"/>
        </w:rPr>
        <w:t>P</w:t>
      </w:r>
      <w:r w:rsidRPr="00A213B8">
        <w:rPr>
          <w:rFonts w:cs="Arial"/>
          <w:b w:val="0"/>
          <w:u w:val="none"/>
        </w:rPr>
        <w:t xml:space="preserve">arent </w:t>
      </w:r>
      <w:r w:rsidRPr="00A213B8" w:rsidR="008C039E">
        <w:rPr>
          <w:rFonts w:cs="Arial"/>
          <w:b w:val="0"/>
          <w:u w:val="none"/>
        </w:rPr>
        <w:t>E</w:t>
      </w:r>
      <w:r w:rsidRPr="00A213B8">
        <w:rPr>
          <w:rFonts w:cs="Arial"/>
          <w:b w:val="0"/>
          <w:u w:val="none"/>
        </w:rPr>
        <w:t xml:space="preserve">ntity immediately after the transaction. </w:t>
      </w:r>
    </w:p>
    <w:p w:rsidRPr="00F5521A" w:rsidR="00BF2620" w:rsidP="001C6C56" w:rsidRDefault="00BF2620" w14:paraId="1888D064" w14:textId="1E602756">
      <w:pPr>
        <w:spacing w:before="120" w:after="120" w:line="240" w:lineRule="auto"/>
        <w:jc w:val="both"/>
        <w:rPr>
          <w:rFonts w:ascii="Arial" w:hAnsi="Arial"/>
          <w:sz w:val="20"/>
        </w:rPr>
      </w:pPr>
      <w:r w:rsidRPr="00A213B8">
        <w:rPr>
          <w:rFonts w:ascii="Arial" w:hAnsi="Arial" w:cs="Arial"/>
          <w:b/>
          <w:bCs/>
          <w:sz w:val="20"/>
          <w:szCs w:val="20"/>
          <w:u w:val="single"/>
        </w:rPr>
        <w:t>Change</w:t>
      </w:r>
      <w:r w:rsidRPr="00261AEB">
        <w:rPr>
          <w:rFonts w:ascii="Arial" w:hAnsi="Arial"/>
          <w:b/>
          <w:sz w:val="20"/>
          <w:u w:val="single"/>
        </w:rPr>
        <w:t xml:space="preserve"> of </w:t>
      </w:r>
      <w:r w:rsidRPr="00A213B8">
        <w:rPr>
          <w:rFonts w:ascii="Arial" w:hAnsi="Arial" w:cs="Arial"/>
          <w:b/>
          <w:bCs/>
          <w:sz w:val="20"/>
          <w:szCs w:val="20"/>
          <w:u w:val="single"/>
        </w:rPr>
        <w:t>Law:</w:t>
      </w:r>
      <w:r w:rsidRPr="00A213B8">
        <w:rPr>
          <w:rFonts w:ascii="Arial" w:hAnsi="Arial" w:cs="Arial"/>
          <w:sz w:val="20"/>
          <w:szCs w:val="20"/>
        </w:rPr>
        <w:t xml:space="preserve"> </w:t>
      </w:r>
      <w:r w:rsidRPr="00D36A70" w:rsidR="00A30431">
        <w:rPr>
          <w:rFonts w:ascii="Arial" w:hAnsi="Arial" w:cs="Arial"/>
          <w:sz w:val="20"/>
          <w:szCs w:val="20"/>
        </w:rPr>
        <w:t>An applicable law or a change to or repeal of an existing applicable law, including changes in legally binding interpretations of applicable law, in each case, enacted after the Effective Date.</w:t>
      </w:r>
    </w:p>
    <w:p w:rsidRPr="00A213B8" w:rsidR="00BF2620" w:rsidP="001C6C56" w:rsidRDefault="00BF2620" w14:paraId="4EBDCFCD" w14:textId="465F70AB">
      <w:pPr>
        <w:spacing w:before="120" w:after="120" w:line="240" w:lineRule="auto"/>
        <w:jc w:val="both"/>
        <w:rPr>
          <w:rFonts w:ascii="Arial" w:hAnsi="Arial" w:cs="Arial"/>
          <w:sz w:val="20"/>
          <w:szCs w:val="20"/>
        </w:rPr>
      </w:pPr>
      <w:r w:rsidRPr="00A213B8">
        <w:rPr>
          <w:rFonts w:ascii="Arial" w:hAnsi="Arial" w:cs="Arial"/>
          <w:b/>
          <w:bCs/>
          <w:sz w:val="20"/>
          <w:szCs w:val="20"/>
          <w:u w:val="single"/>
        </w:rPr>
        <w:t>Change of Law Expenditures:</w:t>
      </w:r>
      <w:r w:rsidRPr="00A213B8">
        <w:rPr>
          <w:rFonts w:ascii="Arial" w:hAnsi="Arial" w:cs="Arial"/>
          <w:sz w:val="20"/>
          <w:szCs w:val="20"/>
        </w:rPr>
        <w:t xml:space="preserve"> </w:t>
      </w:r>
      <w:r w:rsidRPr="00526CE3" w:rsidR="00526CE3">
        <w:rPr>
          <w:rFonts w:ascii="Arial" w:hAnsi="Arial" w:cs="Arial"/>
          <w:sz w:val="20"/>
          <w:szCs w:val="20"/>
        </w:rPr>
        <w:t xml:space="preserve"> </w:t>
      </w:r>
      <w:r w:rsidR="001838EC">
        <w:rPr>
          <w:rFonts w:ascii="Arial" w:hAnsi="Arial" w:cs="Arial"/>
          <w:sz w:val="20"/>
          <w:szCs w:val="20"/>
        </w:rPr>
        <w:t>(i) reasonable and documented</w:t>
      </w:r>
      <w:r w:rsidRPr="007A0B9E" w:rsidR="00526CE3">
        <w:rPr>
          <w:rFonts w:ascii="Arial" w:hAnsi="Arial" w:cs="Arial"/>
          <w:sz w:val="20"/>
          <w:szCs w:val="20"/>
        </w:rPr>
        <w:t xml:space="preserve"> capital expenditures (determined in accordance with GAAP) </w:t>
      </w:r>
      <w:r w:rsidR="001838EC">
        <w:rPr>
          <w:rFonts w:ascii="Arial" w:hAnsi="Arial" w:cs="Arial"/>
          <w:sz w:val="20"/>
          <w:szCs w:val="20"/>
        </w:rPr>
        <w:t>and incremental</w:t>
      </w:r>
      <w:r w:rsidRPr="007A0B9E" w:rsidR="00526CE3">
        <w:rPr>
          <w:rFonts w:ascii="Arial" w:hAnsi="Arial" w:cs="Arial"/>
          <w:sz w:val="20"/>
          <w:szCs w:val="20"/>
        </w:rPr>
        <w:t xml:space="preserve"> operating </w:t>
      </w:r>
      <w:r w:rsidRPr="00C729B1" w:rsidR="00526CE3">
        <w:rPr>
          <w:rFonts w:ascii="Arial" w:hAnsi="Arial" w:cs="Arial"/>
          <w:sz w:val="20"/>
          <w:szCs w:val="20"/>
        </w:rPr>
        <w:t>costs</w:t>
      </w:r>
      <w:r w:rsidRPr="00C729B1" w:rsidR="00C729B1">
        <w:rPr>
          <w:rFonts w:ascii="Arial" w:hAnsi="Arial" w:cs="Arial"/>
          <w:sz w:val="20"/>
          <w:szCs w:val="20"/>
        </w:rPr>
        <w:t xml:space="preserve"> </w:t>
      </w:r>
      <w:r w:rsidR="000439FD">
        <w:rPr>
          <w:rFonts w:ascii="Arial" w:hAnsi="Arial" w:cs="Arial"/>
          <w:sz w:val="20"/>
          <w:szCs w:val="20"/>
        </w:rPr>
        <w:t>(</w:t>
      </w:r>
      <w:r w:rsidRPr="00C729B1" w:rsidR="00C729B1">
        <w:rPr>
          <w:rFonts w:ascii="Arial" w:hAnsi="Arial" w:cs="Arial"/>
          <w:sz w:val="20"/>
          <w:szCs w:val="20"/>
        </w:rPr>
        <w:t>including new Taxes imposed directly on the ownership, operation, or maintenance of the Facility solely to the extent properly treated as operating expenses in accordance with GAAP</w:t>
      </w:r>
      <w:r w:rsidR="000439FD">
        <w:rPr>
          <w:rFonts w:ascii="Arial" w:hAnsi="Arial" w:cs="Arial"/>
          <w:sz w:val="20"/>
          <w:szCs w:val="20"/>
        </w:rPr>
        <w:t>)</w:t>
      </w:r>
      <w:r w:rsidRPr="007A0B9E" w:rsidR="00526CE3">
        <w:rPr>
          <w:rFonts w:ascii="Arial" w:hAnsi="Arial" w:cs="Arial"/>
          <w:sz w:val="20"/>
          <w:szCs w:val="20"/>
        </w:rPr>
        <w:t>, including</w:t>
      </w:r>
      <w:r w:rsidR="003347A2">
        <w:rPr>
          <w:rFonts w:ascii="Arial" w:hAnsi="Arial" w:cs="Arial"/>
          <w:sz w:val="20"/>
          <w:szCs w:val="20"/>
        </w:rPr>
        <w:t>:</w:t>
      </w:r>
      <w:r w:rsidRPr="007A0B9E" w:rsidR="00526CE3">
        <w:rPr>
          <w:rFonts w:ascii="Arial" w:hAnsi="Arial" w:cs="Arial"/>
          <w:sz w:val="20"/>
          <w:szCs w:val="20"/>
        </w:rPr>
        <w:t xml:space="preserve"> (</w:t>
      </w:r>
      <w:r w:rsidR="003347A2">
        <w:rPr>
          <w:rFonts w:ascii="Arial" w:hAnsi="Arial" w:cs="Arial"/>
          <w:sz w:val="20"/>
          <w:szCs w:val="20"/>
        </w:rPr>
        <w:t>a</w:t>
      </w:r>
      <w:r w:rsidRPr="007A0B9E" w:rsidR="00526CE3">
        <w:rPr>
          <w:rFonts w:ascii="Arial" w:hAnsi="Arial" w:cs="Arial"/>
          <w:sz w:val="20"/>
          <w:szCs w:val="20"/>
        </w:rPr>
        <w:t xml:space="preserve">) capital expenditures or operating costs </w:t>
      </w:r>
      <w:r w:rsidR="00411AC4">
        <w:rPr>
          <w:rFonts w:ascii="Arial" w:hAnsi="Arial" w:cs="Arial"/>
          <w:sz w:val="20"/>
          <w:szCs w:val="20"/>
        </w:rPr>
        <w:t>incurred to modify, operate, or maintain</w:t>
      </w:r>
      <w:r w:rsidRPr="007A0B9E" w:rsidR="00526CE3">
        <w:rPr>
          <w:rFonts w:ascii="Arial" w:hAnsi="Arial" w:cs="Arial"/>
          <w:sz w:val="20"/>
          <w:szCs w:val="20"/>
        </w:rPr>
        <w:t xml:space="preserve"> the Facility </w:t>
      </w:r>
      <w:r w:rsidR="00390676">
        <w:rPr>
          <w:rFonts w:ascii="Arial" w:hAnsi="Arial" w:cs="Arial"/>
          <w:sz w:val="20"/>
          <w:szCs w:val="20"/>
        </w:rPr>
        <w:t>in compliance with the</w:t>
      </w:r>
      <w:r w:rsidRPr="007A0B9E" w:rsidR="00526CE3">
        <w:rPr>
          <w:rFonts w:ascii="Arial" w:hAnsi="Arial" w:cs="Arial"/>
          <w:sz w:val="20"/>
          <w:szCs w:val="20"/>
        </w:rPr>
        <w:t xml:space="preserve"> Change of Law during the Term; </w:t>
      </w:r>
      <w:r w:rsidR="00390676">
        <w:rPr>
          <w:rFonts w:ascii="Arial" w:hAnsi="Arial" w:cs="Arial"/>
          <w:sz w:val="20"/>
          <w:szCs w:val="20"/>
        </w:rPr>
        <w:t>and</w:t>
      </w:r>
      <w:r w:rsidRPr="007A0B9E" w:rsidR="00526CE3">
        <w:rPr>
          <w:rFonts w:ascii="Arial" w:hAnsi="Arial" w:cs="Arial"/>
          <w:sz w:val="20"/>
          <w:szCs w:val="20"/>
        </w:rPr>
        <w:t xml:space="preserve"> (b) additional or different Facility equipment, engineering, procurement, construction, or other Facility modifications </w:t>
      </w:r>
      <w:r w:rsidR="003210D0">
        <w:rPr>
          <w:rFonts w:ascii="Arial" w:hAnsi="Arial" w:cs="Arial"/>
          <w:sz w:val="20"/>
          <w:szCs w:val="20"/>
        </w:rPr>
        <w:t xml:space="preserve">required to comply with the Change of Law; and (ii) any actual and realized loss or reduction of applicable </w:t>
      </w:r>
      <w:r w:rsidRPr="007A0B9E" w:rsidR="00526CE3">
        <w:rPr>
          <w:rFonts w:ascii="Arial" w:hAnsi="Arial" w:cs="Arial"/>
          <w:sz w:val="20"/>
          <w:szCs w:val="20"/>
        </w:rPr>
        <w:t>tax incentives, tariffs, credits, rebates, or other governmental benefits applicable to the Facility</w:t>
      </w:r>
      <w:r w:rsidR="005003AA">
        <w:rPr>
          <w:rFonts w:ascii="Arial" w:hAnsi="Arial" w:cs="Arial"/>
          <w:sz w:val="20"/>
          <w:szCs w:val="20"/>
        </w:rPr>
        <w:t xml:space="preserve">, </w:t>
      </w:r>
      <w:r w:rsidRPr="00341121" w:rsidR="003E4858">
        <w:rPr>
          <w:rFonts w:ascii="Arial" w:hAnsi="Arial" w:cs="Arial"/>
          <w:sz w:val="20"/>
          <w:szCs w:val="20"/>
        </w:rPr>
        <w:t>in each case, incurred by Seller as a direct result of a Change of Law, reasonable in amount, consistent with Prudent Industry Practice, and net of any costs saving, insurance proceeds, tax benefit, and third-party recovery</w:t>
      </w:r>
      <w:r w:rsidRPr="007A0B9E" w:rsidR="00526CE3">
        <w:rPr>
          <w:rFonts w:ascii="Arial" w:hAnsi="Arial" w:cs="Arial"/>
          <w:sz w:val="20"/>
          <w:szCs w:val="20"/>
        </w:rPr>
        <w:t>. Capital expenditures or operating costs will not constitute Change of Law Expenditures unless GPC, using Prudent Industry Practices, would incur the same capital expenditures or operating costs regarding its own facilities of the same type as the Facility because of the requirements of the Change of Law (taking into account differences in facility generating capacity, location, and the frequency and duration of facility dispatch).</w:t>
      </w:r>
    </w:p>
    <w:p w:rsidRPr="0097562D" w:rsidR="00C90A63" w:rsidP="00017D21" w:rsidRDefault="00C90A63" w14:paraId="22B02B08" w14:textId="754F1129">
      <w:pPr>
        <w:spacing w:before="120" w:after="120" w:line="240" w:lineRule="auto"/>
        <w:jc w:val="both"/>
      </w:pPr>
      <w:r w:rsidRPr="00A213B8">
        <w:rPr>
          <w:rFonts w:ascii="Arial" w:hAnsi="Arial" w:cs="Arial"/>
          <w:b/>
          <w:bCs/>
          <w:sz w:val="20"/>
          <w:szCs w:val="20"/>
          <w:u w:val="single"/>
        </w:rPr>
        <w:t>Change of Law Notice:</w:t>
      </w:r>
      <w:r w:rsidRPr="00A213B8">
        <w:rPr>
          <w:rFonts w:ascii="Arial" w:hAnsi="Arial" w:cs="Arial"/>
          <w:sz w:val="20"/>
          <w:szCs w:val="20"/>
        </w:rPr>
        <w:t xml:space="preserve"> </w:t>
      </w:r>
      <w:r w:rsidRPr="00341121" w:rsidR="00A27640">
        <w:rPr>
          <w:rFonts w:ascii="Arial" w:hAnsi="Arial" w:cs="Arial"/>
          <w:sz w:val="20"/>
          <w:szCs w:val="20"/>
        </w:rPr>
        <w:t>Written notice from Seller to GPC of a Change of Law that will cause, or is reasonably expected to cause, Seller to incur Change of Law Expenditures.</w:t>
      </w:r>
    </w:p>
    <w:p w:rsidRPr="00A213B8" w:rsidR="00130FA6" w:rsidP="00261AEB" w:rsidRDefault="002D54C4" w14:paraId="7CB627B3" w14:textId="1DCC8EBA">
      <w:pPr>
        <w:pStyle w:val="Heading3"/>
        <w:keepNext w:val="0"/>
        <w:keepLines w:val="0"/>
        <w:widowControl w:val="0"/>
        <w:spacing w:before="120"/>
        <w:rPr>
          <w:rFonts w:cs="Arial"/>
          <w:b w:val="0"/>
          <w:u w:val="none"/>
        </w:rPr>
      </w:pPr>
      <w:bookmarkStart w:name="_Hlk149774104" w:id="26"/>
      <w:r w:rsidRPr="00A213B8">
        <w:rPr>
          <w:rFonts w:cs="Arial"/>
        </w:rPr>
        <w:t>Charge/Discharge Rate Performance Metric</w:t>
      </w:r>
      <w:r w:rsidRPr="00A213B8">
        <w:rPr>
          <w:rFonts w:cs="Arial"/>
          <w:u w:val="none"/>
        </w:rPr>
        <w:t xml:space="preserve">: </w:t>
      </w:r>
      <w:r w:rsidRPr="00A213B8">
        <w:rPr>
          <w:rFonts w:cs="Arial"/>
          <w:b w:val="0"/>
          <w:u w:val="none"/>
        </w:rPr>
        <w:t xml:space="preserve">As defined in </w:t>
      </w:r>
      <w:r w:rsidRPr="00A213B8">
        <w:rPr>
          <w:rFonts w:cs="Arial" w:eastAsiaTheme="minorHAnsi"/>
          <w:b w:val="0"/>
          <w:u w:val="none"/>
        </w:rPr>
        <w:t xml:space="preserve">Section </w:t>
      </w:r>
      <w:r w:rsidRPr="00A213B8" w:rsidR="00E34136">
        <w:rPr>
          <w:rFonts w:cs="Arial" w:eastAsiaTheme="minorHAnsi"/>
          <w:b w:val="0"/>
          <w:u w:val="none"/>
        </w:rPr>
        <w:t>2.3.2</w:t>
      </w:r>
      <w:r w:rsidRPr="00A213B8">
        <w:rPr>
          <w:rFonts w:cs="Arial" w:eastAsiaTheme="minorHAnsi"/>
          <w:b w:val="0"/>
          <w:u w:val="none"/>
        </w:rPr>
        <w:t xml:space="preserve"> </w:t>
      </w:r>
      <w:r w:rsidR="00A737F7">
        <w:rPr>
          <w:rFonts w:eastAsiaTheme="minorHAnsi"/>
          <w:b w:val="0"/>
          <w:u w:val="none"/>
        </w:rPr>
        <w:t>(</w:t>
      </w:r>
      <w:r w:rsidR="00A737F7">
        <w:rPr>
          <w:rFonts w:eastAsiaTheme="minorHAnsi"/>
          <w:b w:val="0"/>
          <w:i/>
          <w:u w:val="none"/>
        </w:rPr>
        <w:t>Charge/Discharge Rate Performance Metric</w:t>
      </w:r>
      <w:r w:rsidR="00A737F7">
        <w:rPr>
          <w:rFonts w:eastAsiaTheme="minorHAnsi"/>
          <w:b w:val="0"/>
          <w:u w:val="none"/>
        </w:rPr>
        <w:t xml:space="preserve">) </w:t>
      </w:r>
      <w:r w:rsidRPr="00A213B8">
        <w:rPr>
          <w:rFonts w:cs="Arial" w:eastAsiaTheme="minorHAnsi"/>
          <w:b w:val="0"/>
          <w:u w:val="none"/>
        </w:rPr>
        <w:t xml:space="preserve">of </w:t>
      </w:r>
      <w:r w:rsidRPr="00A213B8">
        <w:rPr>
          <w:rFonts w:cs="Arial"/>
          <w:b w:val="0"/>
          <w:u w:val="none"/>
        </w:rPr>
        <w:t xml:space="preserve">Exhibit </w:t>
      </w:r>
      <w:r w:rsidRPr="00A213B8" w:rsidR="00C63CC0">
        <w:rPr>
          <w:rFonts w:cs="Arial"/>
          <w:b w:val="0"/>
          <w:u w:val="none"/>
        </w:rPr>
        <w:t xml:space="preserve">C </w:t>
      </w:r>
      <w:r w:rsidRPr="00A213B8">
        <w:rPr>
          <w:rFonts w:cs="Arial"/>
          <w:b w:val="0"/>
          <w:u w:val="none"/>
        </w:rPr>
        <w:t>(</w:t>
      </w:r>
      <w:r w:rsidRPr="00A213B8" w:rsidR="00663A4F">
        <w:rPr>
          <w:rFonts w:cs="Arial"/>
          <w:b w:val="0"/>
          <w:i/>
          <w:u w:val="none"/>
        </w:rPr>
        <w:t xml:space="preserve">Monthly Capacity Payments; Monthly Capacity Reductions; AGC Performance </w:t>
      </w:r>
      <w:r w:rsidRPr="00A213B8" w:rsidR="004C6ED4">
        <w:rPr>
          <w:rFonts w:cs="Arial"/>
          <w:b w:val="0"/>
          <w:i/>
          <w:u w:val="none"/>
        </w:rPr>
        <w:t xml:space="preserve">Metrics and </w:t>
      </w:r>
      <w:r w:rsidRPr="00A213B8" w:rsidR="00663A4F">
        <w:rPr>
          <w:rFonts w:cs="Arial"/>
          <w:b w:val="0"/>
          <w:i/>
          <w:u w:val="none"/>
        </w:rPr>
        <w:t>Requirements</w:t>
      </w:r>
      <w:r w:rsidRPr="00A213B8">
        <w:rPr>
          <w:rFonts w:cs="Arial"/>
          <w:b w:val="0"/>
          <w:u w:val="none"/>
        </w:rPr>
        <w:t>).</w:t>
      </w:r>
    </w:p>
    <w:bookmarkEnd w:id="26"/>
    <w:p w:rsidRPr="00A213B8" w:rsidR="002D54C4" w:rsidP="00261AEB" w:rsidRDefault="002D54C4" w14:paraId="53CC9C40" w14:textId="276E8EAE">
      <w:pPr>
        <w:pStyle w:val="Heading3"/>
        <w:keepNext w:val="0"/>
        <w:keepLines w:val="0"/>
        <w:widowControl w:val="0"/>
        <w:spacing w:before="120"/>
        <w:rPr>
          <w:rFonts w:cs="Arial"/>
        </w:rPr>
      </w:pPr>
      <w:r w:rsidRPr="00A213B8">
        <w:rPr>
          <w:rFonts w:cs="Arial"/>
        </w:rPr>
        <w:t>Charging Energy</w:t>
      </w:r>
      <w:r w:rsidRPr="00A213B8">
        <w:rPr>
          <w:rFonts w:eastAsia="PMingLiU" w:cs="Arial"/>
          <w:u w:val="none"/>
        </w:rPr>
        <w:t xml:space="preserve">: </w:t>
      </w:r>
      <w:bookmarkStart w:name="El2bcO" w:id="27"/>
      <w:r w:rsidRPr="00A213B8" w:rsidR="008908F2">
        <w:rPr>
          <w:rFonts w:eastAsia="PMingLiU" w:cs="Arial"/>
          <w:b w:val="0"/>
          <w:bCs w:val="0"/>
          <w:u w:val="none"/>
        </w:rPr>
        <w:t xml:space="preserve">Energy </w:t>
      </w:r>
      <w:bookmarkEnd w:id="27"/>
      <w:r w:rsidRPr="00A213B8" w:rsidR="008908F2">
        <w:rPr>
          <w:rFonts w:eastAsia="PMingLiU" w:cs="Arial"/>
          <w:b w:val="0"/>
          <w:bCs w:val="0"/>
          <w:u w:val="none"/>
        </w:rPr>
        <w:t xml:space="preserve">provided </w:t>
      </w:r>
      <w:r w:rsidRPr="00A213B8" w:rsidR="00570045">
        <w:rPr>
          <w:rFonts w:eastAsia="PMingLiU" w:cs="Arial"/>
          <w:b w:val="0"/>
          <w:bCs w:val="0"/>
          <w:u w:val="none"/>
        </w:rPr>
        <w:t>from</w:t>
      </w:r>
      <w:r w:rsidRPr="00A213B8" w:rsidR="008908F2">
        <w:rPr>
          <w:rFonts w:eastAsia="PMingLiU" w:cs="Arial"/>
          <w:b w:val="0"/>
          <w:bCs w:val="0"/>
          <w:u w:val="none"/>
        </w:rPr>
        <w:t xml:space="preserve"> </w:t>
      </w:r>
      <w:bookmarkStart w:name="El2ecO" w:id="28"/>
      <w:r w:rsidRPr="00A213B8" w:rsidR="00171C5C">
        <w:rPr>
          <w:rFonts w:eastAsia="PMingLiU" w:cs="Arial"/>
          <w:b w:val="0"/>
          <w:bCs w:val="0"/>
          <w:u w:val="none"/>
        </w:rPr>
        <w:t>Grid Charging</w:t>
      </w:r>
      <w:r w:rsidRPr="00A213B8" w:rsidR="002E11AC">
        <w:rPr>
          <w:rFonts w:eastAsia="PMingLiU" w:cs="Arial"/>
          <w:b w:val="0"/>
          <w:bCs w:val="0"/>
          <w:u w:val="none"/>
        </w:rPr>
        <w:t xml:space="preserve"> </w:t>
      </w:r>
      <w:bookmarkEnd w:id="28"/>
      <w:r w:rsidRPr="00A213B8" w:rsidR="002E11AC">
        <w:rPr>
          <w:rFonts w:eastAsia="PMingLiU" w:cs="Arial"/>
          <w:b w:val="0"/>
          <w:bCs w:val="0"/>
          <w:u w:val="none"/>
        </w:rPr>
        <w:t>or the Renewable Resource for the purpose of charging the BESS</w:t>
      </w:r>
      <w:r w:rsidRPr="00A213B8" w:rsidR="0074118D">
        <w:rPr>
          <w:rFonts w:eastAsia="PMingLiU" w:cs="Arial"/>
          <w:b w:val="0"/>
          <w:u w:val="none"/>
        </w:rPr>
        <w:t xml:space="preserve"> in accordance with GPC’s AGC Setpoint signals</w:t>
      </w:r>
      <w:r w:rsidRPr="00A213B8" w:rsidR="00E41BED">
        <w:rPr>
          <w:rFonts w:eastAsia="PMingLiU" w:cs="Arial"/>
          <w:b w:val="0"/>
          <w:u w:val="none"/>
        </w:rPr>
        <w:t xml:space="preserve"> or direction</w:t>
      </w:r>
      <w:r w:rsidRPr="00A213B8">
        <w:rPr>
          <w:rFonts w:eastAsia="PMingLiU" w:cs="Arial"/>
          <w:b w:val="0"/>
          <w:u w:val="none"/>
        </w:rPr>
        <w:t>.</w:t>
      </w:r>
      <w:r w:rsidRPr="00A213B8">
        <w:rPr>
          <w:rFonts w:cs="Arial"/>
        </w:rPr>
        <w:t xml:space="preserve"> </w:t>
      </w:r>
    </w:p>
    <w:p w:rsidRPr="00A213B8" w:rsidR="00696F59" w:rsidP="00261AEB" w:rsidRDefault="00696F59" w14:paraId="47E61B4D" w14:textId="17D00DAC">
      <w:pPr>
        <w:pStyle w:val="Heading3"/>
        <w:keepNext w:val="0"/>
        <w:keepLines w:val="0"/>
        <w:spacing w:before="120"/>
        <w:rPr>
          <w:rFonts w:cs="Arial"/>
        </w:rPr>
      </w:pPr>
      <w:r w:rsidRPr="00092C46">
        <w:rPr>
          <w:rFonts w:eastAsia="PMingLiU"/>
        </w:rPr>
        <w:t>Claim</w:t>
      </w:r>
      <w:r w:rsidRPr="00696F59">
        <w:rPr>
          <w:u w:val="none"/>
        </w:rPr>
        <w:t xml:space="preserve">: </w:t>
      </w:r>
      <w:r w:rsidRPr="00696F59">
        <w:rPr>
          <w:b w:val="0"/>
          <w:u w:val="none"/>
        </w:rPr>
        <w:t>Any loss, damage, cost, expense, or liability (on an After-Tax Basis) for any damage or claim (including any demand, suit, settlement, judgment, penalty, fine, proceeding, or action of any kind) for: (i) personal or bodily injury (including death); (ii) property damage (including loss of use); (i</w:t>
      </w:r>
      <w:r w:rsidR="00BE356D">
        <w:rPr>
          <w:b w:val="0"/>
          <w:u w:val="none"/>
        </w:rPr>
        <w:t>ii</w:t>
      </w:r>
      <w:r w:rsidRPr="00696F59">
        <w:rPr>
          <w:b w:val="0"/>
          <w:u w:val="none"/>
        </w:rPr>
        <w:t>) infringement; (</w:t>
      </w:r>
      <w:r w:rsidR="00BE356D">
        <w:rPr>
          <w:b w:val="0"/>
          <w:u w:val="none"/>
        </w:rPr>
        <w:t>i</w:t>
      </w:r>
      <w:r w:rsidRPr="00696F59">
        <w:rPr>
          <w:b w:val="0"/>
          <w:u w:val="none"/>
        </w:rPr>
        <w:t xml:space="preserve">v) monetary damage or expense; or (v) equitable relief, including all Claim expenses (e.g., actual </w:t>
      </w:r>
      <w:r w:rsidRPr="00696F59">
        <w:rPr>
          <w:b w:val="0"/>
          <w:u w:val="none"/>
        </w:rPr>
        <w:lastRenderedPageBreak/>
        <w:t>attorneys’ fees reasonably incurred; investigation, defense, litigation, court, arbitration, or mediation costs; and expert, consultant, arbitrator, or mediator fees or expenses</w:t>
      </w:r>
      <w:r w:rsidRPr="00696F59">
        <w:rPr>
          <w:rFonts w:eastAsia="PMingLiU"/>
          <w:b w:val="0"/>
          <w:u w:val="none"/>
        </w:rPr>
        <w:t xml:space="preserve"> and bond expense</w:t>
      </w:r>
      <w:r w:rsidRPr="00696F59">
        <w:rPr>
          <w:b w:val="0"/>
          <w:u w:val="none"/>
        </w:rPr>
        <w:t>)</w:t>
      </w:r>
      <w:r w:rsidRPr="00696F59">
        <w:rPr>
          <w:rFonts w:eastAsia="PMingLiU"/>
          <w:b w:val="0"/>
          <w:u w:val="none"/>
        </w:rPr>
        <w:t>.</w:t>
      </w:r>
    </w:p>
    <w:p w:rsidRPr="00261AEB" w:rsidR="002D54C4" w:rsidP="00261AEB" w:rsidRDefault="002D54C4" w14:paraId="0614C9ED" w14:textId="3AA912C6">
      <w:pPr>
        <w:pStyle w:val="Heading3"/>
        <w:keepNext w:val="0"/>
        <w:keepLines w:val="0"/>
        <w:widowControl w:val="0"/>
        <w:spacing w:before="120"/>
        <w:rPr>
          <w:b w:val="0"/>
          <w:u w:val="none"/>
        </w:rPr>
      </w:pPr>
      <w:r w:rsidRPr="00A213B8">
        <w:rPr>
          <w:rFonts w:cs="Arial"/>
        </w:rPr>
        <w:t>Commercial Operation</w:t>
      </w:r>
      <w:r w:rsidRPr="00A213B8">
        <w:rPr>
          <w:rFonts w:cs="Arial"/>
          <w:u w:val="none"/>
        </w:rPr>
        <w:t xml:space="preserve">: </w:t>
      </w:r>
      <w:r w:rsidRPr="00A213B8">
        <w:rPr>
          <w:rFonts w:cs="Arial"/>
          <w:b w:val="0"/>
          <w:u w:val="none"/>
        </w:rPr>
        <w:t xml:space="preserve">The Facility’s ability to meet the requirements of Section </w:t>
      </w:r>
      <w:r w:rsidRPr="00A213B8" w:rsidR="00CB6FEA">
        <w:rPr>
          <w:rFonts w:cs="Arial"/>
          <w:b w:val="0"/>
          <w:u w:val="none"/>
        </w:rPr>
        <w:t>7.1.</w:t>
      </w:r>
      <w:r w:rsidRPr="00A213B8" w:rsidR="001E6DA5">
        <w:rPr>
          <w:rFonts w:cs="Arial"/>
          <w:b w:val="0"/>
          <w:u w:val="none"/>
        </w:rPr>
        <w:t xml:space="preserve">5 </w:t>
      </w:r>
      <w:r w:rsidRPr="00A213B8">
        <w:rPr>
          <w:rFonts w:cs="Arial"/>
          <w:b w:val="0"/>
          <w:u w:val="none"/>
        </w:rPr>
        <w:t>(</w:t>
      </w:r>
      <w:r w:rsidRPr="00A213B8">
        <w:rPr>
          <w:rFonts w:cs="Arial"/>
          <w:b w:val="0"/>
          <w:i/>
          <w:u w:val="none"/>
        </w:rPr>
        <w:t>Commercial Operation</w:t>
      </w:r>
      <w:r w:rsidRPr="00A213B8">
        <w:rPr>
          <w:rFonts w:cs="Arial"/>
          <w:b w:val="0"/>
          <w:u w:val="none"/>
        </w:rPr>
        <w:t>).</w:t>
      </w:r>
    </w:p>
    <w:p w:rsidRPr="00A213B8" w:rsidR="009921B2" w:rsidP="00F94204" w:rsidRDefault="009921B2" w14:paraId="0F7A8DC8" w14:textId="61B26B8F">
      <w:pPr>
        <w:spacing w:before="120" w:after="120" w:line="240" w:lineRule="auto"/>
        <w:jc w:val="both"/>
        <w:rPr>
          <w:rFonts w:ascii="Arial" w:hAnsi="Arial" w:cs="Arial"/>
          <w:sz w:val="20"/>
          <w:szCs w:val="20"/>
        </w:rPr>
      </w:pPr>
      <w:r w:rsidRPr="00A213B8">
        <w:rPr>
          <w:rFonts w:ascii="Arial" w:hAnsi="Arial" w:cs="Arial"/>
          <w:b/>
          <w:bCs/>
          <w:sz w:val="20"/>
          <w:szCs w:val="20"/>
          <w:u w:val="single"/>
        </w:rPr>
        <w:t>Commercial Operation Completion Certificate</w:t>
      </w:r>
      <w:r w:rsidRPr="00A213B8">
        <w:rPr>
          <w:rFonts w:ascii="Arial" w:hAnsi="Arial" w:cs="Arial"/>
          <w:sz w:val="20"/>
          <w:szCs w:val="20"/>
        </w:rPr>
        <w:t>: The certificate in the form of Exhibit J (</w:t>
      </w:r>
      <w:r w:rsidRPr="00A213B8">
        <w:rPr>
          <w:rFonts w:ascii="Arial" w:hAnsi="Arial" w:cs="Arial"/>
          <w:i/>
          <w:iCs/>
          <w:sz w:val="20"/>
          <w:szCs w:val="20"/>
        </w:rPr>
        <w:t>Form of Commercial Operation Completion Certificate</w:t>
      </w:r>
      <w:r w:rsidRPr="00A213B8">
        <w:rPr>
          <w:rFonts w:ascii="Arial" w:hAnsi="Arial" w:cs="Arial"/>
          <w:sz w:val="20"/>
          <w:szCs w:val="20"/>
        </w:rPr>
        <w:t>) that Seller submits to GPC pursuant to Section 7.1.6 (</w:t>
      </w:r>
      <w:r w:rsidRPr="00A213B8" w:rsidR="00675831">
        <w:rPr>
          <w:rFonts w:ascii="Arial" w:hAnsi="Arial" w:cs="Arial"/>
          <w:i/>
          <w:iCs/>
          <w:sz w:val="20"/>
          <w:szCs w:val="20"/>
        </w:rPr>
        <w:t>Commercial Operation Completion Certificate</w:t>
      </w:r>
      <w:r w:rsidRPr="00A213B8" w:rsidR="00675831">
        <w:rPr>
          <w:rFonts w:ascii="Arial" w:hAnsi="Arial" w:cs="Arial"/>
          <w:sz w:val="20"/>
          <w:szCs w:val="20"/>
        </w:rPr>
        <w:t xml:space="preserve">). </w:t>
      </w:r>
    </w:p>
    <w:p w:rsidRPr="00A213B8" w:rsidR="002D54C4" w:rsidP="00261AEB" w:rsidRDefault="002D54C4" w14:paraId="66934C75" w14:textId="196FB0B9">
      <w:pPr>
        <w:pStyle w:val="Heading3"/>
        <w:keepNext w:val="0"/>
        <w:keepLines w:val="0"/>
        <w:widowControl w:val="0"/>
        <w:spacing w:before="120"/>
        <w:rPr>
          <w:rFonts w:cs="Arial"/>
        </w:rPr>
      </w:pPr>
      <w:r w:rsidRPr="00A213B8">
        <w:rPr>
          <w:rFonts w:cs="Arial"/>
        </w:rPr>
        <w:t>Commercial Operation Date</w:t>
      </w:r>
      <w:r w:rsidRPr="00A213B8" w:rsidR="00B00CAC">
        <w:rPr>
          <w:rFonts w:cs="Arial"/>
        </w:rPr>
        <w:t xml:space="preserve"> (COD)</w:t>
      </w:r>
      <w:r w:rsidRPr="00A213B8">
        <w:rPr>
          <w:rFonts w:cs="Arial"/>
          <w:u w:val="none"/>
        </w:rPr>
        <w:t xml:space="preserve">: </w:t>
      </w:r>
      <w:r w:rsidRPr="00A213B8">
        <w:rPr>
          <w:rFonts w:cs="Arial"/>
          <w:b w:val="0"/>
          <w:u w:val="none"/>
        </w:rPr>
        <w:t>The date</w:t>
      </w:r>
      <w:r w:rsidRPr="00A213B8" w:rsidDel="00F20C96">
        <w:rPr>
          <w:rFonts w:cs="Arial"/>
          <w:b w:val="0"/>
          <w:u w:val="none"/>
        </w:rPr>
        <w:t xml:space="preserve"> </w:t>
      </w:r>
      <w:r w:rsidRPr="00A213B8">
        <w:rPr>
          <w:rFonts w:cs="Arial"/>
          <w:b w:val="0"/>
          <w:u w:val="none"/>
        </w:rPr>
        <w:t>the Facility achieves Commercial Operation.</w:t>
      </w:r>
    </w:p>
    <w:p w:rsidRPr="00A213B8" w:rsidR="002D54C4" w:rsidP="00261AEB" w:rsidRDefault="002D54C4" w14:paraId="3BE909A8" w14:textId="74AF435A">
      <w:pPr>
        <w:pStyle w:val="Heading3"/>
        <w:keepNext w:val="0"/>
        <w:keepLines w:val="0"/>
        <w:widowControl w:val="0"/>
        <w:spacing w:before="120"/>
        <w:rPr>
          <w:rFonts w:cs="Arial"/>
          <w:b w:val="0"/>
          <w:u w:val="none"/>
        </w:rPr>
      </w:pPr>
      <w:r w:rsidRPr="00A213B8">
        <w:rPr>
          <w:rFonts w:cs="Arial"/>
        </w:rPr>
        <w:t>Commission</w:t>
      </w:r>
      <w:r w:rsidRPr="00A213B8">
        <w:rPr>
          <w:rFonts w:cs="Arial"/>
          <w:u w:val="none"/>
        </w:rPr>
        <w:t>:</w:t>
      </w:r>
      <w:r w:rsidRPr="00A213B8" w:rsidDel="00342060">
        <w:rPr>
          <w:rFonts w:cs="Arial"/>
          <w:u w:val="none"/>
        </w:rPr>
        <w:t xml:space="preserve"> </w:t>
      </w:r>
      <w:r w:rsidRPr="00A213B8">
        <w:rPr>
          <w:rFonts w:cs="Arial"/>
          <w:b w:val="0"/>
          <w:u w:val="none"/>
        </w:rPr>
        <w:t>The Georgia Public Service Commission, or any Governmental Authority succeeding to the powers and functions of the Commission.</w:t>
      </w:r>
    </w:p>
    <w:p w:rsidRPr="00A213B8" w:rsidR="00D011FE" w:rsidP="00D011FE" w:rsidRDefault="002D54C4" w14:paraId="3443CAE5" w14:textId="65FA6427">
      <w:pPr>
        <w:pStyle w:val="Heading3"/>
        <w:keepNext w:val="0"/>
        <w:keepLines w:val="0"/>
        <w:widowControl w:val="0"/>
        <w:spacing w:before="120"/>
        <w:rPr>
          <w:rFonts w:cs="Arial"/>
        </w:rPr>
      </w:pPr>
      <w:r w:rsidRPr="00A213B8">
        <w:rPr>
          <w:rFonts w:cs="Arial"/>
        </w:rPr>
        <w:t>Commission Certificate</w:t>
      </w:r>
      <w:r w:rsidRPr="00A213B8">
        <w:rPr>
          <w:rFonts w:cs="Arial"/>
          <w:u w:val="none"/>
        </w:rPr>
        <w:t xml:space="preserve">: </w:t>
      </w:r>
      <w:r w:rsidRPr="00A213B8" w:rsidR="00D011FE">
        <w:rPr>
          <w:rFonts w:cs="Arial"/>
          <w:b w:val="0"/>
          <w:u w:val="none"/>
        </w:rPr>
        <w:t xml:space="preserve">A </w:t>
      </w:r>
      <w:r w:rsidR="00D011FE">
        <w:rPr>
          <w:rFonts w:cs="Arial"/>
          <w:b w:val="0"/>
          <w:u w:val="none"/>
        </w:rPr>
        <w:t>c</w:t>
      </w:r>
      <w:r w:rsidRPr="00A213B8" w:rsidR="00D011FE">
        <w:rPr>
          <w:rFonts w:cs="Arial"/>
          <w:b w:val="0"/>
          <w:u w:val="none"/>
        </w:rPr>
        <w:t xml:space="preserve">ertificate of </w:t>
      </w:r>
      <w:r w:rsidR="00D011FE">
        <w:rPr>
          <w:rFonts w:cs="Arial"/>
          <w:b w:val="0"/>
          <w:u w:val="none"/>
        </w:rPr>
        <w:t>p</w:t>
      </w:r>
      <w:r w:rsidRPr="00A213B8" w:rsidR="00D011FE">
        <w:rPr>
          <w:rFonts w:cs="Arial"/>
          <w:b w:val="0"/>
          <w:u w:val="none"/>
        </w:rPr>
        <w:t xml:space="preserve">ublic </w:t>
      </w:r>
      <w:r w:rsidR="00D011FE">
        <w:rPr>
          <w:rFonts w:cs="Arial"/>
          <w:b w:val="0"/>
          <w:u w:val="none"/>
        </w:rPr>
        <w:t>c</w:t>
      </w:r>
      <w:r w:rsidRPr="00A213B8" w:rsidR="00D011FE">
        <w:rPr>
          <w:rFonts w:cs="Arial"/>
          <w:b w:val="0"/>
          <w:u w:val="none"/>
        </w:rPr>
        <w:t xml:space="preserve">onvenience and </w:t>
      </w:r>
      <w:r w:rsidR="00D011FE">
        <w:rPr>
          <w:rFonts w:cs="Arial"/>
          <w:b w:val="0"/>
          <w:u w:val="none"/>
        </w:rPr>
        <w:t>n</w:t>
      </w:r>
      <w:r w:rsidRPr="00A213B8" w:rsidR="00D011FE">
        <w:rPr>
          <w:rFonts w:cs="Arial"/>
          <w:b w:val="0"/>
          <w:u w:val="none"/>
        </w:rPr>
        <w:t>ecessity</w:t>
      </w:r>
      <w:r w:rsidRPr="00A213B8" w:rsidDel="00407356" w:rsidR="00D011FE">
        <w:rPr>
          <w:rFonts w:cs="Arial"/>
          <w:b w:val="0"/>
          <w:u w:val="none"/>
        </w:rPr>
        <w:t xml:space="preserve"> </w:t>
      </w:r>
      <w:r w:rsidRPr="004B75DF" w:rsidR="00D011FE">
        <w:rPr>
          <w:rFonts w:cs="Arial"/>
          <w:b w:val="0"/>
          <w:u w:val="none"/>
        </w:rPr>
        <w:t>as required by OCGA § 46</w:t>
      </w:r>
      <w:r w:rsidRPr="004B75DF" w:rsidR="00D011FE">
        <w:rPr>
          <w:rFonts w:cs="Arial"/>
          <w:b w:val="0"/>
          <w:u w:val="none"/>
        </w:rPr>
        <w:noBreakHyphen/>
        <w:t>3A</w:t>
      </w:r>
      <w:r w:rsidRPr="004B75DF" w:rsidR="00D011FE">
        <w:rPr>
          <w:rFonts w:cs="Arial"/>
          <w:b w:val="0"/>
          <w:u w:val="none"/>
        </w:rPr>
        <w:noBreakHyphen/>
        <w:t>1, et seq</w:t>
      </w:r>
      <w:r w:rsidRPr="00A213B8" w:rsidR="00D011FE">
        <w:rPr>
          <w:rFonts w:cs="Arial"/>
          <w:b w:val="0"/>
          <w:u w:val="none"/>
        </w:rPr>
        <w:t>.</w:t>
      </w:r>
    </w:p>
    <w:p w:rsidRPr="00A213B8" w:rsidR="002D54C4" w:rsidP="00261AEB" w:rsidRDefault="002D54C4" w14:paraId="6ABBAD75" w14:textId="5C395356">
      <w:pPr>
        <w:pStyle w:val="Heading3"/>
        <w:keepNext w:val="0"/>
        <w:keepLines w:val="0"/>
        <w:widowControl w:val="0"/>
        <w:spacing w:before="120"/>
        <w:rPr>
          <w:rFonts w:cs="Arial"/>
        </w:rPr>
      </w:pPr>
      <w:r w:rsidRPr="00A213B8">
        <w:rPr>
          <w:rFonts w:cs="Arial"/>
        </w:rPr>
        <w:t>Commission Certificate Target Date</w:t>
      </w:r>
      <w:r w:rsidRPr="00A213B8">
        <w:rPr>
          <w:rFonts w:cs="Arial"/>
          <w:u w:val="none"/>
        </w:rPr>
        <w:t xml:space="preserve">: </w:t>
      </w:r>
      <w:r w:rsidRPr="00A213B8">
        <w:rPr>
          <w:rFonts w:cs="Arial"/>
          <w:b w:val="0"/>
          <w:u w:val="none"/>
        </w:rPr>
        <w:t>The date that is 250 Days after the date GPC requests a Commission Certificate for this PPA.</w:t>
      </w:r>
    </w:p>
    <w:p w:rsidRPr="00A213B8" w:rsidR="002D54C4" w:rsidP="00261AEB" w:rsidRDefault="002D54C4" w14:paraId="3CFA41F0" w14:textId="2CB80807">
      <w:pPr>
        <w:pStyle w:val="Heading3"/>
        <w:keepNext w:val="0"/>
        <w:keepLines w:val="0"/>
        <w:widowControl w:val="0"/>
        <w:spacing w:before="120"/>
        <w:rPr>
          <w:rFonts w:cs="Arial"/>
        </w:rPr>
      </w:pPr>
      <w:r w:rsidRPr="00A213B8">
        <w:rPr>
          <w:rFonts w:cs="Arial"/>
        </w:rPr>
        <w:t>Confidential Information</w:t>
      </w:r>
      <w:r w:rsidRPr="00A213B8">
        <w:rPr>
          <w:rFonts w:cs="Arial"/>
          <w:u w:val="none"/>
        </w:rPr>
        <w:t xml:space="preserve">: </w:t>
      </w:r>
      <w:r w:rsidRPr="00A213B8">
        <w:rPr>
          <w:rFonts w:cs="Arial"/>
          <w:b w:val="0"/>
          <w:u w:val="none"/>
        </w:rPr>
        <w:t>Business or technical information rightfully in the possession of either Party</w:t>
      </w:r>
      <w:r w:rsidRPr="00A213B8" w:rsidDel="00F20C96">
        <w:rPr>
          <w:rFonts w:cs="Arial"/>
          <w:b w:val="0"/>
          <w:u w:val="none"/>
        </w:rPr>
        <w:t xml:space="preserve"> </w:t>
      </w:r>
      <w:r w:rsidRPr="00A213B8">
        <w:rPr>
          <w:rFonts w:cs="Arial"/>
          <w:b w:val="0"/>
          <w:u w:val="none"/>
        </w:rPr>
        <w:t xml:space="preserve">that derives actual or potential commercial value from not being generally known or readily ascertainable through independent development or reverse engineering by Person(s) who can obtain economic value from its disclosure or use, including information furnished or disclosed by the disclosing Party or another Person on behalf of the disclosing Party to the other Party in connection with discussions leading up to execution of this PPA, including this PPA. </w:t>
      </w:r>
      <w:r w:rsidRPr="00A213B8" w:rsidR="00DD754C">
        <w:rPr>
          <w:rFonts w:cs="Arial"/>
          <w:b w:val="0"/>
          <w:u w:val="none"/>
        </w:rPr>
        <w:t>Seller</w:t>
      </w:r>
      <w:r w:rsidRPr="00A213B8" w:rsidDel="002E08EE">
        <w:rPr>
          <w:rFonts w:cs="Arial"/>
          <w:b w:val="0"/>
          <w:u w:val="none"/>
        </w:rPr>
        <w:t xml:space="preserve"> must designate Confidential Information as confidential in writing </w:t>
      </w:r>
      <w:r w:rsidRPr="00A213B8">
        <w:rPr>
          <w:rFonts w:cs="Arial"/>
          <w:b w:val="0"/>
          <w:u w:val="none"/>
        </w:rPr>
        <w:t>on each page of a document</w:t>
      </w:r>
      <w:r w:rsidRPr="00A213B8" w:rsidDel="002E08EE">
        <w:rPr>
          <w:rFonts w:cs="Arial"/>
          <w:b w:val="0"/>
          <w:u w:val="none"/>
        </w:rPr>
        <w:t xml:space="preserve"> contemporaneously with </w:t>
      </w:r>
      <w:r w:rsidRPr="00A213B8" w:rsidR="00DD754C">
        <w:rPr>
          <w:rFonts w:cs="Arial"/>
          <w:b w:val="0"/>
          <w:u w:val="none"/>
        </w:rPr>
        <w:t>Seller’s</w:t>
      </w:r>
      <w:r w:rsidRPr="00A213B8" w:rsidDel="002E08EE">
        <w:rPr>
          <w:rFonts w:cs="Arial"/>
          <w:b w:val="0"/>
          <w:u w:val="none"/>
        </w:rPr>
        <w:t xml:space="preserve"> supply of the information. </w:t>
      </w:r>
      <w:r w:rsidRPr="00A213B8">
        <w:rPr>
          <w:rFonts w:cs="Arial"/>
          <w:b w:val="0"/>
          <w:u w:val="none"/>
        </w:rPr>
        <w:t xml:space="preserve">Confidential Information does not include information that: (i) is or becomes publicly available other than because of a violation of this PPA; (ii) was, at the time of the disclosure, already in the receiving Party’s possession; (iii) is disclosed to </w:t>
      </w:r>
      <w:r w:rsidRPr="00A213B8" w:rsidDel="001F6B1F">
        <w:rPr>
          <w:rFonts w:cs="Arial"/>
          <w:b w:val="0"/>
          <w:u w:val="none"/>
        </w:rPr>
        <w:t xml:space="preserve">the </w:t>
      </w:r>
      <w:r w:rsidRPr="00A213B8">
        <w:rPr>
          <w:rFonts w:cs="Arial"/>
          <w:b w:val="0"/>
          <w:u w:val="none"/>
        </w:rPr>
        <w:t>r</w:t>
      </w:r>
      <w:r w:rsidRPr="00A213B8" w:rsidDel="001F6B1F">
        <w:rPr>
          <w:rFonts w:cs="Arial"/>
          <w:b w:val="0"/>
          <w:u w:val="none"/>
        </w:rPr>
        <w:t xml:space="preserve">eceiving Party </w:t>
      </w:r>
      <w:r w:rsidRPr="00A213B8">
        <w:rPr>
          <w:rFonts w:cs="Arial"/>
          <w:b w:val="0"/>
          <w:u w:val="none"/>
        </w:rPr>
        <w:t xml:space="preserve">by a third party who, to </w:t>
      </w:r>
      <w:r w:rsidRPr="00A213B8" w:rsidDel="001F6B1F">
        <w:rPr>
          <w:rFonts w:cs="Arial"/>
          <w:b w:val="0"/>
          <w:u w:val="none"/>
        </w:rPr>
        <w:t xml:space="preserve">the </w:t>
      </w:r>
      <w:r w:rsidRPr="00A213B8">
        <w:rPr>
          <w:rFonts w:cs="Arial"/>
          <w:b w:val="0"/>
          <w:u w:val="none"/>
        </w:rPr>
        <w:t>r</w:t>
      </w:r>
      <w:r w:rsidRPr="00A213B8" w:rsidDel="001F6B1F">
        <w:rPr>
          <w:rFonts w:cs="Arial"/>
          <w:b w:val="0"/>
          <w:u w:val="none"/>
        </w:rPr>
        <w:t>eceiving Party’s</w:t>
      </w:r>
      <w:r w:rsidRPr="00A213B8">
        <w:rPr>
          <w:rFonts w:cs="Arial"/>
          <w:b w:val="0"/>
          <w:u w:val="none"/>
        </w:rPr>
        <w:t xml:space="preserve"> knowledge, is not prohibited from disclosing the information under any agreement with the d</w:t>
      </w:r>
      <w:r w:rsidRPr="00A213B8" w:rsidDel="001F6B1F">
        <w:rPr>
          <w:rFonts w:cs="Arial"/>
          <w:b w:val="0"/>
          <w:u w:val="none"/>
        </w:rPr>
        <w:t>isclosing Party</w:t>
      </w:r>
      <w:r w:rsidRPr="00A213B8">
        <w:rPr>
          <w:rFonts w:cs="Arial"/>
          <w:b w:val="0"/>
          <w:u w:val="none"/>
        </w:rPr>
        <w:t xml:space="preserve">; (iv) </w:t>
      </w:r>
      <w:r w:rsidRPr="00A213B8" w:rsidDel="001F6B1F">
        <w:rPr>
          <w:rFonts w:cs="Arial"/>
          <w:b w:val="0"/>
          <w:u w:val="none"/>
        </w:rPr>
        <w:t xml:space="preserve">the </w:t>
      </w:r>
      <w:r w:rsidRPr="00A213B8">
        <w:rPr>
          <w:rFonts w:cs="Arial"/>
          <w:b w:val="0"/>
          <w:u w:val="none"/>
        </w:rPr>
        <w:t>r</w:t>
      </w:r>
      <w:r w:rsidRPr="00A213B8" w:rsidDel="001F6B1F">
        <w:rPr>
          <w:rFonts w:cs="Arial"/>
          <w:b w:val="0"/>
          <w:u w:val="none"/>
        </w:rPr>
        <w:t>eceiving Party</w:t>
      </w:r>
      <w:r w:rsidRPr="00A213B8">
        <w:rPr>
          <w:rFonts w:cs="Arial"/>
          <w:b w:val="0"/>
          <w:u w:val="none"/>
        </w:rPr>
        <w:t xml:space="preserve"> develops or derives without the aid, application or use of the privileged or proprietary information; or (v) </w:t>
      </w:r>
      <w:r w:rsidRPr="00A213B8" w:rsidDel="001F6B1F">
        <w:rPr>
          <w:rFonts w:cs="Arial"/>
          <w:b w:val="0"/>
          <w:u w:val="none"/>
        </w:rPr>
        <w:t xml:space="preserve">the </w:t>
      </w:r>
      <w:r w:rsidRPr="00A213B8">
        <w:rPr>
          <w:rFonts w:cs="Arial"/>
          <w:b w:val="0"/>
          <w:u w:val="none"/>
        </w:rPr>
        <w:t>r</w:t>
      </w:r>
      <w:r w:rsidRPr="00A213B8" w:rsidDel="001F6B1F">
        <w:rPr>
          <w:rFonts w:cs="Arial"/>
          <w:b w:val="0"/>
          <w:u w:val="none"/>
        </w:rPr>
        <w:t>eceiving Party</w:t>
      </w:r>
      <w:r w:rsidRPr="00A213B8">
        <w:rPr>
          <w:rFonts w:cs="Arial"/>
          <w:b w:val="0"/>
          <w:u w:val="none"/>
        </w:rPr>
        <w:t xml:space="preserve"> is required to disclose in accordance with applicable law.</w:t>
      </w:r>
    </w:p>
    <w:p w:rsidRPr="00A213B8" w:rsidR="002D54C4" w:rsidP="00261AEB" w:rsidRDefault="002D54C4" w14:paraId="67C06542" w14:textId="712F06F4">
      <w:pPr>
        <w:pStyle w:val="Heading3"/>
        <w:keepNext w:val="0"/>
        <w:keepLines w:val="0"/>
        <w:widowControl w:val="0"/>
        <w:spacing w:before="120"/>
        <w:rPr>
          <w:rFonts w:cs="Arial"/>
          <w:b w:val="0"/>
          <w:u w:val="none"/>
        </w:rPr>
      </w:pPr>
      <w:r w:rsidRPr="00A213B8">
        <w:rPr>
          <w:rFonts w:cs="Arial"/>
        </w:rPr>
        <w:t>Consent</w:t>
      </w:r>
      <w:r w:rsidRPr="00A213B8">
        <w:rPr>
          <w:rFonts w:cs="Arial"/>
          <w:u w:val="none"/>
        </w:rPr>
        <w:t xml:space="preserve">: </w:t>
      </w:r>
      <w:r w:rsidRPr="00A213B8">
        <w:rPr>
          <w:rFonts w:cs="Arial"/>
          <w:b w:val="0"/>
          <w:u w:val="none"/>
        </w:rPr>
        <w:t>Any approval, consent, authorization, or other applicable requirement that is required regarding the Project or Facility from any Governmental Authority, including all applicable environmental certificates, licenses, permits, and approvals, and any federal or state compliance program that GPC is or becomes subject to at any time during the Term.</w:t>
      </w:r>
    </w:p>
    <w:p w:rsidRPr="00261AEB" w:rsidR="00840689" w:rsidP="00261AEB" w:rsidRDefault="00D21C23" w14:paraId="786DD175" w14:textId="68AA4961">
      <w:pPr>
        <w:pStyle w:val="Heading3"/>
        <w:keepNext w:val="0"/>
        <w:keepLines w:val="0"/>
        <w:spacing w:before="120"/>
        <w:rPr>
          <w:b w:val="0"/>
        </w:rPr>
      </w:pPr>
      <w:r w:rsidRPr="00A213B8">
        <w:rPr>
          <w:rFonts w:cs="Arial"/>
        </w:rPr>
        <w:t>Contract</w:t>
      </w:r>
      <w:r w:rsidRPr="00A213B8" w:rsidR="00CD676E">
        <w:rPr>
          <w:rFonts w:cs="Arial"/>
        </w:rPr>
        <w:t>ed</w:t>
      </w:r>
      <w:r w:rsidRPr="00A213B8" w:rsidR="00A834C1">
        <w:rPr>
          <w:rFonts w:cs="Arial"/>
        </w:rPr>
        <w:t xml:space="preserve"> Capacity</w:t>
      </w:r>
      <w:r w:rsidRPr="00A213B8" w:rsidR="00A834C1">
        <w:rPr>
          <w:rFonts w:cs="Arial"/>
          <w:u w:val="none"/>
        </w:rPr>
        <w:t xml:space="preserve">: </w:t>
      </w:r>
      <w:r w:rsidRPr="00A213B8" w:rsidR="009605C9">
        <w:rPr>
          <w:rFonts w:cs="Arial"/>
          <w:b w:val="0"/>
          <w:u w:val="none"/>
        </w:rPr>
        <w:t xml:space="preserve">The Storage Device Design </w:t>
      </w:r>
      <w:r w:rsidRPr="00A213B8" w:rsidR="00C17FB3">
        <w:rPr>
          <w:rFonts w:cs="Arial"/>
          <w:b w:val="0"/>
          <w:u w:val="none"/>
        </w:rPr>
        <w:t>Capacity established at the Effective Date and as stated in Table A-</w:t>
      </w:r>
      <w:r w:rsidRPr="00A213B8" w:rsidR="00D63C92">
        <w:rPr>
          <w:rFonts w:cs="Arial"/>
          <w:b w:val="0"/>
          <w:u w:val="none"/>
        </w:rPr>
        <w:t>3</w:t>
      </w:r>
      <w:r w:rsidRPr="00A213B8" w:rsidR="00C17FB3">
        <w:rPr>
          <w:rFonts w:cs="Arial"/>
          <w:b w:val="0"/>
          <w:u w:val="none"/>
        </w:rPr>
        <w:t xml:space="preserve"> </w:t>
      </w:r>
      <w:r w:rsidRPr="00A213B8" w:rsidR="00D677E5">
        <w:rPr>
          <w:rFonts w:cs="Arial"/>
          <w:b w:val="0"/>
          <w:u w:val="none"/>
        </w:rPr>
        <w:t>(</w:t>
      </w:r>
      <w:r w:rsidRPr="00A213B8" w:rsidR="00D677E5">
        <w:rPr>
          <w:rFonts w:cs="Arial"/>
          <w:b w:val="0"/>
          <w:i/>
          <w:iCs/>
          <w:u w:val="none"/>
        </w:rPr>
        <w:t>Additional Facility and Operating Information</w:t>
      </w:r>
      <w:r w:rsidRPr="00A213B8" w:rsidR="00D677E5">
        <w:rPr>
          <w:rFonts w:cs="Arial"/>
          <w:b w:val="0"/>
          <w:u w:val="none"/>
        </w:rPr>
        <w:t xml:space="preserve">) </w:t>
      </w:r>
      <w:r w:rsidRPr="00A213B8" w:rsidR="00C17FB3">
        <w:rPr>
          <w:rFonts w:cs="Arial"/>
          <w:b w:val="0"/>
          <w:u w:val="none"/>
        </w:rPr>
        <w:t>of Exhibit A (</w:t>
      </w:r>
      <w:r w:rsidRPr="00A213B8" w:rsidR="00C17FB3">
        <w:rPr>
          <w:rFonts w:cs="Arial"/>
          <w:b w:val="0"/>
          <w:i/>
          <w:u w:val="none"/>
        </w:rPr>
        <w:t>F</w:t>
      </w:r>
      <w:r w:rsidRPr="00A213B8" w:rsidR="00F72694">
        <w:rPr>
          <w:rFonts w:cs="Arial"/>
          <w:b w:val="0"/>
          <w:i/>
          <w:u w:val="none"/>
        </w:rPr>
        <w:t>acility Descript</w:t>
      </w:r>
      <w:r w:rsidRPr="00A213B8" w:rsidR="00B5623B">
        <w:rPr>
          <w:rFonts w:cs="Arial"/>
          <w:b w:val="0"/>
          <w:i/>
          <w:u w:val="none"/>
        </w:rPr>
        <w:t>ion</w:t>
      </w:r>
      <w:r w:rsidRPr="00A213B8" w:rsidR="00F72694">
        <w:rPr>
          <w:rFonts w:cs="Arial"/>
          <w:b w:val="0"/>
          <w:i/>
          <w:u w:val="none"/>
        </w:rPr>
        <w:t xml:space="preserve"> and </w:t>
      </w:r>
      <w:r w:rsidRPr="00A213B8" w:rsidR="00511066">
        <w:rPr>
          <w:rFonts w:cs="Arial"/>
          <w:b w:val="0"/>
          <w:i/>
          <w:u w:val="none"/>
        </w:rPr>
        <w:t>Additional Details</w:t>
      </w:r>
      <w:r w:rsidRPr="00A213B8" w:rsidR="00F72694">
        <w:rPr>
          <w:rFonts w:cs="Arial"/>
          <w:b w:val="0"/>
          <w:u w:val="none"/>
        </w:rPr>
        <w:t>)</w:t>
      </w:r>
      <w:r w:rsidRPr="00A213B8" w:rsidR="00C33615">
        <w:rPr>
          <w:rFonts w:cs="Arial"/>
          <w:b w:val="0"/>
          <w:bCs w:val="0"/>
          <w:u w:val="none"/>
        </w:rPr>
        <w:t>.</w:t>
      </w:r>
      <w:r w:rsidRPr="00A213B8" w:rsidR="00F72694">
        <w:rPr>
          <w:rFonts w:cs="Arial"/>
          <w:b w:val="0"/>
          <w:bCs w:val="0"/>
        </w:rPr>
        <w:t xml:space="preserve"> </w:t>
      </w:r>
    </w:p>
    <w:p w:rsidRPr="00A213B8" w:rsidR="001856C4" w:rsidP="000432D0" w:rsidRDefault="001856C4" w14:paraId="6D5133CA" w14:textId="29075814">
      <w:pPr>
        <w:spacing w:before="120" w:after="120" w:line="240" w:lineRule="auto"/>
        <w:rPr>
          <w:rFonts w:ascii="Arial" w:hAnsi="Arial" w:cs="Arial"/>
          <w:sz w:val="20"/>
          <w:szCs w:val="20"/>
        </w:rPr>
      </w:pPr>
      <w:r w:rsidRPr="00A213B8">
        <w:rPr>
          <w:rFonts w:ascii="Arial" w:hAnsi="Arial" w:cs="Arial"/>
          <w:b/>
          <w:bCs/>
          <w:sz w:val="20"/>
          <w:szCs w:val="20"/>
          <w:u w:val="single"/>
        </w:rPr>
        <w:t>Costs:</w:t>
      </w:r>
      <w:r w:rsidRPr="00A213B8">
        <w:rPr>
          <w:rFonts w:ascii="Arial" w:hAnsi="Arial" w:cs="Arial"/>
          <w:sz w:val="20"/>
          <w:szCs w:val="20"/>
        </w:rPr>
        <w:t xml:space="preserve"> As defined in Section 16.3.3 (</w:t>
      </w:r>
      <w:r w:rsidRPr="00A213B8">
        <w:rPr>
          <w:rFonts w:ascii="Arial" w:hAnsi="Arial" w:cs="Arial"/>
          <w:i/>
          <w:iCs/>
          <w:sz w:val="20"/>
          <w:szCs w:val="20"/>
        </w:rPr>
        <w:t>Determining Gains, Losses, and Costs</w:t>
      </w:r>
      <w:r w:rsidRPr="00A213B8">
        <w:rPr>
          <w:rFonts w:ascii="Arial" w:hAnsi="Arial" w:cs="Arial"/>
          <w:sz w:val="20"/>
          <w:szCs w:val="20"/>
        </w:rPr>
        <w:t>).</w:t>
      </w:r>
    </w:p>
    <w:p w:rsidRPr="00A213B8" w:rsidR="002D54C4" w:rsidP="00261AEB" w:rsidRDefault="002D54C4" w14:paraId="34C93204" w14:textId="0BEBB9D7">
      <w:pPr>
        <w:pStyle w:val="Heading3"/>
        <w:keepNext w:val="0"/>
        <w:keepLines w:val="0"/>
        <w:widowControl w:val="0"/>
        <w:spacing w:before="120"/>
        <w:rPr>
          <w:rFonts w:cs="Arial"/>
        </w:rPr>
      </w:pPr>
      <w:r w:rsidRPr="00A213B8">
        <w:rPr>
          <w:rFonts w:cs="Arial"/>
        </w:rPr>
        <w:t>CPT</w:t>
      </w:r>
      <w:r w:rsidRPr="00A213B8">
        <w:rPr>
          <w:rFonts w:cs="Arial"/>
          <w:u w:val="none"/>
        </w:rPr>
        <w:t>:</w:t>
      </w:r>
      <w:r w:rsidRPr="00A213B8" w:rsidDel="0095330D">
        <w:rPr>
          <w:rFonts w:cs="Arial"/>
          <w:u w:val="none"/>
        </w:rPr>
        <w:t xml:space="preserve"> </w:t>
      </w:r>
      <w:r w:rsidRPr="00A213B8">
        <w:rPr>
          <w:rFonts w:cs="Arial"/>
          <w:b w:val="0"/>
          <w:u w:val="none"/>
        </w:rPr>
        <w:t xml:space="preserve">See </w:t>
      </w:r>
      <w:r w:rsidRPr="00A213B8">
        <w:rPr>
          <w:rFonts w:cs="Arial"/>
          <w:b w:val="0"/>
          <w:i/>
          <w:u w:val="none"/>
        </w:rPr>
        <w:t>Central Prevailing Time</w:t>
      </w:r>
      <w:r w:rsidRPr="00A213B8">
        <w:rPr>
          <w:rFonts w:cs="Arial"/>
          <w:b w:val="0"/>
          <w:u w:val="none"/>
        </w:rPr>
        <w:t>.</w:t>
      </w:r>
    </w:p>
    <w:p w:rsidRPr="00A213B8" w:rsidR="002D54C4" w:rsidP="00261AEB" w:rsidRDefault="002D54C4" w14:paraId="2590853E" w14:textId="5284739E">
      <w:pPr>
        <w:pStyle w:val="Heading3"/>
        <w:keepNext w:val="0"/>
        <w:keepLines w:val="0"/>
        <w:widowControl w:val="0"/>
        <w:spacing w:before="120"/>
        <w:rPr>
          <w:rFonts w:cs="Arial"/>
        </w:rPr>
      </w:pPr>
      <w:r w:rsidRPr="00A213B8">
        <w:rPr>
          <w:rFonts w:cs="Arial"/>
        </w:rPr>
        <w:t>Creditworthy or Creditworthiness</w:t>
      </w:r>
      <w:r w:rsidRPr="00A213B8">
        <w:rPr>
          <w:rFonts w:cs="Arial"/>
          <w:u w:val="none"/>
        </w:rPr>
        <w:t xml:space="preserve">: </w:t>
      </w:r>
      <w:r w:rsidRPr="00515894" w:rsidR="00515894">
        <w:rPr>
          <w:b w:val="0"/>
          <w:bCs w:val="0"/>
          <w:u w:val="none"/>
        </w:rPr>
        <w:t xml:space="preserve">With respect to a Person, the Person has (i) a senior unsecured debt rating, or if the Person has no senior unsecured debt rating, an issuer rating from two of the Rating Agencies above: (a) BBB+ by S&amp;P, if rated by S&amp;P; (b) Baa1 by Moody’s, if rated by Moody’s; and (c) BBB+ by Fitch, if rated by Fitch, respectively; or (ii) (1) a senior unsecured debt rating or, if the Person has no senior unsecured debt rating, an issuer rating from two of the Rating Agencies of at least: (x) BBB- by S&amp;P, if rated by S&amp;P; (y) Baa3 by Moody’s, if rated by Moody’s; and (z) BBB- by Fitch, if rated by Fitch, respectively; and (2) </w:t>
      </w:r>
      <w:r w:rsidRPr="00515894" w:rsidR="00515894">
        <w:rPr>
          <w:rFonts w:cs="Arial"/>
          <w:b w:val="0"/>
          <w:bCs w:val="0"/>
          <w:u w:val="none"/>
        </w:rPr>
        <w:t xml:space="preserve">satisfactory </w:t>
      </w:r>
      <w:r w:rsidRPr="00515894" w:rsidR="00515894">
        <w:rPr>
          <w:b w:val="0"/>
          <w:bCs w:val="0"/>
          <w:u w:val="none"/>
        </w:rPr>
        <w:t xml:space="preserve">and verifiable </w:t>
      </w:r>
      <w:r w:rsidRPr="00515894" w:rsidR="00515894">
        <w:rPr>
          <w:rFonts w:cs="Arial"/>
          <w:b w:val="0"/>
          <w:bCs w:val="0"/>
          <w:u w:val="none"/>
        </w:rPr>
        <w:t xml:space="preserve">creditworthiness </w:t>
      </w:r>
      <w:r w:rsidRPr="00515894" w:rsidR="00515894">
        <w:rPr>
          <w:b w:val="0"/>
          <w:bCs w:val="0"/>
          <w:u w:val="none"/>
        </w:rPr>
        <w:t>determined in GPC’s reasonable discretion.</w:t>
      </w:r>
      <w:r w:rsidRPr="00515894" w:rsidR="00515894">
        <w:rPr>
          <w:rFonts w:eastAsia="Times New Roman" w:cs="Arial"/>
          <w:b w:val="0"/>
          <w:bCs w:val="0"/>
          <w:color w:val="000000" w:themeColor="text1"/>
          <w:u w:val="none"/>
        </w:rPr>
        <w:t xml:space="preserve"> </w:t>
      </w:r>
    </w:p>
    <w:p w:rsidRPr="00A213B8" w:rsidR="0082428B" w:rsidP="000432D0" w:rsidRDefault="00971AB8" w14:paraId="0F61C631" w14:textId="45AFFC81">
      <w:pPr>
        <w:spacing w:before="120" w:after="120" w:line="240" w:lineRule="auto"/>
        <w:rPr>
          <w:rFonts w:ascii="Arial" w:hAnsi="Arial" w:cs="Arial"/>
          <w:sz w:val="20"/>
          <w:szCs w:val="20"/>
        </w:rPr>
      </w:pPr>
      <w:r w:rsidRPr="00A213B8">
        <w:rPr>
          <w:rFonts w:ascii="Arial" w:hAnsi="Arial" w:cs="Arial"/>
          <w:b/>
          <w:bCs/>
          <w:sz w:val="20"/>
          <w:szCs w:val="20"/>
          <w:u w:val="single"/>
        </w:rPr>
        <w:t>Cure Certification</w:t>
      </w:r>
      <w:r w:rsidRPr="00A213B8">
        <w:rPr>
          <w:rFonts w:ascii="Arial" w:hAnsi="Arial" w:cs="Arial"/>
          <w:sz w:val="20"/>
          <w:szCs w:val="20"/>
        </w:rPr>
        <w:t>: As defined in Section 16.1.8(iii) (</w:t>
      </w:r>
      <w:r w:rsidRPr="00A213B8">
        <w:rPr>
          <w:rFonts w:ascii="Arial" w:hAnsi="Arial" w:cs="Arial"/>
          <w:i/>
          <w:iCs/>
          <w:sz w:val="20"/>
          <w:szCs w:val="20"/>
        </w:rPr>
        <w:t>Storage Performance Metric Achieved Below .60</w:t>
      </w:r>
      <w:r w:rsidRPr="00A213B8">
        <w:rPr>
          <w:rFonts w:ascii="Arial" w:hAnsi="Arial" w:cs="Arial"/>
          <w:sz w:val="20"/>
          <w:szCs w:val="20"/>
        </w:rPr>
        <w:t>).</w:t>
      </w:r>
    </w:p>
    <w:p w:rsidRPr="00A213B8" w:rsidR="002D54C4" w:rsidP="00261AEB" w:rsidRDefault="002D54C4" w14:paraId="3454616F" w14:textId="03420CED">
      <w:pPr>
        <w:pStyle w:val="Heading3"/>
        <w:keepNext w:val="0"/>
        <w:keepLines w:val="0"/>
        <w:widowControl w:val="0"/>
        <w:spacing w:before="120"/>
        <w:rPr>
          <w:rFonts w:cs="Arial"/>
        </w:rPr>
      </w:pPr>
      <w:r w:rsidRPr="00A213B8">
        <w:rPr>
          <w:rFonts w:cs="Arial"/>
        </w:rPr>
        <w:t>Cure Period</w:t>
      </w:r>
      <w:r w:rsidRPr="00A213B8">
        <w:rPr>
          <w:rFonts w:cs="Arial"/>
          <w:u w:val="none"/>
        </w:rPr>
        <w:t>:</w:t>
      </w:r>
      <w:r w:rsidRPr="00A213B8">
        <w:rPr>
          <w:rFonts w:cs="Arial" w:eastAsiaTheme="minorEastAsia"/>
          <w:b w:val="0"/>
          <w:kern w:val="14"/>
          <w:u w:val="none"/>
        </w:rPr>
        <w:t xml:space="preserve"> </w:t>
      </w:r>
      <w:r w:rsidRPr="00A213B8" w:rsidR="001223C4">
        <w:rPr>
          <w:rFonts w:cs="Arial"/>
          <w:b w:val="0"/>
          <w:u w:val="none"/>
        </w:rPr>
        <w:t xml:space="preserve">The reasonable period within which Seller must </w:t>
      </w:r>
      <w:r w:rsidR="006474E7">
        <w:rPr>
          <w:rFonts w:cs="Arial"/>
          <w:b w:val="0"/>
          <w:u w:val="none"/>
        </w:rPr>
        <w:t xml:space="preserve">(i) cure an Event </w:t>
      </w:r>
      <w:r w:rsidRPr="00AE452E" w:rsidR="00AE452E">
        <w:rPr>
          <w:rFonts w:cs="Arial"/>
          <w:b w:val="0"/>
          <w:u w:val="none"/>
        </w:rPr>
        <w:t>of Default arising from inadequate Storage Performance Metric Achieved in accordance with Section 16.1.8 (</w:t>
      </w:r>
      <w:r w:rsidRPr="004F5768" w:rsidR="00AE452E">
        <w:rPr>
          <w:rFonts w:cs="Arial"/>
          <w:b w:val="0"/>
          <w:i/>
          <w:iCs/>
          <w:u w:val="none"/>
        </w:rPr>
        <w:t>Storage Performance Metric Achieved Below .60</w:t>
      </w:r>
      <w:r w:rsidRPr="00AE452E" w:rsidR="00AE452E">
        <w:rPr>
          <w:rFonts w:cs="Arial"/>
          <w:b w:val="0"/>
          <w:u w:val="none"/>
        </w:rPr>
        <w:t>), which must not exceed 180 Days from when the default first occurred unless extended in accordance with Section 16.1.8(ii); or (ii)</w:t>
      </w:r>
      <w:r w:rsidR="00AE452E">
        <w:rPr>
          <w:rFonts w:cs="Arial"/>
          <w:b w:val="0"/>
          <w:u w:val="none"/>
        </w:rPr>
        <w:t xml:space="preserve"> </w:t>
      </w:r>
      <w:r w:rsidRPr="00A213B8" w:rsidR="001223C4">
        <w:rPr>
          <w:rFonts w:cs="Arial"/>
          <w:b w:val="0"/>
          <w:u w:val="none"/>
        </w:rPr>
        <w:t xml:space="preserve">cure an inadequate Tested Storage Capacity in </w:t>
      </w:r>
      <w:r w:rsidRPr="00A213B8" w:rsidR="001223C4">
        <w:rPr>
          <w:rFonts w:cs="Arial"/>
          <w:b w:val="0"/>
          <w:u w:val="none"/>
        </w:rPr>
        <w:lastRenderedPageBreak/>
        <w:t>accordance with Section 16.1.</w:t>
      </w:r>
      <w:r w:rsidRPr="00A213B8" w:rsidR="00C54F58">
        <w:rPr>
          <w:rFonts w:cs="Arial"/>
          <w:b w:val="0"/>
          <w:u w:val="none"/>
        </w:rPr>
        <w:t>9</w:t>
      </w:r>
      <w:r w:rsidRPr="00A213B8" w:rsidR="001223C4">
        <w:rPr>
          <w:rFonts w:cs="Arial"/>
          <w:b w:val="0"/>
          <w:u w:val="none"/>
        </w:rPr>
        <w:t xml:space="preserve"> (</w:t>
      </w:r>
      <w:r w:rsidRPr="00A213B8" w:rsidR="002B6ADA">
        <w:rPr>
          <w:rFonts w:cs="Arial"/>
          <w:b w:val="0"/>
          <w:i/>
          <w:u w:val="none"/>
        </w:rPr>
        <w:t>Tested Storage Capacity Below 70% Contracted Capacity; Cure; Remedies</w:t>
      </w:r>
      <w:r w:rsidRPr="00A213B8" w:rsidR="001223C4">
        <w:rPr>
          <w:rFonts w:cs="Arial"/>
          <w:b w:val="0"/>
          <w:u w:val="none"/>
        </w:rPr>
        <w:t xml:space="preserve">) or </w:t>
      </w:r>
      <w:r w:rsidRPr="00A213B8" w:rsidR="0038289E">
        <w:rPr>
          <w:rFonts w:cs="Arial"/>
          <w:b w:val="0"/>
          <w:u w:val="none"/>
        </w:rPr>
        <w:t>Section 1.3.1 (</w:t>
      </w:r>
      <w:r w:rsidRPr="00534192" w:rsidR="0038289E">
        <w:rPr>
          <w:b w:val="0"/>
          <w:i/>
          <w:u w:val="none"/>
        </w:rPr>
        <w:t>Cure Plan and Cure Period</w:t>
      </w:r>
      <w:r w:rsidRPr="00A213B8" w:rsidR="0038289E">
        <w:rPr>
          <w:rFonts w:cs="Arial"/>
          <w:b w:val="0"/>
          <w:u w:val="none"/>
        </w:rPr>
        <w:t>) of Exhibit B (</w:t>
      </w:r>
      <w:r w:rsidRPr="00A213B8" w:rsidR="0038289E">
        <w:rPr>
          <w:rFonts w:cs="Arial"/>
          <w:b w:val="0"/>
          <w:i/>
          <w:u w:val="none"/>
        </w:rPr>
        <w:t>Capacity; Capacity Payments and Payment Reductions; Buydown</w:t>
      </w:r>
      <w:r w:rsidRPr="00A213B8" w:rsidR="0038289E">
        <w:rPr>
          <w:rFonts w:cs="Arial"/>
          <w:b w:val="0"/>
          <w:u w:val="none"/>
        </w:rPr>
        <w:t>),</w:t>
      </w:r>
      <w:r w:rsidRPr="00A213B8" w:rsidR="0038289E">
        <w:rPr>
          <w:rFonts w:cs="Arial"/>
          <w:b w:val="0"/>
          <w:bCs w:val="0"/>
          <w:u w:val="none"/>
        </w:rPr>
        <w:t xml:space="preserve"> as applicable, which must not exceed 1</w:t>
      </w:r>
      <w:r w:rsidR="008B23AD">
        <w:rPr>
          <w:rFonts w:cs="Arial"/>
          <w:b w:val="0"/>
          <w:bCs w:val="0"/>
          <w:u w:val="none"/>
        </w:rPr>
        <w:t>8</w:t>
      </w:r>
      <w:r w:rsidRPr="00A213B8" w:rsidR="0038289E">
        <w:rPr>
          <w:rFonts w:cs="Arial"/>
          <w:b w:val="0"/>
          <w:bCs w:val="0"/>
          <w:u w:val="none"/>
        </w:rPr>
        <w:t xml:space="preserve">0 Days from the completion of the Performance Test unless extended in accordance with </w:t>
      </w:r>
      <w:r w:rsidRPr="00A213B8" w:rsidR="0038289E">
        <w:rPr>
          <w:rFonts w:cs="Arial"/>
          <w:b w:val="0"/>
          <w:u w:val="none"/>
        </w:rPr>
        <w:t xml:space="preserve">PPA Section 16.1.9(i) </w:t>
      </w:r>
      <w:r w:rsidRPr="00A213B8" w:rsidR="004B59B5">
        <w:rPr>
          <w:rFonts w:cs="Arial"/>
          <w:b w:val="0"/>
          <w:bCs w:val="0"/>
          <w:u w:val="none"/>
        </w:rPr>
        <w:t>(</w:t>
      </w:r>
      <w:r w:rsidRPr="00A213B8" w:rsidR="004B59B5">
        <w:rPr>
          <w:rFonts w:cs="Arial"/>
          <w:b w:val="0"/>
          <w:bCs w:val="0"/>
          <w:i/>
          <w:iCs/>
          <w:u w:val="none"/>
        </w:rPr>
        <w:t>Cure Period Extension</w:t>
      </w:r>
      <w:r w:rsidRPr="00A213B8" w:rsidR="004B59B5">
        <w:rPr>
          <w:rFonts w:cs="Arial"/>
          <w:b w:val="0"/>
          <w:bCs w:val="0"/>
          <w:u w:val="none"/>
        </w:rPr>
        <w:t xml:space="preserve">) </w:t>
      </w:r>
      <w:r w:rsidRPr="00A213B8" w:rsidR="0038289E">
        <w:rPr>
          <w:rFonts w:cs="Arial"/>
          <w:b w:val="0"/>
          <w:bCs w:val="0"/>
          <w:u w:val="none"/>
        </w:rPr>
        <w:t xml:space="preserve">or </w:t>
      </w:r>
      <w:r w:rsidRPr="00A213B8" w:rsidR="0038289E">
        <w:rPr>
          <w:rFonts w:cs="Arial"/>
          <w:b w:val="0"/>
          <w:u w:val="none"/>
        </w:rPr>
        <w:t>Exhibit B, Section 1.3.1.A</w:t>
      </w:r>
      <w:r w:rsidRPr="00A213B8" w:rsidR="004B59B5">
        <w:rPr>
          <w:rFonts w:cs="Arial"/>
          <w:b w:val="0"/>
          <w:u w:val="none"/>
        </w:rPr>
        <w:t xml:space="preserve"> </w:t>
      </w:r>
      <w:r w:rsidRPr="00A213B8" w:rsidR="004B59B5">
        <w:rPr>
          <w:rFonts w:cs="Arial"/>
          <w:b w:val="0"/>
          <w:bCs w:val="0"/>
          <w:u w:val="none"/>
        </w:rPr>
        <w:t>(</w:t>
      </w:r>
      <w:r w:rsidRPr="00A213B8" w:rsidR="004B59B5">
        <w:rPr>
          <w:rFonts w:cs="Arial"/>
          <w:b w:val="0"/>
          <w:bCs w:val="0"/>
          <w:i/>
          <w:iCs/>
          <w:u w:val="none"/>
        </w:rPr>
        <w:t>Cure Period Extension</w:t>
      </w:r>
      <w:r w:rsidRPr="00A213B8" w:rsidR="004B59B5">
        <w:rPr>
          <w:rFonts w:cs="Arial"/>
          <w:b w:val="0"/>
          <w:bCs w:val="0"/>
          <w:u w:val="none"/>
        </w:rPr>
        <w:t>)</w:t>
      </w:r>
      <w:r w:rsidRPr="00A213B8" w:rsidR="00FD1261">
        <w:rPr>
          <w:rFonts w:cs="Arial"/>
          <w:b w:val="0"/>
          <w:u w:val="none"/>
        </w:rPr>
        <w:t>.</w:t>
      </w:r>
    </w:p>
    <w:p w:rsidRPr="00A213B8" w:rsidR="00366C13" w:rsidP="00261AEB" w:rsidRDefault="002D54C4" w14:paraId="78E4E8CE" w14:textId="188EDD52">
      <w:pPr>
        <w:pStyle w:val="Heading3"/>
        <w:keepNext w:val="0"/>
        <w:keepLines w:val="0"/>
        <w:widowControl w:val="0"/>
        <w:spacing w:before="120"/>
        <w:rPr>
          <w:rFonts w:cs="Arial"/>
          <w:b w:val="0"/>
        </w:rPr>
      </w:pPr>
      <w:r w:rsidRPr="00A213B8">
        <w:rPr>
          <w:rFonts w:cs="Arial"/>
        </w:rPr>
        <w:t>Curtailed Renewable Energy</w:t>
      </w:r>
      <w:r w:rsidRPr="00A213B8">
        <w:rPr>
          <w:rFonts w:cs="Arial"/>
          <w:bCs w:val="0"/>
          <w:u w:val="none"/>
        </w:rPr>
        <w:t xml:space="preserve">: </w:t>
      </w:r>
      <w:r w:rsidRPr="00A213B8" w:rsidR="00571F12">
        <w:rPr>
          <w:rFonts w:cs="Arial"/>
          <w:b w:val="0"/>
          <w:u w:val="none"/>
        </w:rPr>
        <w:t xml:space="preserve">Energy that could </w:t>
      </w:r>
      <w:r w:rsidRPr="00A213B8" w:rsidR="00E6571D">
        <w:rPr>
          <w:rFonts w:cs="Arial"/>
          <w:b w:val="0"/>
          <w:u w:val="none"/>
        </w:rPr>
        <w:t xml:space="preserve">have been </w:t>
      </w:r>
      <w:r w:rsidRPr="00A213B8" w:rsidR="00EF6F88">
        <w:rPr>
          <w:rFonts w:cs="Arial"/>
          <w:b w:val="0"/>
          <w:u w:val="none"/>
        </w:rPr>
        <w:t xml:space="preserve">generated and delivered </w:t>
      </w:r>
      <w:r w:rsidRPr="00A213B8" w:rsidR="00250FFC">
        <w:rPr>
          <w:rFonts w:cs="Arial"/>
          <w:b w:val="0"/>
          <w:u w:val="none"/>
        </w:rPr>
        <w:t xml:space="preserve">as </w:t>
      </w:r>
      <w:r w:rsidRPr="00A213B8" w:rsidR="002F13E4">
        <w:rPr>
          <w:rFonts w:cs="Arial"/>
          <w:b w:val="0"/>
          <w:u w:val="none"/>
        </w:rPr>
        <w:t xml:space="preserve">Renewable Energy </w:t>
      </w:r>
      <w:r w:rsidRPr="00A213B8" w:rsidR="003A76DC">
        <w:rPr>
          <w:rFonts w:cs="Arial"/>
          <w:b w:val="0"/>
          <w:u w:val="none"/>
        </w:rPr>
        <w:t xml:space="preserve">but for </w:t>
      </w:r>
      <w:r w:rsidRPr="00A213B8" w:rsidR="00E863E7">
        <w:rPr>
          <w:rFonts w:cs="Arial"/>
          <w:b w:val="0"/>
          <w:u w:val="none"/>
        </w:rPr>
        <w:t xml:space="preserve">an AGC </w:t>
      </w:r>
      <w:r w:rsidRPr="00A213B8" w:rsidR="00843E5D">
        <w:rPr>
          <w:rFonts w:cs="Arial"/>
          <w:b w:val="0"/>
          <w:u w:val="none"/>
        </w:rPr>
        <w:t xml:space="preserve">Setpoint </w:t>
      </w:r>
      <w:r w:rsidRPr="00A213B8" w:rsidR="00E863E7">
        <w:rPr>
          <w:rFonts w:cs="Arial"/>
          <w:b w:val="0"/>
          <w:u w:val="none"/>
        </w:rPr>
        <w:t xml:space="preserve">signal or GPC directive </w:t>
      </w:r>
      <w:r w:rsidRPr="00A213B8" w:rsidR="00456356">
        <w:rPr>
          <w:rFonts w:cs="Arial"/>
          <w:b w:val="0"/>
          <w:u w:val="none"/>
        </w:rPr>
        <w:t>dispatching the Renewable Resource below the Potential High Limit.</w:t>
      </w:r>
      <w:r w:rsidRPr="00A213B8" w:rsidR="001777A7">
        <w:rPr>
          <w:rFonts w:cs="Arial"/>
          <w:b w:val="0"/>
          <w:bCs w:val="0"/>
          <w:u w:val="none"/>
        </w:rPr>
        <w:t xml:space="preserve"> The amount of Curtailed Renewable Energy </w:t>
      </w:r>
      <w:r w:rsidRPr="00A213B8" w:rsidR="00655525">
        <w:rPr>
          <w:rFonts w:cs="Arial"/>
          <w:b w:val="0"/>
          <w:bCs w:val="0"/>
          <w:u w:val="none"/>
        </w:rPr>
        <w:t xml:space="preserve">will be determined based </w:t>
      </w:r>
      <w:r w:rsidRPr="00A213B8" w:rsidR="00E256A7">
        <w:rPr>
          <w:rFonts w:cs="Arial"/>
          <w:b w:val="0"/>
          <w:bCs w:val="0"/>
          <w:u w:val="none"/>
        </w:rPr>
        <w:t>o</w:t>
      </w:r>
      <w:r w:rsidRPr="00A213B8" w:rsidR="00FC5898">
        <w:rPr>
          <w:rFonts w:cs="Arial"/>
          <w:b w:val="0"/>
          <w:bCs w:val="0"/>
          <w:u w:val="none"/>
        </w:rPr>
        <w:t>n</w:t>
      </w:r>
      <w:r w:rsidRPr="00A213B8" w:rsidR="00E256A7">
        <w:rPr>
          <w:rFonts w:cs="Arial"/>
          <w:b w:val="0"/>
          <w:bCs w:val="0"/>
          <w:u w:val="none"/>
        </w:rPr>
        <w:t xml:space="preserve"> </w:t>
      </w:r>
      <w:r w:rsidRPr="00A213B8" w:rsidR="00655525">
        <w:rPr>
          <w:rFonts w:cs="Arial"/>
          <w:b w:val="0"/>
          <w:bCs w:val="0"/>
          <w:u w:val="none"/>
        </w:rPr>
        <w:t>the differen</w:t>
      </w:r>
      <w:r w:rsidRPr="00A213B8" w:rsidR="00A750AC">
        <w:rPr>
          <w:rFonts w:cs="Arial"/>
          <w:b w:val="0"/>
          <w:bCs w:val="0"/>
          <w:u w:val="none"/>
        </w:rPr>
        <w:t>ce</w:t>
      </w:r>
      <w:r w:rsidRPr="00A213B8" w:rsidR="00F22819">
        <w:rPr>
          <w:rFonts w:cs="Arial"/>
          <w:b w:val="0"/>
          <w:bCs w:val="0"/>
          <w:u w:val="none"/>
        </w:rPr>
        <w:t>, during a Curtailment,</w:t>
      </w:r>
      <w:r w:rsidRPr="00A213B8" w:rsidR="00655525">
        <w:rPr>
          <w:rFonts w:cs="Arial"/>
          <w:b w:val="0"/>
          <w:bCs w:val="0"/>
          <w:u w:val="none"/>
        </w:rPr>
        <w:t xml:space="preserve"> between </w:t>
      </w:r>
      <w:r w:rsidRPr="00A213B8" w:rsidR="00BB2F91">
        <w:rPr>
          <w:rFonts w:cs="Arial"/>
          <w:b w:val="0"/>
          <w:bCs w:val="0"/>
          <w:u w:val="none"/>
        </w:rPr>
        <w:t xml:space="preserve">the Potential High Limit and </w:t>
      </w:r>
      <w:r w:rsidRPr="00A213B8" w:rsidR="00F73B5F">
        <w:rPr>
          <w:rFonts w:cs="Arial"/>
          <w:b w:val="0"/>
          <w:bCs w:val="0"/>
          <w:u w:val="none"/>
        </w:rPr>
        <w:t>the greater of</w:t>
      </w:r>
      <w:r w:rsidRPr="00A213B8" w:rsidR="0060688A">
        <w:rPr>
          <w:rFonts w:cs="Arial"/>
          <w:b w:val="0"/>
          <w:bCs w:val="0"/>
          <w:u w:val="none"/>
        </w:rPr>
        <w:t>:</w:t>
      </w:r>
      <w:r w:rsidRPr="00A213B8" w:rsidR="00F73B5F">
        <w:rPr>
          <w:rFonts w:cs="Arial"/>
          <w:b w:val="0"/>
          <w:bCs w:val="0"/>
          <w:u w:val="none"/>
        </w:rPr>
        <w:t xml:space="preserve"> (</w:t>
      </w:r>
      <w:r w:rsidRPr="00A213B8" w:rsidR="00A738AB">
        <w:rPr>
          <w:rFonts w:cs="Arial"/>
          <w:b w:val="0"/>
          <w:bCs w:val="0"/>
          <w:u w:val="none"/>
        </w:rPr>
        <w:t>i</w:t>
      </w:r>
      <w:r w:rsidRPr="00A213B8" w:rsidR="00F73B5F">
        <w:rPr>
          <w:rFonts w:cs="Arial"/>
          <w:b w:val="0"/>
          <w:bCs w:val="0"/>
          <w:u w:val="none"/>
        </w:rPr>
        <w:t xml:space="preserve">) the AGC </w:t>
      </w:r>
      <w:r w:rsidRPr="00A213B8" w:rsidR="00A738AB">
        <w:rPr>
          <w:rFonts w:cs="Arial"/>
          <w:b w:val="0"/>
          <w:bCs w:val="0"/>
          <w:u w:val="none"/>
        </w:rPr>
        <w:t>S</w:t>
      </w:r>
      <w:r w:rsidRPr="00A213B8" w:rsidR="00F73B5F">
        <w:rPr>
          <w:rFonts w:cs="Arial"/>
          <w:b w:val="0"/>
          <w:bCs w:val="0"/>
          <w:u w:val="none"/>
        </w:rPr>
        <w:t>etpoint signal</w:t>
      </w:r>
      <w:r w:rsidRPr="00A213B8" w:rsidR="0060688A">
        <w:rPr>
          <w:rFonts w:cs="Arial"/>
          <w:b w:val="0"/>
          <w:bCs w:val="0"/>
          <w:u w:val="none"/>
        </w:rPr>
        <w:t>;</w:t>
      </w:r>
      <w:r w:rsidRPr="00A213B8" w:rsidR="00F73B5F">
        <w:rPr>
          <w:rFonts w:cs="Arial"/>
          <w:b w:val="0"/>
          <w:bCs w:val="0"/>
          <w:u w:val="none"/>
        </w:rPr>
        <w:t xml:space="preserve"> </w:t>
      </w:r>
      <w:r w:rsidRPr="00A213B8" w:rsidR="00A738AB">
        <w:rPr>
          <w:rFonts w:cs="Arial"/>
          <w:b w:val="0"/>
          <w:bCs w:val="0"/>
          <w:u w:val="none"/>
        </w:rPr>
        <w:t>or (ii</w:t>
      </w:r>
      <w:r w:rsidRPr="00A213B8" w:rsidR="00F73B5F">
        <w:rPr>
          <w:rFonts w:cs="Arial"/>
          <w:b w:val="0"/>
          <w:bCs w:val="0"/>
          <w:u w:val="none"/>
        </w:rPr>
        <w:t xml:space="preserve">) </w:t>
      </w:r>
      <w:r w:rsidRPr="00A213B8" w:rsidR="00A738AB">
        <w:rPr>
          <w:rFonts w:cs="Arial"/>
          <w:b w:val="0"/>
          <w:bCs w:val="0"/>
          <w:u w:val="none"/>
        </w:rPr>
        <w:t>the Renewable Energy generated by the Renewable Resource</w:t>
      </w:r>
      <w:r w:rsidRPr="00A213B8">
        <w:rPr>
          <w:rFonts w:cs="Arial"/>
          <w:b w:val="0"/>
          <w:bCs w:val="0"/>
          <w:u w:val="none"/>
        </w:rPr>
        <w:t>.</w:t>
      </w:r>
    </w:p>
    <w:p w:rsidRPr="00261AEB" w:rsidR="002D54C4" w:rsidP="00261AEB" w:rsidRDefault="002D54C4" w14:paraId="01DFD87C" w14:textId="5F5A5133">
      <w:pPr>
        <w:pStyle w:val="Heading3"/>
        <w:keepNext w:val="0"/>
        <w:keepLines w:val="0"/>
        <w:widowControl w:val="0"/>
        <w:spacing w:before="120"/>
        <w:rPr>
          <w:rStyle w:val="ui-provider"/>
          <w:b w:val="0"/>
          <w:u w:val="none"/>
        </w:rPr>
      </w:pPr>
      <w:r w:rsidRPr="00A213B8">
        <w:rPr>
          <w:rFonts w:cs="Arial"/>
        </w:rPr>
        <w:t>Curtailment</w:t>
      </w:r>
      <w:r w:rsidRPr="00A213B8">
        <w:rPr>
          <w:rFonts w:cs="Arial"/>
          <w:u w:val="none"/>
        </w:rPr>
        <w:t xml:space="preserve">: </w:t>
      </w:r>
      <w:r w:rsidRPr="00A213B8">
        <w:rPr>
          <w:rStyle w:val="ui-provider"/>
          <w:rFonts w:cs="Arial"/>
          <w:b w:val="0"/>
          <w:u w:val="none"/>
        </w:rPr>
        <w:t>Any period when the AGC Setpoint or a GPC directive results in the Renewable Resource generating at a setpoint below the Potential High Limit.</w:t>
      </w:r>
    </w:p>
    <w:p w:rsidRPr="00A213B8" w:rsidR="00B302DC" w:rsidP="000432D0" w:rsidRDefault="00B302DC" w14:paraId="591E7724" w14:textId="29457852">
      <w:pPr>
        <w:spacing w:before="120" w:after="120" w:line="240" w:lineRule="auto"/>
        <w:rPr>
          <w:rFonts w:ascii="Arial" w:hAnsi="Arial" w:cs="Arial"/>
          <w:sz w:val="20"/>
          <w:szCs w:val="20"/>
        </w:rPr>
      </w:pPr>
      <w:r w:rsidRPr="00A213B8">
        <w:rPr>
          <w:rFonts w:ascii="Arial" w:hAnsi="Arial" w:cs="Arial"/>
          <w:b/>
          <w:bCs/>
          <w:sz w:val="20"/>
          <w:szCs w:val="20"/>
          <w:u w:val="single"/>
        </w:rPr>
        <w:t>Cyber Security Incident</w:t>
      </w:r>
      <w:r w:rsidRPr="00A213B8">
        <w:rPr>
          <w:rFonts w:ascii="Arial" w:hAnsi="Arial" w:cs="Arial"/>
          <w:sz w:val="20"/>
          <w:szCs w:val="20"/>
        </w:rPr>
        <w:t>: As defined in Section 10.13 (</w:t>
      </w:r>
      <w:r w:rsidRPr="00A213B8">
        <w:rPr>
          <w:rFonts w:ascii="Arial" w:hAnsi="Arial" w:cs="Arial"/>
          <w:i/>
          <w:iCs/>
          <w:sz w:val="20"/>
          <w:szCs w:val="20"/>
        </w:rPr>
        <w:t>Cyber Security</w:t>
      </w:r>
      <w:r w:rsidRPr="00A213B8">
        <w:rPr>
          <w:rFonts w:ascii="Arial" w:hAnsi="Arial" w:cs="Arial"/>
          <w:sz w:val="20"/>
          <w:szCs w:val="20"/>
        </w:rPr>
        <w:t>).</w:t>
      </w:r>
    </w:p>
    <w:p w:rsidRPr="00A213B8" w:rsidR="002D54C4" w:rsidP="00261AEB" w:rsidRDefault="002D54C4" w14:paraId="0380C27A" w14:textId="40729B8A">
      <w:pPr>
        <w:pStyle w:val="Heading3"/>
        <w:keepNext w:val="0"/>
        <w:keepLines w:val="0"/>
        <w:widowControl w:val="0"/>
        <w:spacing w:before="120"/>
        <w:rPr>
          <w:rFonts w:cs="Arial"/>
        </w:rPr>
      </w:pPr>
      <w:r w:rsidRPr="00A213B8">
        <w:rPr>
          <w:rStyle w:val="cf01"/>
          <w:rFonts w:ascii="Arial" w:hAnsi="Arial" w:cs="Arial"/>
          <w:sz w:val="20"/>
          <w:szCs w:val="20"/>
        </w:rPr>
        <w:t>Cycle</w:t>
      </w:r>
      <w:r w:rsidRPr="00A213B8">
        <w:rPr>
          <w:rStyle w:val="cf11"/>
          <w:rFonts w:ascii="Arial" w:hAnsi="Arial" w:cs="Arial"/>
          <w:b/>
          <w:sz w:val="20"/>
          <w:szCs w:val="20"/>
        </w:rPr>
        <w:t xml:space="preserve"> </w:t>
      </w:r>
      <w:r w:rsidRPr="00A213B8">
        <w:rPr>
          <w:rFonts w:cs="Arial"/>
        </w:rPr>
        <w:t>or Cycled</w:t>
      </w:r>
      <w:r w:rsidRPr="00A213B8">
        <w:rPr>
          <w:rStyle w:val="cf01"/>
          <w:rFonts w:ascii="Arial" w:hAnsi="Arial" w:cs="Arial"/>
          <w:sz w:val="20"/>
          <w:szCs w:val="20"/>
          <w:u w:val="none"/>
        </w:rPr>
        <w:t>:</w:t>
      </w:r>
      <w:r w:rsidRPr="00A213B8">
        <w:rPr>
          <w:rStyle w:val="cf21"/>
          <w:rFonts w:ascii="Arial" w:hAnsi="Arial" w:cs="Arial"/>
          <w:b w:val="0"/>
          <w:sz w:val="20"/>
          <w:szCs w:val="20"/>
          <w:u w:val="none"/>
        </w:rPr>
        <w:t xml:space="preserve"> The equivalent charge of Storage Device Operating Energy (in MWhs) from 0% to 100% and subsequent discharge from 100% to 0%, regardless of whether the complete charge or complete discharge occurs during one or more charges or discharges. For </w:t>
      </w:r>
      <w:r w:rsidRPr="00A213B8" w:rsidR="00910FC2">
        <w:rPr>
          <w:rStyle w:val="cf21"/>
          <w:rFonts w:ascii="Arial" w:hAnsi="Arial" w:cs="Arial"/>
          <w:b w:val="0"/>
          <w:sz w:val="20"/>
          <w:szCs w:val="20"/>
          <w:u w:val="none"/>
        </w:rPr>
        <w:t>D</w:t>
      </w:r>
      <w:r w:rsidRPr="00A213B8">
        <w:rPr>
          <w:rStyle w:val="cf21"/>
          <w:rFonts w:ascii="Arial" w:hAnsi="Arial" w:cs="Arial"/>
          <w:b w:val="0"/>
          <w:sz w:val="20"/>
          <w:szCs w:val="20"/>
          <w:u w:val="none"/>
        </w:rPr>
        <w:t>aily Cycle determinations, the Day in which the relevant discharging occurs will include the discharg</w:t>
      </w:r>
      <w:r w:rsidRPr="00A213B8" w:rsidR="004B3241">
        <w:rPr>
          <w:rStyle w:val="cf21"/>
          <w:rFonts w:ascii="Arial" w:hAnsi="Arial" w:cs="Arial"/>
          <w:b w:val="0"/>
          <w:sz w:val="20"/>
          <w:szCs w:val="20"/>
          <w:u w:val="none"/>
        </w:rPr>
        <w:t>e</w:t>
      </w:r>
      <w:r w:rsidRPr="00A213B8">
        <w:rPr>
          <w:rStyle w:val="cf21"/>
          <w:rFonts w:ascii="Arial" w:hAnsi="Arial" w:cs="Arial"/>
          <w:b w:val="0"/>
          <w:sz w:val="20"/>
          <w:szCs w:val="20"/>
          <w:u w:val="none"/>
        </w:rPr>
        <w:t xml:space="preserve"> in the Cycle determination for that </w:t>
      </w:r>
      <w:r w:rsidRPr="00A213B8" w:rsidR="00F2180E">
        <w:rPr>
          <w:rStyle w:val="cf21"/>
          <w:rFonts w:ascii="Arial" w:hAnsi="Arial" w:cs="Arial"/>
          <w:b w:val="0"/>
          <w:sz w:val="20"/>
          <w:szCs w:val="20"/>
          <w:u w:val="none"/>
        </w:rPr>
        <w:t>D</w:t>
      </w:r>
      <w:r w:rsidRPr="00A213B8">
        <w:rPr>
          <w:rStyle w:val="cf21"/>
          <w:rFonts w:ascii="Arial" w:hAnsi="Arial" w:cs="Arial"/>
          <w:b w:val="0"/>
          <w:sz w:val="20"/>
          <w:szCs w:val="20"/>
          <w:u w:val="none"/>
        </w:rPr>
        <w:t xml:space="preserve">ay, regardless of when the charging occurs. </w:t>
      </w:r>
    </w:p>
    <w:p w:rsidRPr="00A213B8" w:rsidR="002D54C4" w:rsidP="00261AEB" w:rsidRDefault="002D54C4" w14:paraId="7DB162FD" w14:textId="07C5E151">
      <w:pPr>
        <w:pStyle w:val="Heading3"/>
        <w:keepNext w:val="0"/>
        <w:keepLines w:val="0"/>
        <w:widowControl w:val="0"/>
        <w:spacing w:before="120"/>
        <w:rPr>
          <w:rStyle w:val="cf21"/>
          <w:rFonts w:ascii="Arial" w:hAnsi="Arial" w:cs="Arial" w:eastAsiaTheme="minorHAnsi"/>
          <w:b w:val="0"/>
          <w:bCs w:val="0"/>
          <w:sz w:val="20"/>
          <w:szCs w:val="20"/>
          <w:u w:val="none"/>
        </w:rPr>
      </w:pPr>
      <w:r w:rsidRPr="00A213B8">
        <w:rPr>
          <w:rFonts w:cs="Arial"/>
        </w:rPr>
        <w:t>Cycle Limit</w:t>
      </w:r>
      <w:r w:rsidRPr="00A213B8">
        <w:rPr>
          <w:rFonts w:cs="Arial"/>
          <w:u w:val="none"/>
        </w:rPr>
        <w:t>:</w:t>
      </w:r>
      <w:r w:rsidRPr="00A213B8">
        <w:rPr>
          <w:rStyle w:val="cf21"/>
          <w:rFonts w:ascii="Arial" w:hAnsi="Arial" w:cs="Arial"/>
          <w:b w:val="0"/>
          <w:sz w:val="20"/>
          <w:szCs w:val="20"/>
          <w:u w:val="none"/>
        </w:rPr>
        <w:t xml:space="preserve"> For each Annual Period, the maximum number of times that the </w:t>
      </w:r>
      <w:r w:rsidRPr="00A213B8" w:rsidR="005F6135">
        <w:rPr>
          <w:rStyle w:val="cf21"/>
          <w:rFonts w:ascii="Arial" w:hAnsi="Arial" w:cs="Arial"/>
          <w:b w:val="0"/>
          <w:sz w:val="20"/>
          <w:szCs w:val="20"/>
          <w:u w:val="none"/>
        </w:rPr>
        <w:t>B</w:t>
      </w:r>
      <w:r w:rsidRPr="00A213B8">
        <w:rPr>
          <w:rStyle w:val="cf21"/>
          <w:rFonts w:ascii="Arial" w:hAnsi="Arial" w:cs="Arial"/>
          <w:b w:val="0"/>
          <w:sz w:val="20"/>
          <w:szCs w:val="20"/>
          <w:u w:val="none"/>
        </w:rPr>
        <w:t xml:space="preserve">ESS may be Cycled. </w:t>
      </w:r>
    </w:p>
    <w:p w:rsidRPr="00A213B8" w:rsidR="002D54C4" w:rsidP="00261AEB" w:rsidRDefault="002D54C4" w14:paraId="192F7C3D" w14:textId="384DF1CE">
      <w:pPr>
        <w:pStyle w:val="Heading3"/>
        <w:keepNext w:val="0"/>
        <w:keepLines w:val="0"/>
        <w:widowControl w:val="0"/>
        <w:spacing w:before="120"/>
        <w:rPr>
          <w:rFonts w:cs="Arial"/>
          <w:b w:val="0"/>
        </w:rPr>
      </w:pPr>
      <w:r w:rsidRPr="00A213B8">
        <w:rPr>
          <w:rFonts w:cs="Arial"/>
        </w:rPr>
        <w:t>Daily Cycle Limit</w:t>
      </w:r>
      <w:r w:rsidRPr="00A213B8">
        <w:rPr>
          <w:rFonts w:cs="Arial"/>
          <w:bCs w:val="0"/>
          <w:u w:val="none"/>
        </w:rPr>
        <w:t>:</w:t>
      </w:r>
      <w:r w:rsidRPr="00A213B8">
        <w:rPr>
          <w:rFonts w:cs="Arial"/>
          <w:u w:val="none"/>
        </w:rPr>
        <w:t xml:space="preserve"> </w:t>
      </w:r>
      <w:r w:rsidRPr="00A213B8">
        <w:rPr>
          <w:rFonts w:cs="Arial"/>
          <w:b w:val="0"/>
          <w:u w:val="none"/>
        </w:rPr>
        <w:t xml:space="preserve">The maximum number of Cycles per </w:t>
      </w:r>
      <w:r w:rsidR="00EB353F">
        <w:rPr>
          <w:rFonts w:cs="Arial"/>
          <w:b w:val="0"/>
          <w:u w:val="none"/>
        </w:rPr>
        <w:t>Day</w:t>
      </w:r>
      <w:r w:rsidRPr="00A213B8">
        <w:rPr>
          <w:rFonts w:cs="Arial"/>
          <w:b w:val="0"/>
          <w:u w:val="none"/>
        </w:rPr>
        <w:t xml:space="preserve">, which is </w:t>
      </w:r>
      <w:r w:rsidR="00304CD7">
        <w:rPr>
          <w:b w:val="0"/>
          <w:u w:val="none"/>
        </w:rPr>
        <w:t xml:space="preserve">[two] </w:t>
      </w:r>
      <w:r w:rsidRPr="0056573D" w:rsidR="00304CD7">
        <w:rPr>
          <w:bCs w:val="0"/>
          <w:i/>
          <w:iCs/>
          <w:highlight w:val="cyan"/>
          <w:u w:val="none"/>
        </w:rPr>
        <w:t>[Note to Bidders: Bidder may propose a value for the Daily Cycle Limit, but GPC requires a minimum of one Cycle per Day]</w:t>
      </w:r>
      <w:r w:rsidR="00304CD7">
        <w:rPr>
          <w:b w:val="0"/>
          <w:u w:val="none"/>
        </w:rPr>
        <w:t>.</w:t>
      </w:r>
    </w:p>
    <w:p w:rsidRPr="00A213B8" w:rsidR="002D54C4" w:rsidP="00261AEB" w:rsidRDefault="002D54C4" w14:paraId="74756FCE" w14:textId="43468D73">
      <w:pPr>
        <w:pStyle w:val="Heading3"/>
        <w:keepNext w:val="0"/>
        <w:keepLines w:val="0"/>
        <w:widowControl w:val="0"/>
        <w:spacing w:before="120"/>
        <w:rPr>
          <w:rFonts w:cs="Arial"/>
          <w:b w:val="0"/>
          <w:u w:val="none"/>
        </w:rPr>
      </w:pPr>
      <w:r w:rsidRPr="00A213B8">
        <w:rPr>
          <w:rFonts w:cs="Arial"/>
        </w:rPr>
        <w:t>Day</w:t>
      </w:r>
      <w:r w:rsidRPr="00A213B8">
        <w:rPr>
          <w:rFonts w:cs="Arial"/>
          <w:u w:val="none"/>
        </w:rPr>
        <w:t xml:space="preserve">: </w:t>
      </w:r>
      <w:r w:rsidRPr="00A213B8">
        <w:rPr>
          <w:rFonts w:cs="Arial"/>
          <w:b w:val="0"/>
          <w:u w:val="none"/>
        </w:rPr>
        <w:t>Any calendar day, including Saturday, Sunday, or a holiday.</w:t>
      </w:r>
    </w:p>
    <w:p w:rsidRPr="00A213B8" w:rsidR="00E34AFD" w:rsidP="000432D0" w:rsidRDefault="00E34AFD" w14:paraId="55465A0F" w14:textId="28E124DB">
      <w:pPr>
        <w:spacing w:before="120" w:after="120" w:line="240" w:lineRule="auto"/>
        <w:rPr>
          <w:rFonts w:ascii="Arial" w:hAnsi="Arial" w:cs="Arial"/>
          <w:sz w:val="20"/>
          <w:szCs w:val="20"/>
        </w:rPr>
      </w:pPr>
      <w:r w:rsidRPr="00A213B8">
        <w:rPr>
          <w:rFonts w:ascii="Arial" w:hAnsi="Arial" w:cs="Arial"/>
          <w:b/>
          <w:bCs/>
          <w:sz w:val="20"/>
          <w:szCs w:val="20"/>
          <w:u w:val="single"/>
        </w:rPr>
        <w:t>Defaulting Party:</w:t>
      </w:r>
      <w:r w:rsidRPr="00A213B8">
        <w:rPr>
          <w:rFonts w:ascii="Arial" w:hAnsi="Arial" w:cs="Arial"/>
          <w:sz w:val="20"/>
          <w:szCs w:val="20"/>
        </w:rPr>
        <w:t xml:space="preserve"> As defined in Section </w:t>
      </w:r>
      <w:r w:rsidRPr="00A213B8" w:rsidR="00876921">
        <w:rPr>
          <w:rFonts w:ascii="Arial" w:hAnsi="Arial" w:cs="Arial"/>
          <w:sz w:val="20"/>
          <w:szCs w:val="20"/>
        </w:rPr>
        <w:t>16.3.1 (</w:t>
      </w:r>
      <w:r w:rsidRPr="00A213B8" w:rsidR="00876921">
        <w:rPr>
          <w:rFonts w:ascii="Arial" w:hAnsi="Arial" w:cs="Arial"/>
          <w:i/>
          <w:iCs/>
          <w:sz w:val="20"/>
          <w:szCs w:val="20"/>
        </w:rPr>
        <w:t>Remedies for Event of Default</w:t>
      </w:r>
      <w:r w:rsidRPr="00A213B8" w:rsidR="00876921">
        <w:rPr>
          <w:rFonts w:ascii="Arial" w:hAnsi="Arial" w:cs="Arial"/>
          <w:sz w:val="20"/>
          <w:szCs w:val="20"/>
        </w:rPr>
        <w:t>).</w:t>
      </w:r>
    </w:p>
    <w:p w:rsidRPr="00A213B8" w:rsidR="002D54C4" w:rsidP="00261AEB" w:rsidRDefault="002D54C4" w14:paraId="55EA531A" w14:textId="2F2A2620">
      <w:pPr>
        <w:pStyle w:val="Heading3"/>
        <w:keepNext w:val="0"/>
        <w:keepLines w:val="0"/>
        <w:widowControl w:val="0"/>
        <w:spacing w:before="120"/>
        <w:rPr>
          <w:rFonts w:cs="Arial"/>
        </w:rPr>
      </w:pPr>
      <w:r w:rsidRPr="00A213B8">
        <w:rPr>
          <w:rFonts w:cs="Arial"/>
        </w:rPr>
        <w:t>Delivery Commencement Date</w:t>
      </w:r>
      <w:r w:rsidRPr="00A213B8">
        <w:rPr>
          <w:rFonts w:cs="Arial"/>
          <w:u w:val="none"/>
        </w:rPr>
        <w:t xml:space="preserve">: </w:t>
      </w:r>
      <w:r w:rsidRPr="00A213B8">
        <w:rPr>
          <w:rFonts w:cs="Arial"/>
          <w:b w:val="0"/>
          <w:u w:val="none"/>
        </w:rPr>
        <w:t xml:space="preserve">The Commercial Operation Date, except that the Delivery Commencement Date may not be more than nine Months </w:t>
      </w:r>
      <w:r w:rsidRPr="00A213B8" w:rsidR="009D3ABA">
        <w:rPr>
          <w:rFonts w:cs="Arial"/>
          <w:b w:val="0"/>
          <w:u w:val="none"/>
        </w:rPr>
        <w:t>before</w:t>
      </w:r>
      <w:r w:rsidRPr="00A213B8">
        <w:rPr>
          <w:rFonts w:cs="Arial"/>
          <w:b w:val="0"/>
          <w:u w:val="none"/>
        </w:rPr>
        <w:t xml:space="preserve"> the </w:t>
      </w:r>
      <w:r w:rsidRPr="00A213B8" w:rsidR="009D3ABA">
        <w:rPr>
          <w:rFonts w:cs="Arial"/>
          <w:b w:val="0"/>
          <w:u w:val="none"/>
        </w:rPr>
        <w:t>RCOD</w:t>
      </w:r>
      <w:r w:rsidRPr="00A213B8">
        <w:rPr>
          <w:rFonts w:cs="Arial"/>
          <w:b w:val="0"/>
          <w:u w:val="none"/>
        </w:rPr>
        <w:t xml:space="preserve">. If Commercial Operation occurs more than nine Months </w:t>
      </w:r>
      <w:r w:rsidRPr="00A213B8" w:rsidR="009D3ABA">
        <w:rPr>
          <w:rFonts w:cs="Arial"/>
          <w:b w:val="0"/>
          <w:u w:val="none"/>
        </w:rPr>
        <w:t>before</w:t>
      </w:r>
      <w:r w:rsidRPr="00A213B8">
        <w:rPr>
          <w:rFonts w:cs="Arial"/>
          <w:b w:val="0"/>
          <w:u w:val="none"/>
        </w:rPr>
        <w:t xml:space="preserve"> the </w:t>
      </w:r>
      <w:r w:rsidRPr="00A213B8" w:rsidR="009D3ABA">
        <w:rPr>
          <w:rFonts w:cs="Arial"/>
          <w:b w:val="0"/>
          <w:u w:val="none"/>
        </w:rPr>
        <w:t>RCOD</w:t>
      </w:r>
      <w:r w:rsidRPr="00A213B8">
        <w:rPr>
          <w:rFonts w:cs="Arial"/>
          <w:b w:val="0"/>
          <w:u w:val="none"/>
        </w:rPr>
        <w:t xml:space="preserve">, the Delivery Commencement Date will be </w:t>
      </w:r>
      <w:r w:rsidR="005F6A8F">
        <w:rPr>
          <w:b w:val="0"/>
          <w:u w:val="none"/>
        </w:rPr>
        <w:t>the date that is nine months before RCOD</w:t>
      </w:r>
      <w:r w:rsidRPr="00A213B8">
        <w:rPr>
          <w:rFonts w:cs="Arial"/>
          <w:b w:val="0"/>
          <w:u w:val="none"/>
        </w:rPr>
        <w:t xml:space="preserve">. </w:t>
      </w:r>
      <w:r w:rsidRPr="00A213B8" w:rsidR="004A7713">
        <w:rPr>
          <w:rFonts w:cs="Arial"/>
          <w:b w:val="0"/>
          <w:highlight w:val="cyan"/>
          <w:u w:val="none"/>
        </w:rPr>
        <w:t>[</w:t>
      </w:r>
      <w:r w:rsidRPr="00A213B8" w:rsidR="004A7713">
        <w:rPr>
          <w:rFonts w:cs="Arial"/>
          <w:bCs w:val="0"/>
          <w:i/>
          <w:iCs/>
          <w:highlight w:val="cyan"/>
        </w:rPr>
        <w:t>Note to Bidders</w:t>
      </w:r>
      <w:r w:rsidRPr="00A213B8" w:rsidR="004A7713">
        <w:rPr>
          <w:rFonts w:cs="Arial"/>
          <w:bCs w:val="0"/>
          <w:i/>
          <w:iCs/>
          <w:highlight w:val="cyan"/>
          <w:u w:val="none"/>
        </w:rPr>
        <w:t>: For any Month before the Delivery Commencement Date, Exhibit B provides that Monthly Capacity Payments are not owed to Seller as set forth in Exhibit B.</w:t>
      </w:r>
      <w:r w:rsidRPr="00A213B8" w:rsidR="004A7713">
        <w:rPr>
          <w:rFonts w:cs="Arial"/>
          <w:b w:val="0"/>
          <w:highlight w:val="cyan"/>
          <w:u w:val="none"/>
        </w:rPr>
        <w:t>]</w:t>
      </w:r>
      <w:r w:rsidRPr="00A213B8">
        <w:rPr>
          <w:rFonts w:cs="Arial"/>
        </w:rPr>
        <w:t xml:space="preserve"> </w:t>
      </w:r>
    </w:p>
    <w:p w:rsidRPr="00A213B8" w:rsidR="00F96819" w:rsidP="00261AEB" w:rsidRDefault="002D54C4" w14:paraId="47F36B84" w14:textId="7F0555F0">
      <w:pPr>
        <w:pStyle w:val="Heading3"/>
        <w:keepNext w:val="0"/>
        <w:keepLines w:val="0"/>
        <w:widowControl w:val="0"/>
        <w:spacing w:before="120"/>
        <w:rPr>
          <w:rFonts w:cs="Arial"/>
          <w:b w:val="0"/>
          <w:u w:val="none"/>
        </w:rPr>
      </w:pPr>
      <w:r w:rsidRPr="00A213B8">
        <w:rPr>
          <w:rFonts w:cs="Arial"/>
        </w:rPr>
        <w:t>Discharging Energy</w:t>
      </w:r>
      <w:r w:rsidRPr="00A213B8">
        <w:rPr>
          <w:rFonts w:cs="Arial"/>
          <w:u w:val="none"/>
        </w:rPr>
        <w:t>:</w:t>
      </w:r>
      <w:r w:rsidRPr="00A213B8">
        <w:rPr>
          <w:rFonts w:cs="Arial"/>
          <w:b w:val="0"/>
          <w:u w:val="none"/>
        </w:rPr>
        <w:t xml:space="preserve"> Energy discharged from the </w:t>
      </w:r>
      <w:r w:rsidRPr="00A213B8" w:rsidR="005F6135">
        <w:rPr>
          <w:rFonts w:cs="Arial"/>
          <w:b w:val="0"/>
          <w:u w:val="none"/>
        </w:rPr>
        <w:t>B</w:t>
      </w:r>
      <w:r w:rsidRPr="00A213B8">
        <w:rPr>
          <w:rFonts w:cs="Arial"/>
          <w:b w:val="0"/>
          <w:u w:val="none"/>
        </w:rPr>
        <w:t>ESS in accordance with GPC’s</w:t>
      </w:r>
      <w:r w:rsidRPr="00A213B8" w:rsidR="006B3D13">
        <w:rPr>
          <w:rFonts w:cs="Arial"/>
          <w:b w:val="0"/>
          <w:u w:val="none"/>
        </w:rPr>
        <w:t xml:space="preserve"> AGC Setpoint signals</w:t>
      </w:r>
      <w:r w:rsidRPr="00A213B8">
        <w:rPr>
          <w:rFonts w:cs="Arial"/>
          <w:b w:val="0"/>
          <w:u w:val="none"/>
        </w:rPr>
        <w:t xml:space="preserve"> </w:t>
      </w:r>
      <w:r w:rsidRPr="00A213B8" w:rsidR="00253CA3">
        <w:rPr>
          <w:rFonts w:cs="Arial"/>
          <w:b w:val="0"/>
          <w:u w:val="none"/>
        </w:rPr>
        <w:t xml:space="preserve">or </w:t>
      </w:r>
      <w:r w:rsidRPr="00A213B8">
        <w:rPr>
          <w:rFonts w:cs="Arial"/>
          <w:b w:val="0"/>
          <w:u w:val="none"/>
        </w:rPr>
        <w:t>direction</w:t>
      </w:r>
      <w:r w:rsidRPr="00A213B8" w:rsidR="00F96819">
        <w:rPr>
          <w:rFonts w:cs="Arial"/>
          <w:b w:val="0"/>
          <w:u w:val="none"/>
        </w:rPr>
        <w:t>.</w:t>
      </w:r>
    </w:p>
    <w:p w:rsidRPr="00261AEB" w:rsidR="00625D78" w:rsidP="00261AEB" w:rsidRDefault="00625D78" w14:paraId="39FFE4E6" w14:textId="47840D3D">
      <w:pPr>
        <w:pStyle w:val="Heading3"/>
        <w:keepNext w:val="0"/>
        <w:keepLines w:val="0"/>
        <w:widowControl w:val="0"/>
        <w:spacing w:before="120"/>
        <w:rPr>
          <w:b w:val="0"/>
          <w:u w:val="none"/>
        </w:rPr>
      </w:pPr>
      <w:r w:rsidRPr="00A213B8">
        <w:rPr>
          <w:rFonts w:cs="Arial"/>
        </w:rPr>
        <w:t>Dispatch Center</w:t>
      </w:r>
      <w:r w:rsidRPr="00A213B8">
        <w:rPr>
          <w:rFonts w:cs="Arial"/>
          <w:u w:val="none"/>
        </w:rPr>
        <w:t>:</w:t>
      </w:r>
      <w:r w:rsidRPr="00A213B8" w:rsidR="00B05E05">
        <w:rPr>
          <w:rFonts w:cs="Arial"/>
          <w:u w:val="none"/>
        </w:rPr>
        <w:t xml:space="preserve"> </w:t>
      </w:r>
      <w:r w:rsidRPr="00A213B8" w:rsidR="00B05E05">
        <w:rPr>
          <w:rFonts w:cs="Arial"/>
          <w:b w:val="0"/>
          <w:bCs w:val="0"/>
          <w:u w:val="none"/>
        </w:rPr>
        <w:t xml:space="preserve">The </w:t>
      </w:r>
      <w:r w:rsidRPr="00A213B8" w:rsidR="00E9263C">
        <w:rPr>
          <w:rFonts w:cs="Arial"/>
          <w:b w:val="0"/>
          <w:bCs w:val="0"/>
          <w:u w:val="none"/>
        </w:rPr>
        <w:t xml:space="preserve">control </w:t>
      </w:r>
      <w:r w:rsidRPr="00A213B8" w:rsidR="00B05E05">
        <w:rPr>
          <w:rFonts w:cs="Arial"/>
          <w:b w:val="0"/>
          <w:bCs w:val="0"/>
          <w:u w:val="none"/>
        </w:rPr>
        <w:t>center designated by GPC</w:t>
      </w:r>
      <w:r w:rsidRPr="00A213B8" w:rsidDel="005A2092" w:rsidR="00B05E05">
        <w:rPr>
          <w:rFonts w:cs="Arial"/>
          <w:b w:val="0"/>
          <w:bCs w:val="0"/>
          <w:u w:val="none"/>
        </w:rPr>
        <w:t xml:space="preserve"> </w:t>
      </w:r>
      <w:r w:rsidRPr="00A213B8" w:rsidR="00B05E05">
        <w:rPr>
          <w:rFonts w:cs="Arial"/>
          <w:b w:val="0"/>
          <w:bCs w:val="0"/>
          <w:u w:val="none"/>
        </w:rPr>
        <w:t xml:space="preserve">in writing as being the primary control point for </w:t>
      </w:r>
      <w:r w:rsidRPr="00A213B8" w:rsidR="00752A70">
        <w:rPr>
          <w:rFonts w:cs="Arial"/>
          <w:b w:val="0"/>
          <w:bCs w:val="0"/>
          <w:u w:val="none"/>
        </w:rPr>
        <w:t>d</w:t>
      </w:r>
      <w:r w:rsidRPr="00A213B8" w:rsidR="00162961">
        <w:rPr>
          <w:rFonts w:cs="Arial"/>
          <w:b w:val="0"/>
          <w:bCs w:val="0"/>
          <w:u w:val="none"/>
        </w:rPr>
        <w:t>ispatch</w:t>
      </w:r>
      <w:r w:rsidRPr="00A213B8" w:rsidR="00B05E05">
        <w:rPr>
          <w:rFonts w:cs="Arial"/>
          <w:b w:val="0"/>
          <w:bCs w:val="0"/>
          <w:u w:val="none"/>
        </w:rPr>
        <w:t xml:space="preserve"> </w:t>
      </w:r>
      <w:r w:rsidRPr="00A213B8" w:rsidR="00752A70">
        <w:rPr>
          <w:rFonts w:cs="Arial"/>
          <w:b w:val="0"/>
          <w:bCs w:val="0"/>
          <w:u w:val="none"/>
        </w:rPr>
        <w:t>i</w:t>
      </w:r>
      <w:r w:rsidRPr="00A213B8" w:rsidR="00B05E05">
        <w:rPr>
          <w:rFonts w:cs="Arial"/>
          <w:b w:val="0"/>
          <w:bCs w:val="0"/>
          <w:u w:val="none"/>
        </w:rPr>
        <w:t xml:space="preserve">nstructions and other notifications provided in accordance with </w:t>
      </w:r>
      <w:r w:rsidRPr="00A213B8" w:rsidR="00B05E05">
        <w:rPr>
          <w:rFonts w:cs="Arial"/>
          <w:b w:val="0"/>
          <w:u w:val="none"/>
        </w:rPr>
        <w:t>Part 12 (</w:t>
      </w:r>
      <w:r w:rsidRPr="00A213B8" w:rsidR="00B05E05">
        <w:rPr>
          <w:rFonts w:cs="Arial"/>
          <w:b w:val="0"/>
          <w:i/>
          <w:u w:val="none"/>
        </w:rPr>
        <w:t xml:space="preserve">Energy </w:t>
      </w:r>
      <w:r w:rsidRPr="00A213B8" w:rsidR="003E0C21">
        <w:rPr>
          <w:rFonts w:cs="Arial"/>
          <w:b w:val="0"/>
          <w:i/>
          <w:u w:val="none"/>
        </w:rPr>
        <w:t>Dispatch</w:t>
      </w:r>
      <w:r w:rsidRPr="00A213B8" w:rsidR="00B05E05">
        <w:rPr>
          <w:rFonts w:cs="Arial"/>
          <w:b w:val="0"/>
          <w:u w:val="none"/>
        </w:rPr>
        <w:t xml:space="preserve">) and Exhibit </w:t>
      </w:r>
      <w:r w:rsidRPr="00A213B8" w:rsidR="009B6EB6">
        <w:rPr>
          <w:rFonts w:cs="Arial"/>
          <w:b w:val="0"/>
          <w:u w:val="none"/>
        </w:rPr>
        <w:t>F</w:t>
      </w:r>
      <w:r w:rsidRPr="00A213B8" w:rsidR="00B05E05">
        <w:rPr>
          <w:rFonts w:cs="Arial"/>
          <w:b w:val="0"/>
          <w:u w:val="none"/>
        </w:rPr>
        <w:t xml:space="preserve"> (</w:t>
      </w:r>
      <w:r w:rsidRPr="00A213B8" w:rsidR="00B145FE">
        <w:rPr>
          <w:rFonts w:cs="Arial"/>
          <w:b w:val="0"/>
          <w:i/>
          <w:u w:val="none"/>
        </w:rPr>
        <w:t xml:space="preserve">Facility Operating </w:t>
      </w:r>
      <w:r w:rsidRPr="00A213B8" w:rsidR="006A72E1">
        <w:rPr>
          <w:rFonts w:cs="Arial"/>
          <w:b w:val="0"/>
          <w:i/>
          <w:u w:val="none"/>
        </w:rPr>
        <w:t>and</w:t>
      </w:r>
      <w:r w:rsidRPr="00A213B8" w:rsidR="00B145FE">
        <w:rPr>
          <w:rFonts w:cs="Arial"/>
          <w:b w:val="0"/>
          <w:i/>
          <w:u w:val="none"/>
        </w:rPr>
        <w:t xml:space="preserve"> Dispatch</w:t>
      </w:r>
      <w:r w:rsidRPr="00A213B8" w:rsidR="00B91866">
        <w:rPr>
          <w:rFonts w:cs="Arial"/>
          <w:b w:val="0"/>
          <w:i/>
          <w:u w:val="none"/>
        </w:rPr>
        <w:t>ing</w:t>
      </w:r>
      <w:r w:rsidRPr="00A213B8" w:rsidR="00B145FE">
        <w:rPr>
          <w:rFonts w:cs="Arial"/>
          <w:b w:val="0"/>
          <w:i/>
          <w:u w:val="none"/>
        </w:rPr>
        <w:t xml:space="preserve"> Requirements</w:t>
      </w:r>
      <w:r w:rsidRPr="00A213B8" w:rsidR="00B05E05">
        <w:rPr>
          <w:rFonts w:cs="Arial"/>
          <w:b w:val="0"/>
          <w:u w:val="none"/>
        </w:rPr>
        <w:t xml:space="preserve">), Part </w:t>
      </w:r>
      <w:r w:rsidRPr="00A213B8" w:rsidR="00CF36AD">
        <w:rPr>
          <w:rFonts w:cs="Arial"/>
          <w:b w:val="0"/>
          <w:u w:val="none"/>
        </w:rPr>
        <w:t>2</w:t>
      </w:r>
      <w:r w:rsidRPr="00A213B8" w:rsidR="00D7303B">
        <w:rPr>
          <w:rFonts w:cs="Arial"/>
          <w:b w:val="0"/>
          <w:u w:val="none"/>
        </w:rPr>
        <w:t xml:space="preserve"> </w:t>
      </w:r>
      <w:r w:rsidRPr="00A213B8" w:rsidR="00B05E05">
        <w:rPr>
          <w:rFonts w:cs="Arial"/>
          <w:b w:val="0"/>
          <w:u w:val="none"/>
        </w:rPr>
        <w:t>(</w:t>
      </w:r>
      <w:r w:rsidRPr="00A213B8" w:rsidR="00D7303B">
        <w:rPr>
          <w:rFonts w:cs="Arial"/>
          <w:b w:val="0"/>
          <w:i/>
          <w:u w:val="none"/>
        </w:rPr>
        <w:t>Dispatch</w:t>
      </w:r>
      <w:r w:rsidRPr="00A213B8" w:rsidR="00B05E05">
        <w:rPr>
          <w:rFonts w:cs="Arial"/>
          <w:b w:val="0"/>
          <w:u w:val="none"/>
        </w:rPr>
        <w:t>)</w:t>
      </w:r>
      <w:r w:rsidRPr="00A213B8" w:rsidR="00B05E05">
        <w:rPr>
          <w:rFonts w:cs="Arial"/>
          <w:b w:val="0"/>
          <w:bCs w:val="0"/>
          <w:u w:val="none"/>
        </w:rPr>
        <w:t xml:space="preserve">, as may be modified during the Term. There may only be one </w:t>
      </w:r>
      <w:r w:rsidRPr="00A213B8" w:rsidR="00B060D6">
        <w:rPr>
          <w:rFonts w:cs="Arial"/>
          <w:b w:val="0"/>
          <w:bCs w:val="0"/>
          <w:u w:val="none"/>
        </w:rPr>
        <w:t>Dispatch</w:t>
      </w:r>
      <w:r w:rsidRPr="00A213B8" w:rsidR="00B05E05">
        <w:rPr>
          <w:rFonts w:cs="Arial"/>
          <w:b w:val="0"/>
          <w:bCs w:val="0"/>
          <w:u w:val="none"/>
        </w:rPr>
        <w:t xml:space="preserve"> Center designated at any one time.</w:t>
      </w:r>
    </w:p>
    <w:p w:rsidRPr="00A213B8" w:rsidR="000735FA" w:rsidP="000432D0" w:rsidRDefault="000735FA" w14:paraId="446917F2" w14:textId="72FA528C">
      <w:pPr>
        <w:spacing w:before="120" w:after="120" w:line="240" w:lineRule="auto"/>
        <w:rPr>
          <w:rFonts w:ascii="Arial" w:hAnsi="Arial" w:cs="Arial"/>
          <w:sz w:val="20"/>
          <w:szCs w:val="20"/>
        </w:rPr>
      </w:pPr>
      <w:r w:rsidRPr="00A213B8">
        <w:rPr>
          <w:rFonts w:ascii="Arial" w:hAnsi="Arial" w:cs="Arial"/>
          <w:b/>
          <w:bCs/>
          <w:sz w:val="20"/>
          <w:szCs w:val="20"/>
          <w:u w:val="single"/>
        </w:rPr>
        <w:t>Dispute Response:</w:t>
      </w:r>
      <w:r w:rsidRPr="00A213B8">
        <w:rPr>
          <w:rFonts w:ascii="Arial" w:hAnsi="Arial" w:cs="Arial"/>
          <w:sz w:val="20"/>
          <w:szCs w:val="20"/>
        </w:rPr>
        <w:t xml:space="preserve"> As defined in Section 19.1 (</w:t>
      </w:r>
      <w:r w:rsidRPr="00A213B8">
        <w:rPr>
          <w:rFonts w:ascii="Arial" w:hAnsi="Arial" w:cs="Arial"/>
          <w:i/>
          <w:iCs/>
          <w:sz w:val="20"/>
          <w:szCs w:val="20"/>
        </w:rPr>
        <w:t>Notice of Dispute; Dispute Resolution Process</w:t>
      </w:r>
      <w:r w:rsidRPr="00A213B8">
        <w:rPr>
          <w:rFonts w:ascii="Arial" w:hAnsi="Arial" w:cs="Arial"/>
          <w:sz w:val="20"/>
          <w:szCs w:val="20"/>
        </w:rPr>
        <w:t>).</w:t>
      </w:r>
    </w:p>
    <w:p w:rsidRPr="00A213B8" w:rsidR="00D64095" w:rsidP="000432D0" w:rsidRDefault="00D64095" w14:paraId="34AF50D7" w14:textId="0CE2C38A">
      <w:pPr>
        <w:spacing w:before="120" w:after="120" w:line="240" w:lineRule="auto"/>
        <w:rPr>
          <w:rFonts w:ascii="Arial" w:hAnsi="Arial" w:cs="Arial"/>
          <w:sz w:val="20"/>
          <w:szCs w:val="20"/>
        </w:rPr>
      </w:pPr>
      <w:r w:rsidRPr="00A213B8">
        <w:rPr>
          <w:rFonts w:ascii="Arial" w:hAnsi="Arial" w:cs="Arial"/>
          <w:b/>
          <w:bCs/>
          <w:sz w:val="20"/>
          <w:szCs w:val="20"/>
          <w:u w:val="single"/>
        </w:rPr>
        <w:t>Disputing Party:</w:t>
      </w:r>
      <w:r w:rsidRPr="00A213B8">
        <w:rPr>
          <w:rFonts w:ascii="Arial" w:hAnsi="Arial" w:cs="Arial"/>
          <w:sz w:val="20"/>
          <w:szCs w:val="20"/>
        </w:rPr>
        <w:t xml:space="preserve"> As defined in Section 19.1 (</w:t>
      </w:r>
      <w:r w:rsidRPr="00A213B8">
        <w:rPr>
          <w:rFonts w:ascii="Arial" w:hAnsi="Arial" w:cs="Arial"/>
          <w:i/>
          <w:iCs/>
          <w:sz w:val="20"/>
          <w:szCs w:val="20"/>
        </w:rPr>
        <w:t>Notice of Dispute; Dispute Resolution Process</w:t>
      </w:r>
      <w:r w:rsidRPr="00A213B8">
        <w:rPr>
          <w:rFonts w:ascii="Arial" w:hAnsi="Arial" w:cs="Arial"/>
          <w:sz w:val="20"/>
          <w:szCs w:val="20"/>
        </w:rPr>
        <w:t>).</w:t>
      </w:r>
    </w:p>
    <w:p w:rsidRPr="00A213B8" w:rsidR="00934100" w:rsidP="000432D0" w:rsidRDefault="00934100" w14:paraId="2507D412" w14:textId="4905EA6E">
      <w:pPr>
        <w:spacing w:before="120" w:after="120" w:line="240" w:lineRule="auto"/>
        <w:rPr>
          <w:rFonts w:ascii="Arial" w:hAnsi="Arial" w:cs="Arial"/>
          <w:sz w:val="20"/>
          <w:szCs w:val="20"/>
        </w:rPr>
      </w:pPr>
      <w:r w:rsidRPr="00A213B8">
        <w:rPr>
          <w:rFonts w:ascii="Arial" w:hAnsi="Arial" w:cs="Arial"/>
          <w:b/>
          <w:bCs/>
          <w:sz w:val="20"/>
          <w:szCs w:val="20"/>
          <w:u w:val="single"/>
        </w:rPr>
        <w:t>Early Termination Date</w:t>
      </w:r>
      <w:r w:rsidRPr="00B256DC">
        <w:rPr>
          <w:rFonts w:ascii="Arial" w:hAnsi="Arial" w:cs="Arial"/>
          <w:b/>
          <w:bCs/>
          <w:sz w:val="20"/>
          <w:szCs w:val="20"/>
        </w:rPr>
        <w:t>:</w:t>
      </w:r>
      <w:r w:rsidRPr="00B256DC">
        <w:rPr>
          <w:rFonts w:ascii="Arial" w:hAnsi="Arial" w:cs="Arial"/>
          <w:sz w:val="20"/>
          <w:szCs w:val="20"/>
        </w:rPr>
        <w:t xml:space="preserve"> </w:t>
      </w:r>
      <w:r w:rsidRPr="00A213B8">
        <w:rPr>
          <w:rFonts w:ascii="Arial" w:hAnsi="Arial" w:cs="Arial"/>
          <w:sz w:val="20"/>
          <w:szCs w:val="20"/>
        </w:rPr>
        <w:t>As defined in Section 16.3.1 (</w:t>
      </w:r>
      <w:r w:rsidRPr="00A213B8">
        <w:rPr>
          <w:rFonts w:ascii="Arial" w:hAnsi="Arial" w:cs="Arial"/>
          <w:i/>
          <w:iCs/>
          <w:sz w:val="20"/>
          <w:szCs w:val="20"/>
        </w:rPr>
        <w:t>Remedies for Event of Default</w:t>
      </w:r>
      <w:r w:rsidRPr="00A213B8">
        <w:rPr>
          <w:rFonts w:ascii="Arial" w:hAnsi="Arial" w:cs="Arial"/>
          <w:sz w:val="20"/>
          <w:szCs w:val="20"/>
        </w:rPr>
        <w:t>).</w:t>
      </w:r>
    </w:p>
    <w:p w:rsidRPr="00A213B8" w:rsidR="002D54C4" w:rsidP="00261AEB" w:rsidRDefault="002D54C4" w14:paraId="155439AD" w14:textId="1B6BC3E4">
      <w:pPr>
        <w:pStyle w:val="Heading3"/>
        <w:keepNext w:val="0"/>
        <w:keepLines w:val="0"/>
        <w:widowControl w:val="0"/>
        <w:spacing w:before="120"/>
        <w:rPr>
          <w:rFonts w:cs="Arial"/>
          <w:b w:val="0"/>
          <w:u w:val="none"/>
        </w:rPr>
      </w:pPr>
      <w:r w:rsidRPr="00A213B8">
        <w:rPr>
          <w:rFonts w:cs="Arial"/>
        </w:rPr>
        <w:t>Eastern Time (ET)</w:t>
      </w:r>
      <w:r w:rsidRPr="00A213B8">
        <w:rPr>
          <w:rFonts w:cs="Arial"/>
          <w:u w:val="none"/>
        </w:rPr>
        <w:t xml:space="preserve">: </w:t>
      </w:r>
      <w:r w:rsidRPr="00A213B8">
        <w:rPr>
          <w:rFonts w:cs="Arial"/>
          <w:b w:val="0"/>
          <w:u w:val="none"/>
        </w:rPr>
        <w:t xml:space="preserve">The time in the easternmost time zone of the United States, considering daylight savings time if it is in effect (i.e., Eastern Standard Time (EST) or Eastern Daylight Time (EDT), as applicable). </w:t>
      </w:r>
    </w:p>
    <w:p w:rsidRPr="00A213B8" w:rsidR="002A4285" w:rsidP="00261AEB" w:rsidRDefault="002A4285" w14:paraId="029BBD28" w14:textId="37E5FE13">
      <w:pPr>
        <w:pStyle w:val="Heading3"/>
        <w:keepNext w:val="0"/>
        <w:keepLines w:val="0"/>
        <w:widowControl w:val="0"/>
        <w:spacing w:before="120"/>
        <w:rPr>
          <w:rFonts w:cs="Arial"/>
          <w:b w:val="0"/>
          <w:u w:val="none"/>
        </w:rPr>
      </w:pPr>
      <w:r w:rsidRPr="00A213B8">
        <w:rPr>
          <w:rFonts w:cs="Arial"/>
        </w:rPr>
        <w:t>Effective Date</w:t>
      </w:r>
      <w:r w:rsidRPr="00A213B8">
        <w:rPr>
          <w:rFonts w:cs="Arial"/>
          <w:u w:val="none"/>
        </w:rPr>
        <w:t>:</w:t>
      </w:r>
      <w:r w:rsidRPr="00A213B8">
        <w:rPr>
          <w:rFonts w:cs="Arial"/>
          <w:b w:val="0"/>
          <w:u w:val="none"/>
        </w:rPr>
        <w:t xml:space="preserve"> The date of full execution of this PPA, which will be the date on which GPC</w:t>
      </w:r>
      <w:r w:rsidRPr="00A213B8" w:rsidDel="00A43853">
        <w:rPr>
          <w:rFonts w:cs="Arial"/>
          <w:b w:val="0"/>
          <w:u w:val="none"/>
        </w:rPr>
        <w:t xml:space="preserve"> </w:t>
      </w:r>
      <w:r w:rsidRPr="00A213B8">
        <w:rPr>
          <w:rFonts w:cs="Arial"/>
          <w:b w:val="0"/>
          <w:u w:val="none"/>
        </w:rPr>
        <w:t>signs this PPA, as shown on the signature page.</w:t>
      </w:r>
    </w:p>
    <w:p w:rsidRPr="00A213B8" w:rsidR="00A46475" w:rsidP="00B256DC" w:rsidRDefault="00A46475" w14:paraId="44D6BDA4" w14:textId="1B208DDD">
      <w:pPr>
        <w:spacing w:before="120" w:after="120" w:line="240" w:lineRule="auto"/>
        <w:jc w:val="both"/>
        <w:rPr>
          <w:rFonts w:ascii="Arial" w:hAnsi="Arial" w:cs="Arial"/>
          <w:sz w:val="20"/>
          <w:szCs w:val="20"/>
        </w:rPr>
      </w:pPr>
      <w:r w:rsidRPr="00A213B8">
        <w:rPr>
          <w:rFonts w:ascii="Arial" w:hAnsi="Arial" w:cs="Arial"/>
          <w:b/>
          <w:bCs/>
          <w:sz w:val="20"/>
          <w:szCs w:val="20"/>
          <w:u w:val="single"/>
        </w:rPr>
        <w:t>Effective Date Accounting Standards</w:t>
      </w:r>
      <w:r w:rsidRPr="00A213B8">
        <w:rPr>
          <w:rFonts w:ascii="Arial" w:hAnsi="Arial" w:cs="Arial"/>
          <w:sz w:val="20"/>
          <w:szCs w:val="20"/>
        </w:rPr>
        <w:t>: As defined in Section 2.1.8(i) (</w:t>
      </w:r>
      <w:r w:rsidRPr="00A213B8">
        <w:rPr>
          <w:rFonts w:ascii="Arial" w:hAnsi="Arial" w:cs="Arial"/>
          <w:i/>
          <w:iCs/>
          <w:sz w:val="20"/>
          <w:szCs w:val="20"/>
        </w:rPr>
        <w:t>VIE Certification</w:t>
      </w:r>
      <w:r w:rsidRPr="00A213B8">
        <w:rPr>
          <w:rFonts w:ascii="Arial" w:hAnsi="Arial" w:cs="Arial"/>
          <w:sz w:val="20"/>
          <w:szCs w:val="20"/>
        </w:rPr>
        <w:t xml:space="preserve">). </w:t>
      </w:r>
    </w:p>
    <w:p w:rsidRPr="00A213B8" w:rsidR="002D54C4" w:rsidP="00261AEB" w:rsidRDefault="002D54C4" w14:paraId="65A416F9" w14:textId="2B309E7B">
      <w:pPr>
        <w:pStyle w:val="Heading3"/>
        <w:keepNext w:val="0"/>
        <w:keepLines w:val="0"/>
        <w:widowControl w:val="0"/>
        <w:spacing w:before="120"/>
        <w:rPr>
          <w:rFonts w:cs="Arial"/>
          <w:b w:val="0"/>
          <w:u w:val="none"/>
        </w:rPr>
      </w:pPr>
      <w:r w:rsidRPr="00A213B8">
        <w:rPr>
          <w:rFonts w:cs="Arial"/>
        </w:rPr>
        <w:t>Electric System</w:t>
      </w:r>
      <w:r w:rsidRPr="00A213B8">
        <w:rPr>
          <w:rFonts w:cs="Arial"/>
          <w:u w:val="none"/>
        </w:rPr>
        <w:t>:</w:t>
      </w:r>
      <w:r w:rsidRPr="00A213B8">
        <w:rPr>
          <w:rFonts w:cs="Arial"/>
          <w:b w:val="0"/>
          <w:u w:val="none"/>
        </w:rPr>
        <w:t xml:space="preserve"> The network of electric generation, transmission, or distribution facilities owned or operated by GPC or other electric utilities.</w:t>
      </w:r>
    </w:p>
    <w:p w:rsidRPr="00A213B8" w:rsidR="002D54C4" w:rsidP="00261AEB" w:rsidRDefault="002D54C4" w14:paraId="5E554D99" w14:textId="3E546936">
      <w:pPr>
        <w:pStyle w:val="Heading3"/>
        <w:keepNext w:val="0"/>
        <w:keepLines w:val="0"/>
        <w:widowControl w:val="0"/>
        <w:spacing w:before="120"/>
        <w:rPr>
          <w:rFonts w:cs="Arial"/>
          <w:b w:val="0"/>
          <w:u w:val="none"/>
        </w:rPr>
      </w:pPr>
      <w:r w:rsidRPr="00A213B8">
        <w:rPr>
          <w:rFonts w:cs="Arial"/>
        </w:rPr>
        <w:lastRenderedPageBreak/>
        <w:t>Electrical Products</w:t>
      </w:r>
      <w:r w:rsidRPr="00A213B8">
        <w:rPr>
          <w:rFonts w:cs="Arial"/>
          <w:u w:val="none"/>
        </w:rPr>
        <w:t xml:space="preserve">: </w:t>
      </w:r>
      <w:r w:rsidRPr="00A213B8">
        <w:rPr>
          <w:rFonts w:cs="Arial"/>
          <w:b w:val="0"/>
          <w:u w:val="none"/>
        </w:rPr>
        <w:t>All electrical products produced by or related to the Facility, including spinning reserves, operating reserves, black start capability, balancing energy, regulation service, ramping capability, reactive power and voltage control, frequency control, and other ancillary or essential reliability service products. Electrical Products also include any benefit GPC</w:t>
      </w:r>
      <w:bookmarkStart w:name="_Hlk149775265" w:id="29"/>
      <w:r w:rsidRPr="00A213B8">
        <w:rPr>
          <w:rFonts w:cs="Arial"/>
          <w:b w:val="0"/>
          <w:u w:val="none"/>
        </w:rPr>
        <w:t xml:space="preserve"> otherwise would have realized from or related to the Facility if GPC</w:t>
      </w:r>
      <w:bookmarkEnd w:id="29"/>
      <w:r w:rsidRPr="00A213B8">
        <w:rPr>
          <w:rFonts w:cs="Arial"/>
          <w:b w:val="0"/>
          <w:u w:val="none"/>
        </w:rPr>
        <w:t>, rather than Seller, had constructed, owned, or operated the Facility, it being the Parties’ intent that all those benefits and entitlements, in addition to electrical output, that flow from construction, ownership, or operation of the Facility, whether existing as of the Effective Date or at any time during the Term, will belong to GPC, at no additional cost to GPC</w:t>
      </w:r>
      <w:r w:rsidRPr="00A213B8">
        <w:rPr>
          <w:rStyle w:val="cf01"/>
          <w:rFonts w:ascii="Arial" w:hAnsi="Arial" w:cs="Arial"/>
          <w:b w:val="0"/>
          <w:sz w:val="20"/>
          <w:szCs w:val="20"/>
          <w:u w:val="none"/>
        </w:rPr>
        <w:t>.</w:t>
      </w:r>
      <w:r w:rsidRPr="00A213B8">
        <w:rPr>
          <w:rFonts w:cs="Arial"/>
          <w:b w:val="0"/>
          <w:u w:val="none"/>
        </w:rPr>
        <w:t xml:space="preserve"> Electrical Products do not include: (i) any federal, state, or local tax attribute arising from ownership of the Facility, including </w:t>
      </w:r>
      <w:r w:rsidRPr="00A213B8" w:rsidR="00B87E36">
        <w:rPr>
          <w:rFonts w:cs="Arial"/>
          <w:b w:val="0"/>
          <w:u w:val="none"/>
        </w:rPr>
        <w:t xml:space="preserve">investment </w:t>
      </w:r>
      <w:r w:rsidRPr="00A213B8" w:rsidR="005E7EBB">
        <w:rPr>
          <w:rFonts w:cs="Arial"/>
          <w:b w:val="0"/>
          <w:u w:val="none"/>
        </w:rPr>
        <w:t>tax</w:t>
      </w:r>
      <w:r w:rsidRPr="00A213B8" w:rsidR="00B87E36">
        <w:rPr>
          <w:rFonts w:cs="Arial"/>
          <w:b w:val="0"/>
          <w:u w:val="none"/>
        </w:rPr>
        <w:t xml:space="preserve"> credit (</w:t>
      </w:r>
      <w:r w:rsidRPr="00A213B8">
        <w:rPr>
          <w:rFonts w:cs="Arial"/>
          <w:b w:val="0"/>
          <w:u w:val="none"/>
        </w:rPr>
        <w:t>ITC</w:t>
      </w:r>
      <w:r w:rsidRPr="00A213B8" w:rsidR="00B87E36">
        <w:rPr>
          <w:rFonts w:cs="Arial"/>
          <w:b w:val="0"/>
          <w:u w:val="none"/>
        </w:rPr>
        <w:t>)</w:t>
      </w:r>
      <w:r w:rsidRPr="00A213B8">
        <w:rPr>
          <w:rFonts w:cs="Arial"/>
          <w:b w:val="0"/>
          <w:u w:val="none"/>
        </w:rPr>
        <w:t xml:space="preserve">, </w:t>
      </w:r>
      <w:r w:rsidRPr="00A213B8" w:rsidR="00B87E36">
        <w:rPr>
          <w:rFonts w:cs="Arial"/>
          <w:b w:val="0"/>
          <w:u w:val="none"/>
        </w:rPr>
        <w:t>production tax credit (</w:t>
      </w:r>
      <w:r w:rsidRPr="00A213B8">
        <w:rPr>
          <w:rFonts w:cs="Arial"/>
          <w:b w:val="0"/>
          <w:u w:val="none"/>
        </w:rPr>
        <w:t>PTC</w:t>
      </w:r>
      <w:r w:rsidRPr="00A213B8" w:rsidR="00B87E36">
        <w:rPr>
          <w:rFonts w:cs="Arial"/>
          <w:b w:val="0"/>
          <w:u w:val="none"/>
        </w:rPr>
        <w:t>)</w:t>
      </w:r>
      <w:r w:rsidRPr="00A213B8">
        <w:rPr>
          <w:rFonts w:cs="Arial"/>
          <w:b w:val="0"/>
          <w:u w:val="none"/>
        </w:rPr>
        <w:t>, or depreciation deductions; (ii) any grant in lieu of investment tax credit or any similar financial payment or grant regarding the Facility; or (iii) the metered electric energy produced by the Facility.</w:t>
      </w:r>
    </w:p>
    <w:p w:rsidRPr="00A213B8" w:rsidR="00A126E1" w:rsidP="00261AEB" w:rsidRDefault="002D54C4" w14:paraId="287F7E01" w14:textId="47551D46">
      <w:pPr>
        <w:pStyle w:val="Heading3"/>
        <w:keepNext w:val="0"/>
        <w:keepLines w:val="0"/>
        <w:widowControl w:val="0"/>
        <w:spacing w:before="120"/>
        <w:rPr>
          <w:rFonts w:cs="Arial"/>
          <w:b w:val="0"/>
          <w:u w:val="none"/>
        </w:rPr>
      </w:pPr>
      <w:r w:rsidRPr="00A213B8">
        <w:rPr>
          <w:rFonts w:cs="Arial"/>
        </w:rPr>
        <w:t>Eligible Collateral</w:t>
      </w:r>
      <w:r w:rsidRPr="00A213B8">
        <w:rPr>
          <w:rFonts w:cs="Arial"/>
          <w:u w:val="none"/>
        </w:rPr>
        <w:t xml:space="preserve">: </w:t>
      </w:r>
      <w:r w:rsidRPr="00A213B8">
        <w:rPr>
          <w:rFonts w:cs="Arial"/>
          <w:b w:val="0"/>
          <w:u w:val="none"/>
        </w:rPr>
        <w:t>Either:</w:t>
      </w:r>
      <w:r w:rsidRPr="00A213B8" w:rsidDel="0095330D">
        <w:rPr>
          <w:rFonts w:cs="Arial"/>
          <w:b w:val="0"/>
          <w:u w:val="none"/>
        </w:rPr>
        <w:t xml:space="preserve"> </w:t>
      </w:r>
      <w:r w:rsidRPr="00A213B8">
        <w:rPr>
          <w:rFonts w:cs="Arial"/>
          <w:b w:val="0"/>
          <w:u w:val="none"/>
        </w:rPr>
        <w:t>(i) a Letter of Credit</w:t>
      </w:r>
      <w:r w:rsidRPr="00A213B8" w:rsidR="003B107D">
        <w:rPr>
          <w:rFonts w:cs="Arial"/>
          <w:b w:val="0"/>
          <w:u w:val="none"/>
        </w:rPr>
        <w:t>;</w:t>
      </w:r>
      <w:r w:rsidRPr="00A213B8">
        <w:rPr>
          <w:rFonts w:cs="Arial"/>
          <w:b w:val="0"/>
          <w:u w:val="none"/>
        </w:rPr>
        <w:t xml:space="preserve"> (ii) cash deposited into a GPC</w:t>
      </w:r>
      <w:r w:rsidRPr="00A213B8" w:rsidDel="00384C2C">
        <w:rPr>
          <w:rFonts w:cs="Arial"/>
          <w:b w:val="0"/>
          <w:u w:val="none"/>
        </w:rPr>
        <w:t xml:space="preserve"> </w:t>
      </w:r>
      <w:r w:rsidRPr="00A213B8">
        <w:rPr>
          <w:rFonts w:cs="Arial"/>
          <w:b w:val="0"/>
          <w:u w:val="none"/>
        </w:rPr>
        <w:t>Security Account by Seller</w:t>
      </w:r>
      <w:r w:rsidRPr="00A213B8" w:rsidR="003B107D">
        <w:rPr>
          <w:rFonts w:cs="Arial"/>
          <w:b w:val="0"/>
          <w:u w:val="none"/>
        </w:rPr>
        <w:t>;</w:t>
      </w:r>
      <w:r w:rsidRPr="00A213B8">
        <w:rPr>
          <w:rFonts w:cs="Arial"/>
          <w:b w:val="0"/>
          <w:u w:val="none"/>
        </w:rPr>
        <w:t xml:space="preserve"> or (iii) a Seller Guaranty. However,</w:t>
      </w:r>
      <w:r w:rsidRPr="00A213B8" w:rsidDel="00847634">
        <w:rPr>
          <w:rFonts w:cs="Arial"/>
          <w:b w:val="0"/>
          <w:u w:val="none"/>
        </w:rPr>
        <w:t xml:space="preserve"> </w:t>
      </w:r>
      <w:r w:rsidRPr="00A213B8">
        <w:rPr>
          <w:rFonts w:cs="Arial"/>
          <w:b w:val="0"/>
          <w:u w:val="none"/>
        </w:rPr>
        <w:t>at least 50% of any Eligible Collateral required under any provision of this PPA must be in the form of either a Letter of Credit or cash deposited into a GPC</w:t>
      </w:r>
      <w:r w:rsidRPr="00A213B8" w:rsidDel="00384C2C">
        <w:rPr>
          <w:rFonts w:cs="Arial"/>
          <w:b w:val="0"/>
          <w:u w:val="none"/>
        </w:rPr>
        <w:t xml:space="preserve"> </w:t>
      </w:r>
      <w:r w:rsidRPr="00A213B8">
        <w:rPr>
          <w:rFonts w:cs="Arial"/>
          <w:b w:val="0"/>
          <w:u w:val="none"/>
        </w:rPr>
        <w:t xml:space="preserve">Security Account, whenever a Seller Guarantor supplying a Seller Guaranty under this PPA has an investment grade rating such that its senior unsecured debt (or issuer rating if such Person has no senior unsecured debt rating) is not rated at least: (a) BBB by S&amp;P, if rated by S&amp;P; (b) Baa2 by Moody’s, if rated by Moody’s; </w:t>
      </w:r>
      <w:r w:rsidRPr="00A213B8" w:rsidDel="00C15105">
        <w:rPr>
          <w:rFonts w:cs="Arial"/>
          <w:b w:val="0"/>
          <w:u w:val="none"/>
        </w:rPr>
        <w:t xml:space="preserve">and </w:t>
      </w:r>
      <w:r w:rsidRPr="00A213B8">
        <w:rPr>
          <w:rFonts w:cs="Arial"/>
          <w:b w:val="0"/>
          <w:u w:val="none"/>
        </w:rPr>
        <w:t>(c) BBB by Fitch, if rated by Fitch. For the purposes of the immediately preceding sentence, a Person is not required to have a senior unsecured debt rating (or issuer rating if such Person has no senior unsecured debt rating) from each of S&amp;P, Moody’s, and Fitch, but must have the requisite senior unsecured debt rating (or issuer rating if such Person has no senior unsecured debt rating) as set forth above from at least two of the three Rating Agencies.</w:t>
      </w:r>
      <w:r w:rsidRPr="00A213B8" w:rsidR="00A94FEF">
        <w:rPr>
          <w:rFonts w:cs="Arial"/>
          <w:b w:val="0"/>
          <w:u w:val="none"/>
        </w:rPr>
        <w:t xml:space="preserve"> </w:t>
      </w:r>
    </w:p>
    <w:p w:rsidRPr="00A213B8" w:rsidR="004142E4" w:rsidP="00261AEB" w:rsidRDefault="004142E4" w14:paraId="759A2B57" w14:textId="0ABEE0DC">
      <w:pPr>
        <w:pStyle w:val="Heading3"/>
        <w:keepNext w:val="0"/>
        <w:keepLines w:val="0"/>
        <w:widowControl w:val="0"/>
        <w:spacing w:before="120"/>
        <w:rPr>
          <w:rFonts w:cs="Arial"/>
        </w:rPr>
      </w:pPr>
      <w:r w:rsidRPr="00A213B8">
        <w:rPr>
          <w:rFonts w:cs="Arial"/>
        </w:rPr>
        <w:t>Emergency Condition</w:t>
      </w:r>
      <w:r w:rsidRPr="00A213B8">
        <w:rPr>
          <w:rFonts w:cs="Arial"/>
          <w:u w:val="none"/>
        </w:rPr>
        <w:t xml:space="preserve">: </w:t>
      </w:r>
      <w:r w:rsidRPr="00A213B8">
        <w:rPr>
          <w:rFonts w:cs="Arial"/>
          <w:b w:val="0"/>
          <w:u w:val="none"/>
        </w:rPr>
        <w:t xml:space="preserve">Defined in the </w:t>
      </w:r>
      <w:r w:rsidRPr="00A213B8" w:rsidR="004878ED">
        <w:rPr>
          <w:rFonts w:cs="Arial"/>
          <w:b w:val="0"/>
          <w:u w:val="none"/>
        </w:rPr>
        <w:t>IA</w:t>
      </w:r>
      <w:r w:rsidRPr="00A213B8">
        <w:rPr>
          <w:rFonts w:cs="Arial"/>
          <w:b w:val="0"/>
          <w:u w:val="none"/>
        </w:rPr>
        <w:t>.</w:t>
      </w:r>
    </w:p>
    <w:p w:rsidRPr="00A213B8" w:rsidR="00A8768C" w:rsidP="00261AEB" w:rsidRDefault="00A8768C" w14:paraId="05323FA9" w14:textId="2750EC69">
      <w:pPr>
        <w:pStyle w:val="Heading3"/>
        <w:keepNext w:val="0"/>
        <w:keepLines w:val="0"/>
        <w:widowControl w:val="0"/>
        <w:spacing w:before="120"/>
        <w:rPr>
          <w:rFonts w:cs="Arial"/>
        </w:rPr>
      </w:pPr>
      <w:r w:rsidRPr="00A213B8">
        <w:rPr>
          <w:rFonts w:cs="Arial"/>
        </w:rPr>
        <w:t>Energy Storage Performance Metric</w:t>
      </w:r>
      <w:r w:rsidRPr="00A213B8">
        <w:rPr>
          <w:rFonts w:cs="Arial"/>
          <w:u w:val="none"/>
        </w:rPr>
        <w:t>:</w:t>
      </w:r>
      <w:r w:rsidRPr="00A213B8">
        <w:rPr>
          <w:rFonts w:cs="Arial"/>
          <w:b w:val="0"/>
          <w:bCs w:val="0"/>
          <w:u w:val="none"/>
        </w:rPr>
        <w:t xml:space="preserve"> </w:t>
      </w:r>
      <w:r w:rsidRPr="00A213B8" w:rsidR="00CB56B5">
        <w:rPr>
          <w:rFonts w:cs="Arial"/>
          <w:b w:val="0"/>
          <w:bCs w:val="0"/>
          <w:u w:val="none"/>
        </w:rPr>
        <w:t xml:space="preserve">As defined in </w:t>
      </w:r>
      <w:r w:rsidRPr="00A213B8" w:rsidR="0022041C">
        <w:rPr>
          <w:rFonts w:cs="Arial"/>
          <w:b w:val="0"/>
          <w:u w:val="none"/>
        </w:rPr>
        <w:t xml:space="preserve">Section </w:t>
      </w:r>
      <w:r w:rsidRPr="00A213B8" w:rsidR="000D3875">
        <w:rPr>
          <w:rFonts w:cs="Arial"/>
          <w:b w:val="0"/>
          <w:u w:val="none"/>
        </w:rPr>
        <w:t>2</w:t>
      </w:r>
      <w:r w:rsidRPr="00A213B8" w:rsidR="0022041C">
        <w:rPr>
          <w:rFonts w:cs="Arial"/>
          <w:b w:val="0"/>
          <w:u w:val="none"/>
        </w:rPr>
        <w:t>.3.</w:t>
      </w:r>
      <w:r w:rsidRPr="00A213B8" w:rsidR="000D0EC8">
        <w:rPr>
          <w:rFonts w:cs="Arial"/>
          <w:b w:val="0"/>
          <w:u w:val="none"/>
        </w:rPr>
        <w:t>1</w:t>
      </w:r>
      <w:r w:rsidRPr="00A213B8" w:rsidR="004B59B5">
        <w:rPr>
          <w:rFonts w:cs="Arial"/>
          <w:b w:val="0"/>
          <w:u w:val="none"/>
        </w:rPr>
        <w:t xml:space="preserve"> </w:t>
      </w:r>
      <w:r w:rsidRPr="00A213B8" w:rsidR="004B59B5">
        <w:rPr>
          <w:rFonts w:cs="Arial"/>
          <w:b w:val="0"/>
          <w:bCs w:val="0"/>
          <w:u w:val="none"/>
        </w:rPr>
        <w:t>(</w:t>
      </w:r>
      <w:r w:rsidRPr="00A213B8" w:rsidR="004B59B5">
        <w:rPr>
          <w:rFonts w:cs="Arial"/>
          <w:b w:val="0"/>
          <w:bCs w:val="0"/>
          <w:i/>
          <w:iCs/>
          <w:u w:val="none"/>
        </w:rPr>
        <w:t>Energy Storage Performance Metric</w:t>
      </w:r>
      <w:r w:rsidRPr="00A213B8" w:rsidR="004B59B5">
        <w:rPr>
          <w:rFonts w:cs="Arial"/>
          <w:b w:val="0"/>
          <w:bCs w:val="0"/>
          <w:u w:val="none"/>
        </w:rPr>
        <w:t xml:space="preserve">) </w:t>
      </w:r>
      <w:r w:rsidRPr="00A213B8" w:rsidR="0022041C">
        <w:rPr>
          <w:rFonts w:cs="Arial"/>
          <w:b w:val="0"/>
          <w:u w:val="none"/>
        </w:rPr>
        <w:t xml:space="preserve">of </w:t>
      </w:r>
      <w:r w:rsidRPr="00A213B8" w:rsidR="00CB56B5">
        <w:rPr>
          <w:rFonts w:cs="Arial"/>
          <w:b w:val="0"/>
          <w:u w:val="none"/>
        </w:rPr>
        <w:t>Exhibit C (</w:t>
      </w:r>
      <w:r w:rsidRPr="00A213B8" w:rsidR="000D3875">
        <w:rPr>
          <w:rFonts w:cs="Arial"/>
          <w:b w:val="0"/>
          <w:i/>
          <w:u w:val="none"/>
        </w:rPr>
        <w:t>Monthly Capacity P</w:t>
      </w:r>
      <w:r w:rsidRPr="00A213B8" w:rsidR="00B5623B">
        <w:rPr>
          <w:rFonts w:cs="Arial"/>
          <w:b w:val="0"/>
          <w:i/>
          <w:u w:val="none"/>
        </w:rPr>
        <w:t>ayments; Monthly Capacity Reductions</w:t>
      </w:r>
      <w:r w:rsidRPr="00A213B8" w:rsidR="000D3875">
        <w:rPr>
          <w:rFonts w:cs="Arial"/>
          <w:b w:val="0"/>
          <w:i/>
          <w:u w:val="none"/>
        </w:rPr>
        <w:t xml:space="preserve">; AGC </w:t>
      </w:r>
      <w:r w:rsidRPr="00A213B8" w:rsidR="00B5623B">
        <w:rPr>
          <w:rFonts w:cs="Arial"/>
          <w:b w:val="0"/>
          <w:i/>
          <w:u w:val="none"/>
        </w:rPr>
        <w:t>Performance</w:t>
      </w:r>
      <w:r w:rsidRPr="00A213B8" w:rsidR="004C6ED4">
        <w:rPr>
          <w:rFonts w:cs="Arial"/>
          <w:b w:val="0"/>
          <w:i/>
          <w:u w:val="none"/>
        </w:rPr>
        <w:t xml:space="preserve"> Metrics and</w:t>
      </w:r>
      <w:r w:rsidRPr="00A213B8" w:rsidR="00B5623B">
        <w:rPr>
          <w:rFonts w:cs="Arial"/>
          <w:b w:val="0"/>
          <w:i/>
          <w:u w:val="none"/>
        </w:rPr>
        <w:t xml:space="preserve"> Requirements</w:t>
      </w:r>
      <w:r w:rsidRPr="00A213B8" w:rsidR="00CB56B5">
        <w:rPr>
          <w:rFonts w:cs="Arial"/>
          <w:b w:val="0"/>
          <w:u w:val="none"/>
        </w:rPr>
        <w:t>)</w:t>
      </w:r>
      <w:r w:rsidRPr="00A213B8" w:rsidR="00CB56B5">
        <w:rPr>
          <w:rFonts w:cs="Arial"/>
          <w:b w:val="0"/>
          <w:bCs w:val="0"/>
          <w:u w:val="none"/>
        </w:rPr>
        <w:t>.</w:t>
      </w:r>
    </w:p>
    <w:p w:rsidRPr="00A213B8" w:rsidR="00890548" w:rsidP="00261AEB" w:rsidRDefault="002D54C4" w14:paraId="2D24FFB5" w14:textId="06DF4ADE">
      <w:pPr>
        <w:pStyle w:val="Heading3"/>
        <w:keepNext w:val="0"/>
        <w:keepLines w:val="0"/>
        <w:widowControl w:val="0"/>
        <w:spacing w:before="120"/>
        <w:rPr>
          <w:rFonts w:cs="Arial"/>
          <w:b w:val="0"/>
          <w:u w:val="none"/>
        </w:rPr>
      </w:pPr>
      <w:r w:rsidRPr="00A213B8">
        <w:rPr>
          <w:rFonts w:cs="Arial"/>
        </w:rPr>
        <w:t>Environmental Attributes</w:t>
      </w:r>
      <w:r w:rsidRPr="00A213B8">
        <w:rPr>
          <w:rFonts w:cs="Arial"/>
          <w:u w:val="none"/>
        </w:rPr>
        <w:t>:</w:t>
      </w:r>
      <w:r w:rsidRPr="00A213B8">
        <w:rPr>
          <w:rFonts w:cs="Arial"/>
          <w:b w:val="0"/>
          <w:u w:val="none"/>
        </w:rPr>
        <w:t xml:space="preserve"> Either: (i) all fuel-related, emissions-related, air quality-related, or other environmental-related aspects, claims, characteristics, benefits, credits (including RECs), reductions, offsets, savings, allowances, efficiencies, certificates, tags, attributes, demand reductions, or similar products or rights (including all of those relating to greenhouse gases and all green certificates, green tags, renewable certificates, RECs, CO2 credits, and emission reduction credits, and all those that otherwise arise or result from the generation of energy from the Facility, and all those arising or resulting from the existence of the Facility): (a) howsoever titled and whether known or unknown; (b) whether existing as of the Effective Date or at any time during the Term; and (c) whether the Environmental Attributes have been certified or verified under any renewable standard, including all those that could qualify or do qualify for application toward compliance with any local, state, federal or international renewable energy portfolio standard, green pricing program, renewable energy program, carbon reduction or greenhouse gas reduction initiative, </w:t>
      </w:r>
      <w:r w:rsidRPr="00A93B70" w:rsidR="00FE0EBE">
        <w:rPr>
          <w:b w:val="0"/>
          <w:u w:val="none"/>
        </w:rPr>
        <w:t>carbon or greenhouse gas offset program, carbon or greenhouse trading program, carbon or greenhouse gas cap and trade program, carbon or greenhouse taxation</w:t>
      </w:r>
      <w:r w:rsidR="00FE0EBE">
        <w:rPr>
          <w:b w:val="0"/>
          <w:u w:val="none"/>
        </w:rPr>
        <w:t>,</w:t>
      </w:r>
      <w:r w:rsidRPr="00A213B8" w:rsidR="00FE0EBE">
        <w:rPr>
          <w:rFonts w:cs="Arial"/>
          <w:b w:val="0"/>
          <w:u w:val="none"/>
        </w:rPr>
        <w:t xml:space="preserve"> </w:t>
      </w:r>
      <w:r w:rsidRPr="00A213B8">
        <w:rPr>
          <w:rFonts w:cs="Arial"/>
          <w:b w:val="0"/>
          <w:u w:val="none"/>
        </w:rPr>
        <w:t>electricity savings program, or other environmental program, incentive, mandate, or objective, in each case whether voluntary or mandatory; or (ii) all environmental benefits GPC otherwise would have realized from or related to the Facility if GPC, rather than Seller, had constructed, owned, or operated the Facility, as applicable. Environmental Attributes do not include: (I) any federal, state, or local tax attribute arising from ownership of the Facility, including any investment tax credit (ITC), production tax credit (PTC), or depreciation deduction;</w:t>
      </w:r>
      <w:r w:rsidRPr="00A213B8" w:rsidDel="00B062D2">
        <w:rPr>
          <w:rFonts w:cs="Arial"/>
          <w:b w:val="0"/>
          <w:u w:val="none"/>
        </w:rPr>
        <w:t xml:space="preserve"> </w:t>
      </w:r>
      <w:r w:rsidRPr="00A213B8">
        <w:rPr>
          <w:rFonts w:cs="Arial"/>
          <w:b w:val="0"/>
          <w:u w:val="none"/>
        </w:rPr>
        <w:t>(II) any grant in lieu of ITC or any similar financial payment or grant regarding the Facility; or (III) the metered electric energy produced by the Facility.</w:t>
      </w:r>
    </w:p>
    <w:p w:rsidRPr="00A213B8" w:rsidR="00890548" w:rsidP="00261AEB" w:rsidRDefault="002D54C4" w14:paraId="71A214FF" w14:textId="18BD5375">
      <w:pPr>
        <w:pStyle w:val="Heading3"/>
        <w:keepNext w:val="0"/>
        <w:keepLines w:val="0"/>
        <w:widowControl w:val="0"/>
        <w:spacing w:before="120"/>
        <w:rPr>
          <w:rFonts w:cs="Arial"/>
          <w:b w:val="0"/>
          <w:u w:val="none"/>
        </w:rPr>
      </w:pPr>
      <w:bookmarkStart w:name="_cp_change_452" w:id="30"/>
      <w:r w:rsidRPr="00A213B8">
        <w:rPr>
          <w:rFonts w:cs="Arial"/>
        </w:rPr>
        <w:t>Environmental Law</w:t>
      </w:r>
      <w:r w:rsidRPr="00A213B8">
        <w:rPr>
          <w:rFonts w:cs="Arial"/>
          <w:u w:val="none"/>
        </w:rPr>
        <w:t xml:space="preserve">: </w:t>
      </w:r>
      <w:r w:rsidRPr="00A213B8">
        <w:rPr>
          <w:rFonts w:cs="Arial"/>
          <w:b w:val="0"/>
          <w:u w:val="none"/>
        </w:rPr>
        <w:t xml:space="preserve">Any applicable law that relates to pollution, occupational safety, protection of occupational health, or the protection of the environment, including, (a) the Comprehensive Environmental Response, Compensation and Liability Act, 42 U.S.C. § 9601 et seq., (b) the Resource Conservation and Recovery Act, 42 U.S.C. § 6901 et seq., (c) the Federal Water Pollution Control Act, 33 U.S.C. § 1251 et seq., (d) the Clean Air Act, 42 U.S.C. § 7401 et seq., (e) the Hazardous Materials Transportation Authorization Act of 1994, 49 U.S.C. § 5101 et seq., (f) the Toxic Substances Control Act, 15 U.S.C. §§ </w:t>
      </w:r>
      <w:r w:rsidRPr="00A213B8">
        <w:rPr>
          <w:rFonts w:cs="Arial"/>
          <w:b w:val="0"/>
          <w:u w:val="none"/>
        </w:rPr>
        <w:lastRenderedPageBreak/>
        <w:t>2601 through 2629, (g) the Oil Pollution Act, 33 U.S.C. § 2701 et seq., (h) the Emergency Planning and Community Right-to-Know Act, 42 U.S.C. § 11001 et seq., (i) the Safe Drinking Water Act, 42 U.S.C. §§ 300f through 300j, (j) the Federal Insecticide, Fungicide, &amp; Rodenticide Act, 7 U.S.C. § 136 et seq., (k) the Endangered Species Act, 16 U.S.C. § 1531 et seq., (l) the Clean Water Act, 33 U.S.C. § 1251 et seq., (m) National Environmental Policy Act, 42 U.S.C. § 55 et seq., (n) the Migratory Bird Treaty Act, 16 U.S.C. § 703 et seq., (o) the Bald and Golden Eagle Protection Act, (p) Archeological Resources Protection Act, 16 U.S.C. § 470aa et seq., (q) National Historic Preservation Act, 54 U.S.C. § 300101 et seq., and (</w:t>
      </w:r>
      <w:r w:rsidRPr="00A213B8" w:rsidR="00014EBE">
        <w:rPr>
          <w:rFonts w:cs="Arial"/>
          <w:b w:val="0"/>
          <w:u w:val="none"/>
        </w:rPr>
        <w:t>r</w:t>
      </w:r>
      <w:r w:rsidRPr="00A213B8">
        <w:rPr>
          <w:rFonts w:cs="Arial"/>
          <w:b w:val="0"/>
          <w:u w:val="none"/>
        </w:rPr>
        <w:t xml:space="preserve">) state </w:t>
      </w:r>
      <w:r w:rsidRPr="00A213B8" w:rsidR="00E2167C">
        <w:rPr>
          <w:rFonts w:cs="Arial"/>
          <w:b w:val="0"/>
          <w:u w:val="none"/>
        </w:rPr>
        <w:t xml:space="preserve">or local </w:t>
      </w:r>
      <w:r w:rsidRPr="00A213B8">
        <w:rPr>
          <w:rFonts w:cs="Arial"/>
          <w:b w:val="0"/>
          <w:u w:val="none"/>
        </w:rPr>
        <w:t xml:space="preserve">equivalents to items (a) through (q). However, the term “Environmental Law” </w:t>
      </w:r>
      <w:r w:rsidR="00E34CCB">
        <w:rPr>
          <w:rFonts w:cs="Arial"/>
          <w:b w:val="0"/>
          <w:u w:val="none"/>
        </w:rPr>
        <w:t>does</w:t>
      </w:r>
      <w:r w:rsidRPr="00A213B8" w:rsidR="00E34CCB">
        <w:rPr>
          <w:rFonts w:cs="Arial"/>
          <w:b w:val="0"/>
          <w:u w:val="none"/>
        </w:rPr>
        <w:t xml:space="preserve"> </w:t>
      </w:r>
      <w:r w:rsidRPr="00A213B8">
        <w:rPr>
          <w:rFonts w:cs="Arial"/>
          <w:b w:val="0"/>
          <w:u w:val="none"/>
        </w:rPr>
        <w:t>not include any law relating to worker health or safety matters to the extent not related to human exposure to hazardous or toxic materials, wastes, or substances.</w:t>
      </w:r>
      <w:bookmarkEnd w:id="30"/>
    </w:p>
    <w:p w:rsidRPr="00A213B8" w:rsidR="00C64B83" w:rsidP="00C64B83" w:rsidRDefault="00C64B83" w14:paraId="7CD345D5" w14:textId="76BEEA32">
      <w:pPr>
        <w:spacing w:before="120" w:after="120" w:line="240" w:lineRule="auto"/>
        <w:rPr>
          <w:rFonts w:ascii="Arial" w:hAnsi="Arial" w:cs="Arial"/>
          <w:sz w:val="20"/>
          <w:szCs w:val="20"/>
        </w:rPr>
      </w:pPr>
      <w:r>
        <w:rPr>
          <w:rFonts w:ascii="Arial" w:hAnsi="Arial" w:cs="Arial"/>
          <w:b/>
          <w:bCs/>
          <w:sz w:val="20"/>
          <w:szCs w:val="20"/>
          <w:u w:val="single"/>
        </w:rPr>
        <w:t xml:space="preserve">Environmental </w:t>
      </w:r>
      <w:r w:rsidRPr="00A213B8">
        <w:rPr>
          <w:rFonts w:ascii="Arial" w:hAnsi="Arial" w:cs="Arial"/>
          <w:b/>
          <w:bCs/>
          <w:sz w:val="20"/>
          <w:szCs w:val="20"/>
          <w:u w:val="single"/>
        </w:rPr>
        <w:t>Recommend</w:t>
      </w:r>
      <w:r>
        <w:rPr>
          <w:rFonts w:ascii="Arial" w:hAnsi="Arial" w:cs="Arial"/>
          <w:b/>
          <w:bCs/>
          <w:sz w:val="20"/>
          <w:szCs w:val="20"/>
          <w:u w:val="single"/>
        </w:rPr>
        <w:t>ations</w:t>
      </w:r>
      <w:r w:rsidRPr="000432D0">
        <w:rPr>
          <w:rFonts w:ascii="Arial" w:hAnsi="Arial" w:cs="Arial"/>
          <w:b/>
          <w:bCs/>
          <w:sz w:val="20"/>
          <w:szCs w:val="20"/>
        </w:rPr>
        <w:t>:</w:t>
      </w:r>
      <w:r w:rsidRPr="00A213B8">
        <w:rPr>
          <w:rFonts w:ascii="Arial" w:hAnsi="Arial" w:cs="Arial"/>
          <w:sz w:val="20"/>
          <w:szCs w:val="20"/>
        </w:rPr>
        <w:t xml:space="preserve"> As defined in Section 17.4</w:t>
      </w:r>
      <w:r>
        <w:rPr>
          <w:rFonts w:ascii="Arial" w:hAnsi="Arial" w:cs="Arial"/>
          <w:sz w:val="20"/>
          <w:szCs w:val="20"/>
        </w:rPr>
        <w:t>.2</w:t>
      </w:r>
      <w:r w:rsidRPr="00A213B8">
        <w:rPr>
          <w:rFonts w:ascii="Arial" w:hAnsi="Arial" w:cs="Arial"/>
          <w:sz w:val="20"/>
          <w:szCs w:val="20"/>
        </w:rPr>
        <w:t xml:space="preserve"> (</w:t>
      </w:r>
      <w:r w:rsidRPr="005E24E4">
        <w:rPr>
          <w:rFonts w:ascii="Arial" w:hAnsi="Arial" w:cs="Arial"/>
          <w:i/>
          <w:iCs/>
          <w:sz w:val="20"/>
          <w:szCs w:val="20"/>
        </w:rPr>
        <w:t>Environmental</w:t>
      </w:r>
      <w:r>
        <w:rPr>
          <w:rFonts w:ascii="Arial" w:hAnsi="Arial" w:cs="Arial"/>
          <w:sz w:val="20"/>
          <w:szCs w:val="20"/>
        </w:rPr>
        <w:t xml:space="preserve"> </w:t>
      </w:r>
      <w:r w:rsidRPr="00A213B8">
        <w:rPr>
          <w:rFonts w:ascii="Arial" w:hAnsi="Arial" w:cs="Arial"/>
          <w:i/>
          <w:iCs/>
          <w:sz w:val="20"/>
          <w:szCs w:val="20"/>
        </w:rPr>
        <w:t>Compliance</w:t>
      </w:r>
      <w:r w:rsidRPr="00A213B8">
        <w:rPr>
          <w:rFonts w:ascii="Arial" w:hAnsi="Arial" w:cs="Arial"/>
          <w:sz w:val="20"/>
          <w:szCs w:val="20"/>
        </w:rPr>
        <w:t>).</w:t>
      </w:r>
    </w:p>
    <w:p w:rsidRPr="00A213B8" w:rsidR="00890548" w:rsidP="00261AEB" w:rsidRDefault="002D54C4" w14:paraId="2A854080" w14:textId="32377CD5">
      <w:pPr>
        <w:pStyle w:val="Heading3"/>
        <w:keepNext w:val="0"/>
        <w:keepLines w:val="0"/>
        <w:widowControl w:val="0"/>
        <w:spacing w:before="120"/>
        <w:rPr>
          <w:rFonts w:cs="Arial"/>
          <w:b w:val="0"/>
          <w:u w:val="none"/>
        </w:rPr>
      </w:pPr>
      <w:r w:rsidRPr="00A213B8">
        <w:rPr>
          <w:rFonts w:cs="Arial"/>
        </w:rPr>
        <w:t>EPA</w:t>
      </w:r>
      <w:r w:rsidRPr="00A213B8">
        <w:rPr>
          <w:rFonts w:cs="Arial"/>
          <w:u w:val="none"/>
        </w:rPr>
        <w:t>:</w:t>
      </w:r>
      <w:r w:rsidRPr="00261AEB" w:rsidR="00032F36">
        <w:rPr>
          <w:b w:val="0"/>
          <w:u w:val="none"/>
        </w:rPr>
        <w:t xml:space="preserve"> </w:t>
      </w:r>
      <w:r w:rsidRPr="00A213B8">
        <w:rPr>
          <w:rFonts w:cs="Arial"/>
          <w:b w:val="0"/>
          <w:u w:val="none"/>
        </w:rPr>
        <w:t>The U.S. Environmental Protection Agency.</w:t>
      </w:r>
    </w:p>
    <w:p w:rsidRPr="00A213B8" w:rsidR="002D54C4" w:rsidP="00261AEB" w:rsidRDefault="002D54C4" w14:paraId="14F78AF1" w14:textId="15BCBC3E">
      <w:pPr>
        <w:pStyle w:val="Heading3"/>
        <w:keepNext w:val="0"/>
        <w:keepLines w:val="0"/>
        <w:widowControl w:val="0"/>
        <w:spacing w:before="120"/>
        <w:rPr>
          <w:rFonts w:cs="Arial"/>
          <w:b w:val="0"/>
          <w:u w:val="none"/>
        </w:rPr>
      </w:pPr>
      <w:r w:rsidRPr="00A213B8">
        <w:rPr>
          <w:rFonts w:cs="Arial"/>
        </w:rPr>
        <w:t>ET</w:t>
      </w:r>
      <w:r w:rsidRPr="00A213B8">
        <w:rPr>
          <w:rFonts w:cs="Arial"/>
          <w:u w:val="none"/>
        </w:rPr>
        <w:t>:</w:t>
      </w:r>
      <w:r w:rsidRPr="00261AEB" w:rsidR="00032F36">
        <w:rPr>
          <w:b w:val="0"/>
          <w:u w:val="none"/>
        </w:rPr>
        <w:t xml:space="preserve"> </w:t>
      </w:r>
      <w:r w:rsidRPr="00A213B8">
        <w:rPr>
          <w:rFonts w:cs="Arial"/>
          <w:b w:val="0"/>
          <w:u w:val="none"/>
        </w:rPr>
        <w:t xml:space="preserve">See </w:t>
      </w:r>
      <w:r w:rsidRPr="00A213B8">
        <w:rPr>
          <w:rFonts w:cs="Arial"/>
          <w:b w:val="0"/>
          <w:i/>
          <w:u w:val="none"/>
        </w:rPr>
        <w:t>Eastern Time</w:t>
      </w:r>
      <w:r w:rsidRPr="00A213B8">
        <w:rPr>
          <w:rFonts w:cs="Arial"/>
          <w:b w:val="0"/>
          <w:u w:val="none"/>
        </w:rPr>
        <w:t>.</w:t>
      </w:r>
    </w:p>
    <w:p w:rsidR="002D54C4" w:rsidP="00261AEB" w:rsidRDefault="002D54C4" w14:paraId="046B087E" w14:textId="0E8A17E8">
      <w:pPr>
        <w:pStyle w:val="Heading3"/>
        <w:keepNext w:val="0"/>
        <w:keepLines w:val="0"/>
        <w:widowControl w:val="0"/>
        <w:spacing w:before="120"/>
        <w:rPr>
          <w:rFonts w:cs="Arial"/>
          <w:b w:val="0"/>
          <w:u w:val="none"/>
        </w:rPr>
      </w:pPr>
      <w:r w:rsidRPr="00A213B8">
        <w:rPr>
          <w:rFonts w:cs="Arial"/>
        </w:rPr>
        <w:t>Event of Default</w:t>
      </w:r>
      <w:r w:rsidRPr="00A213B8">
        <w:rPr>
          <w:rFonts w:cs="Arial"/>
          <w:u w:val="none"/>
        </w:rPr>
        <w:t xml:space="preserve">: </w:t>
      </w:r>
      <w:r w:rsidRPr="00A213B8">
        <w:rPr>
          <w:rFonts w:cs="Arial"/>
          <w:b w:val="0"/>
          <w:u w:val="none"/>
        </w:rPr>
        <w:t>A Party’s failure to perform or comply with a material PPA term or condition, as further described in Section 16.1 (</w:t>
      </w:r>
      <w:r w:rsidRPr="00A213B8">
        <w:rPr>
          <w:rFonts w:cs="Arial"/>
          <w:b w:val="0"/>
          <w:i/>
          <w:u w:val="none"/>
        </w:rPr>
        <w:t>Default by Seller</w:t>
      </w:r>
      <w:r w:rsidRPr="00A213B8">
        <w:rPr>
          <w:rFonts w:cs="Arial"/>
          <w:b w:val="0"/>
          <w:u w:val="none"/>
        </w:rPr>
        <w:t>) for Seller and in Section 16.2 (</w:t>
      </w:r>
      <w:r w:rsidRPr="00A213B8">
        <w:rPr>
          <w:rFonts w:cs="Arial"/>
          <w:b w:val="0"/>
          <w:i/>
          <w:u w:val="none"/>
        </w:rPr>
        <w:t>Default by GPC</w:t>
      </w:r>
      <w:r w:rsidRPr="00A213B8">
        <w:rPr>
          <w:rFonts w:cs="Arial"/>
          <w:b w:val="0"/>
          <w:u w:val="none"/>
        </w:rPr>
        <w:t>) for GPC.</w:t>
      </w:r>
    </w:p>
    <w:p w:rsidRPr="002207F6" w:rsidR="002207F6" w:rsidP="002207F6" w:rsidRDefault="002D0D72" w14:paraId="4F1E4AFF" w14:textId="412D7A9F">
      <w:r w:rsidRPr="00341121">
        <w:rPr>
          <w:rFonts w:ascii="Arial" w:hAnsi="Arial" w:cs="Arial"/>
          <w:b/>
          <w:bCs/>
          <w:sz w:val="20"/>
          <w:szCs w:val="20"/>
          <w:u w:val="single"/>
        </w:rPr>
        <w:t>Excess Expenditures</w:t>
      </w:r>
      <w:r w:rsidRPr="00341121">
        <w:rPr>
          <w:rFonts w:ascii="Arial" w:hAnsi="Arial" w:cs="Arial"/>
          <w:sz w:val="20"/>
          <w:szCs w:val="20"/>
        </w:rPr>
        <w:t>: The portion of Change of Law Expenditures that exceeds the Threshold Amount, as calculated by subtracting the Threshold Amount (expressed in dollars) from the total Change of Law Expenditures for an applicable Change of Law.</w:t>
      </w:r>
    </w:p>
    <w:p w:rsidRPr="00A213B8" w:rsidR="00413A24" w:rsidP="00B256DC" w:rsidRDefault="00413A24" w14:paraId="47DFB83C" w14:textId="752145CB">
      <w:pPr>
        <w:spacing w:before="120" w:after="120" w:line="240" w:lineRule="auto"/>
        <w:jc w:val="both"/>
        <w:rPr>
          <w:rFonts w:ascii="Arial" w:hAnsi="Arial" w:cs="Arial"/>
          <w:sz w:val="20"/>
          <w:szCs w:val="20"/>
        </w:rPr>
      </w:pPr>
      <w:r w:rsidRPr="00A213B8">
        <w:rPr>
          <w:rFonts w:ascii="Arial" w:hAnsi="Arial" w:cs="Arial"/>
          <w:b/>
          <w:bCs/>
          <w:sz w:val="20"/>
          <w:szCs w:val="20"/>
          <w:u w:val="single"/>
        </w:rPr>
        <w:t>Excess Expenditures Notice:</w:t>
      </w:r>
      <w:r w:rsidRPr="00A213B8">
        <w:rPr>
          <w:rFonts w:ascii="Arial" w:hAnsi="Arial" w:cs="Arial"/>
          <w:sz w:val="20"/>
          <w:szCs w:val="20"/>
        </w:rPr>
        <w:t xml:space="preserve"> </w:t>
      </w:r>
      <w:r w:rsidRPr="00341121" w:rsidR="00590439">
        <w:rPr>
          <w:rFonts w:ascii="Arial" w:hAnsi="Arial" w:cs="Arial"/>
          <w:sz w:val="20"/>
          <w:szCs w:val="20"/>
        </w:rPr>
        <w:t>Written notice from Seller to GPC requesting recovery of Excess Expenditures</w:t>
      </w:r>
      <w:r w:rsidR="00961D60">
        <w:rPr>
          <w:rFonts w:ascii="Arial" w:hAnsi="Arial" w:cs="Arial"/>
          <w:sz w:val="20"/>
          <w:szCs w:val="20"/>
        </w:rPr>
        <w:t xml:space="preserve"> or approval of an Operational Alternative</w:t>
      </w:r>
      <w:r w:rsidRPr="00A213B8">
        <w:rPr>
          <w:rFonts w:ascii="Arial" w:hAnsi="Arial" w:cs="Arial"/>
          <w:sz w:val="20"/>
          <w:szCs w:val="20"/>
        </w:rPr>
        <w:t>.</w:t>
      </w:r>
    </w:p>
    <w:p w:rsidRPr="00A213B8" w:rsidR="002D54C4" w:rsidP="00261AEB" w:rsidRDefault="002D54C4" w14:paraId="17DBB1BD" w14:textId="5F2DE9D9">
      <w:pPr>
        <w:pStyle w:val="Heading3"/>
        <w:keepNext w:val="0"/>
        <w:keepLines w:val="0"/>
        <w:widowControl w:val="0"/>
        <w:spacing w:before="120"/>
        <w:rPr>
          <w:rFonts w:cs="Arial"/>
        </w:rPr>
      </w:pPr>
      <w:r w:rsidRPr="00A213B8">
        <w:rPr>
          <w:rFonts w:cs="Arial"/>
        </w:rPr>
        <w:t>Extended FME</w:t>
      </w:r>
      <w:r w:rsidRPr="00A213B8">
        <w:rPr>
          <w:rFonts w:cs="Arial"/>
          <w:u w:val="none"/>
        </w:rPr>
        <w:t>:</w:t>
      </w:r>
      <w:r w:rsidRPr="00A213B8" w:rsidR="00B67989">
        <w:rPr>
          <w:rFonts w:cs="Arial"/>
          <w:u w:val="none"/>
        </w:rPr>
        <w:t xml:space="preserve"> </w:t>
      </w:r>
      <w:r w:rsidRPr="00A213B8">
        <w:rPr>
          <w:rFonts w:cs="Arial"/>
          <w:b w:val="0"/>
          <w:u w:val="none"/>
        </w:rPr>
        <w:t xml:space="preserve"> </w:t>
      </w:r>
      <w:r w:rsidR="001167FF">
        <w:rPr>
          <w:rFonts w:cs="Arial"/>
          <w:b w:val="0"/>
          <w:u w:val="none"/>
        </w:rPr>
        <w:t>As d</w:t>
      </w:r>
      <w:r w:rsidR="00AF2355">
        <w:rPr>
          <w:rFonts w:cs="Arial"/>
          <w:b w:val="0"/>
          <w:u w:val="none"/>
        </w:rPr>
        <w:t>efined in</w:t>
      </w:r>
      <w:r w:rsidRPr="00A213B8" w:rsidR="003A3A88">
        <w:rPr>
          <w:rFonts w:cs="Arial"/>
          <w:b w:val="0"/>
          <w:u w:val="none"/>
        </w:rPr>
        <w:t xml:space="preserve"> Section 15.7.1 (</w:t>
      </w:r>
      <w:r w:rsidRPr="00A213B8" w:rsidR="003A3A88">
        <w:rPr>
          <w:rFonts w:cs="Arial"/>
          <w:b w:val="0"/>
          <w:i/>
          <w:iCs/>
          <w:u w:val="none"/>
        </w:rPr>
        <w:t>Notice and Remedy Plan for Extended FME</w:t>
      </w:r>
      <w:r w:rsidRPr="00A213B8" w:rsidR="003A3A88">
        <w:rPr>
          <w:rFonts w:cs="Arial"/>
          <w:b w:val="0"/>
          <w:u w:val="none"/>
        </w:rPr>
        <w:t>)</w:t>
      </w:r>
      <w:r w:rsidRPr="00A213B8">
        <w:rPr>
          <w:rFonts w:cs="Arial"/>
          <w:b w:val="0"/>
          <w:u w:val="none"/>
        </w:rPr>
        <w:t>.</w:t>
      </w:r>
    </w:p>
    <w:p w:rsidRPr="00A213B8" w:rsidR="002D54C4" w:rsidP="00261AEB" w:rsidRDefault="002D54C4" w14:paraId="623E6305" w14:textId="5AE3849C">
      <w:pPr>
        <w:pStyle w:val="zGNormal"/>
        <w:spacing w:before="120" w:after="120"/>
        <w:rPr>
          <w:i/>
        </w:rPr>
      </w:pPr>
      <w:r w:rsidRPr="00A213B8">
        <w:rPr>
          <w:b/>
          <w:bCs/>
          <w:snapToGrid w:val="0"/>
          <w:u w:val="single"/>
        </w:rPr>
        <w:t>Facility</w:t>
      </w:r>
      <w:r w:rsidRPr="00A213B8">
        <w:rPr>
          <w:b/>
          <w:bCs/>
        </w:rPr>
        <w:t>:</w:t>
      </w:r>
      <w:r w:rsidRPr="00A213B8" w:rsidR="00B67989">
        <w:t xml:space="preserve"> </w:t>
      </w:r>
      <w:r w:rsidRPr="00A213B8">
        <w:t xml:space="preserve">The complete facility comprised of the </w:t>
      </w:r>
      <w:r w:rsidRPr="00A213B8" w:rsidR="005F6135">
        <w:t>B</w:t>
      </w:r>
      <w:r w:rsidRPr="00A213B8">
        <w:t>ESS</w:t>
      </w:r>
      <w:r w:rsidRPr="00A213B8" w:rsidR="000B21FB">
        <w:t xml:space="preserve">, </w:t>
      </w:r>
      <w:r w:rsidRPr="00A213B8">
        <w:t>the Renewable Resource</w:t>
      </w:r>
      <w:r w:rsidRPr="00A213B8" w:rsidR="000B21FB">
        <w:t>, and any ancillary facilities and equipment located at the Site</w:t>
      </w:r>
      <w:r w:rsidRPr="00A213B8">
        <w:t xml:space="preserve">. The Facility will include all auxiliary equipment and facilities necessary or used for the production, control, storage, delivery, or monitoring of electricity produced </w:t>
      </w:r>
      <w:r w:rsidRPr="00A213B8" w:rsidR="00B168A7">
        <w:t xml:space="preserve">or stored </w:t>
      </w:r>
      <w:r w:rsidRPr="00A213B8">
        <w:t xml:space="preserve">on the Site. All equipment and facilities installed on Seller’s side of the </w:t>
      </w:r>
      <w:r w:rsidRPr="00A213B8" w:rsidR="00800034">
        <w:t>POI</w:t>
      </w:r>
      <w:r w:rsidRPr="00A213B8">
        <w:t xml:space="preserve"> at the Site will be part of the Facility</w:t>
      </w:r>
      <w:r w:rsidRPr="00A213B8" w:rsidR="00395BBE">
        <w:t>, except for those that constitute Interconnection Facilities</w:t>
      </w:r>
      <w:r w:rsidRPr="00A213B8">
        <w:t>.</w:t>
      </w:r>
    </w:p>
    <w:p w:rsidRPr="00A213B8" w:rsidR="002D54C4" w:rsidP="00261AEB" w:rsidRDefault="002D54C4" w14:paraId="0E699BF9" w14:textId="656345D0">
      <w:pPr>
        <w:pStyle w:val="Heading3"/>
        <w:keepNext w:val="0"/>
        <w:keepLines w:val="0"/>
        <w:widowControl w:val="0"/>
        <w:spacing w:before="120"/>
        <w:rPr>
          <w:rFonts w:cs="Arial"/>
        </w:rPr>
      </w:pPr>
      <w:r w:rsidRPr="00A213B8">
        <w:rPr>
          <w:rFonts w:cs="Arial"/>
        </w:rPr>
        <w:t>FASB</w:t>
      </w:r>
      <w:r w:rsidRPr="00A213B8">
        <w:rPr>
          <w:rFonts w:cs="Arial"/>
          <w:u w:val="none"/>
        </w:rPr>
        <w:t>:</w:t>
      </w:r>
      <w:r w:rsidRPr="00261AEB">
        <w:rPr>
          <w:u w:val="none"/>
        </w:rPr>
        <w:t xml:space="preserve"> </w:t>
      </w:r>
      <w:r w:rsidRPr="00A213B8">
        <w:rPr>
          <w:rFonts w:cs="Arial"/>
          <w:b w:val="0"/>
          <w:u w:val="none"/>
        </w:rPr>
        <w:t>Financial Accounting Standards Board.</w:t>
      </w:r>
    </w:p>
    <w:p w:rsidRPr="00A213B8" w:rsidR="002D54C4" w:rsidP="00261AEB" w:rsidRDefault="002D54C4" w14:paraId="04915B2E" w14:textId="2DCF0E09">
      <w:pPr>
        <w:pStyle w:val="Heading3"/>
        <w:keepNext w:val="0"/>
        <w:keepLines w:val="0"/>
        <w:widowControl w:val="0"/>
        <w:spacing w:before="120"/>
        <w:rPr>
          <w:rFonts w:cs="Arial"/>
        </w:rPr>
      </w:pPr>
      <w:r w:rsidRPr="00A213B8">
        <w:rPr>
          <w:rFonts w:cs="Arial"/>
        </w:rPr>
        <w:t>Federal Power Act</w:t>
      </w:r>
      <w:r w:rsidRPr="00A213B8">
        <w:rPr>
          <w:rFonts w:cs="Arial"/>
          <w:u w:val="none"/>
        </w:rPr>
        <w:t xml:space="preserve">: </w:t>
      </w:r>
      <w:r w:rsidRPr="00A213B8" w:rsidR="00032F36">
        <w:rPr>
          <w:rFonts w:cs="Arial"/>
          <w:b w:val="0"/>
          <w:u w:val="none"/>
        </w:rPr>
        <w:t xml:space="preserve"> </w:t>
      </w:r>
      <w:r w:rsidRPr="00A213B8">
        <w:rPr>
          <w:rFonts w:cs="Arial"/>
          <w:b w:val="0"/>
          <w:u w:val="none"/>
        </w:rPr>
        <w:t xml:space="preserve">The Federal Power Act, 16 U.S.C. § § 791a </w:t>
      </w:r>
      <w:r w:rsidRPr="00A213B8">
        <w:rPr>
          <w:rFonts w:cs="Arial"/>
          <w:b w:val="0"/>
          <w:i/>
          <w:u w:val="none"/>
        </w:rPr>
        <w:t>et seq.</w:t>
      </w:r>
      <w:r w:rsidRPr="00A213B8">
        <w:rPr>
          <w:rFonts w:cs="Arial"/>
          <w:b w:val="0"/>
          <w:u w:val="none"/>
        </w:rPr>
        <w:t xml:space="preserve"> (1994), as amended from time to time, and any successor statute of similar import.</w:t>
      </w:r>
    </w:p>
    <w:p w:rsidRPr="00A213B8" w:rsidR="002D54C4" w:rsidP="00261AEB" w:rsidRDefault="002D54C4" w14:paraId="57639E45" w14:textId="2C7A210B">
      <w:pPr>
        <w:pStyle w:val="Heading3"/>
        <w:keepNext w:val="0"/>
        <w:keepLines w:val="0"/>
        <w:widowControl w:val="0"/>
        <w:spacing w:before="120"/>
        <w:rPr>
          <w:rFonts w:cs="Arial"/>
        </w:rPr>
      </w:pPr>
      <w:r w:rsidRPr="00A213B8">
        <w:rPr>
          <w:rFonts w:cs="Arial"/>
        </w:rPr>
        <w:t>FERC</w:t>
      </w:r>
      <w:r w:rsidRPr="00A213B8">
        <w:rPr>
          <w:rFonts w:cs="Arial"/>
          <w:u w:val="none"/>
        </w:rPr>
        <w:t>:</w:t>
      </w:r>
      <w:r w:rsidRPr="00261AEB" w:rsidR="00B67989">
        <w:rPr>
          <w:u w:val="none"/>
        </w:rPr>
        <w:t xml:space="preserve"> </w:t>
      </w:r>
      <w:r w:rsidRPr="00A213B8">
        <w:rPr>
          <w:rFonts w:cs="Arial"/>
          <w:b w:val="0"/>
          <w:u w:val="none"/>
        </w:rPr>
        <w:t>The Federal Energy Regulatory Commission, or any Governmental Authority succeeding to the powers or functions of FERC.</w:t>
      </w:r>
    </w:p>
    <w:p w:rsidRPr="00A213B8" w:rsidR="0070513A" w:rsidP="00F823D4" w:rsidRDefault="0070513A" w14:paraId="75E56DBA" w14:textId="413D69A4">
      <w:pPr>
        <w:spacing w:before="120" w:after="120" w:line="240" w:lineRule="auto"/>
        <w:jc w:val="both"/>
        <w:rPr>
          <w:rFonts w:ascii="Arial" w:hAnsi="Arial" w:cs="Arial"/>
          <w:sz w:val="20"/>
          <w:szCs w:val="20"/>
        </w:rPr>
      </w:pPr>
      <w:r w:rsidRPr="00A213B8">
        <w:rPr>
          <w:rFonts w:ascii="Arial" w:hAnsi="Arial" w:cs="Arial"/>
          <w:b/>
          <w:bCs/>
          <w:sz w:val="20"/>
          <w:szCs w:val="20"/>
          <w:u w:val="single"/>
        </w:rPr>
        <w:t>Financing Assignment</w:t>
      </w:r>
      <w:r w:rsidRPr="00A213B8">
        <w:rPr>
          <w:rFonts w:ascii="Arial" w:hAnsi="Arial" w:cs="Arial"/>
          <w:sz w:val="20"/>
          <w:szCs w:val="20"/>
        </w:rPr>
        <w:t>: An assignment of this PPA or interest in the Facility for collateral security purposes in connection with any financing or refinancing relating to the Facility.</w:t>
      </w:r>
    </w:p>
    <w:p w:rsidRPr="00261AEB" w:rsidR="002D54C4" w:rsidP="00261AEB" w:rsidRDefault="002D54C4" w14:paraId="6F960892" w14:textId="020FB7F1">
      <w:pPr>
        <w:pStyle w:val="Heading3"/>
        <w:keepNext w:val="0"/>
        <w:keepLines w:val="0"/>
        <w:widowControl w:val="0"/>
        <w:spacing w:before="120"/>
        <w:rPr>
          <w:b w:val="0"/>
          <w:u w:val="none"/>
        </w:rPr>
      </w:pPr>
      <w:r w:rsidRPr="00A213B8">
        <w:rPr>
          <w:rFonts w:cs="Arial"/>
        </w:rPr>
        <w:t>Fitch</w:t>
      </w:r>
      <w:r w:rsidRPr="00A213B8">
        <w:rPr>
          <w:rFonts w:cs="Arial"/>
          <w:u w:val="none"/>
        </w:rPr>
        <w:t>:</w:t>
      </w:r>
      <w:r w:rsidRPr="00261AEB" w:rsidR="00B67989">
        <w:rPr>
          <w:u w:val="none"/>
        </w:rPr>
        <w:t xml:space="preserve"> </w:t>
      </w:r>
      <w:r w:rsidRPr="00A213B8">
        <w:rPr>
          <w:rFonts w:cs="Arial"/>
          <w:b w:val="0"/>
          <w:u w:val="none"/>
        </w:rPr>
        <w:t>Fitch Ratings Ltd. or its successor. If Fitch ceases to exist or publish ratings, Fitch will mean a nationally recognized rating agency mutually agreed upon by the Parties.</w:t>
      </w:r>
    </w:p>
    <w:p w:rsidRPr="00A213B8" w:rsidR="00A759B5" w:rsidP="000432D0" w:rsidRDefault="00A759B5" w14:paraId="0B90278E" w14:textId="1A009EED">
      <w:pPr>
        <w:spacing w:before="120" w:after="120" w:line="240" w:lineRule="auto"/>
        <w:rPr>
          <w:rFonts w:ascii="Arial" w:hAnsi="Arial" w:cs="Arial"/>
          <w:sz w:val="20"/>
          <w:szCs w:val="20"/>
        </w:rPr>
      </w:pPr>
      <w:r w:rsidRPr="00A213B8">
        <w:rPr>
          <w:rFonts w:ascii="Arial" w:hAnsi="Arial" w:cs="Arial"/>
          <w:b/>
          <w:bCs/>
          <w:sz w:val="20"/>
          <w:szCs w:val="20"/>
          <w:u w:val="single"/>
        </w:rPr>
        <w:t>FME Remedy Plan:</w:t>
      </w:r>
      <w:r w:rsidRPr="00A213B8">
        <w:rPr>
          <w:rFonts w:ascii="Arial" w:hAnsi="Arial" w:cs="Arial"/>
          <w:sz w:val="20"/>
          <w:szCs w:val="20"/>
        </w:rPr>
        <w:t xml:space="preserve"> As defined in Section </w:t>
      </w:r>
      <w:r w:rsidRPr="00A213B8" w:rsidR="0075561B">
        <w:rPr>
          <w:rFonts w:ascii="Arial" w:hAnsi="Arial" w:cs="Arial"/>
          <w:sz w:val="20"/>
          <w:szCs w:val="20"/>
        </w:rPr>
        <w:t>15.7.1 (</w:t>
      </w:r>
      <w:r w:rsidRPr="00A213B8" w:rsidR="0075561B">
        <w:rPr>
          <w:rFonts w:ascii="Arial" w:hAnsi="Arial" w:cs="Arial"/>
          <w:i/>
          <w:iCs/>
          <w:sz w:val="20"/>
          <w:szCs w:val="20"/>
        </w:rPr>
        <w:t>Notice and Remedy Plan for Extended FME</w:t>
      </w:r>
      <w:r w:rsidRPr="00A213B8" w:rsidR="0075561B">
        <w:rPr>
          <w:rFonts w:ascii="Arial" w:hAnsi="Arial" w:cs="Arial"/>
          <w:sz w:val="20"/>
          <w:szCs w:val="20"/>
        </w:rPr>
        <w:t>).</w:t>
      </w:r>
    </w:p>
    <w:p w:rsidRPr="00A213B8" w:rsidR="00EC3E0A" w:rsidP="000432D0" w:rsidRDefault="00EC3E0A" w14:paraId="78AA1A0C" w14:textId="02600919">
      <w:pPr>
        <w:spacing w:before="120" w:after="120" w:line="240" w:lineRule="auto"/>
        <w:rPr>
          <w:rFonts w:ascii="Arial" w:hAnsi="Arial" w:cs="Arial"/>
          <w:sz w:val="20"/>
          <w:szCs w:val="20"/>
        </w:rPr>
      </w:pPr>
      <w:r w:rsidRPr="00A213B8">
        <w:rPr>
          <w:rFonts w:ascii="Arial" w:hAnsi="Arial" w:cs="Arial"/>
          <w:b/>
          <w:bCs/>
          <w:sz w:val="20"/>
          <w:szCs w:val="20"/>
          <w:u w:val="single"/>
        </w:rPr>
        <w:t>Force Majeure Event</w:t>
      </w:r>
      <w:r w:rsidR="00CD41FF">
        <w:rPr>
          <w:rFonts w:ascii="Arial" w:hAnsi="Arial" w:cs="Arial"/>
          <w:b/>
          <w:bCs/>
          <w:sz w:val="20"/>
          <w:szCs w:val="20"/>
          <w:u w:val="single"/>
        </w:rPr>
        <w:t xml:space="preserve"> (FME)</w:t>
      </w:r>
      <w:r w:rsidRPr="00CD41FF">
        <w:rPr>
          <w:rFonts w:ascii="Arial" w:hAnsi="Arial" w:cs="Arial"/>
          <w:b/>
          <w:bCs/>
          <w:sz w:val="20"/>
          <w:szCs w:val="20"/>
        </w:rPr>
        <w:t>:</w:t>
      </w:r>
      <w:r w:rsidRPr="00CD41FF">
        <w:rPr>
          <w:rFonts w:ascii="Arial" w:hAnsi="Arial" w:cs="Arial"/>
          <w:sz w:val="20"/>
          <w:szCs w:val="20"/>
        </w:rPr>
        <w:t xml:space="preserve"> </w:t>
      </w:r>
      <w:r w:rsidRPr="00A213B8">
        <w:rPr>
          <w:rFonts w:ascii="Arial" w:hAnsi="Arial" w:cs="Arial"/>
          <w:sz w:val="20"/>
          <w:szCs w:val="20"/>
        </w:rPr>
        <w:t>As defined in Section 15.1 (</w:t>
      </w:r>
      <w:r w:rsidRPr="00A213B8">
        <w:rPr>
          <w:rFonts w:ascii="Arial" w:hAnsi="Arial" w:cs="Arial"/>
          <w:i/>
          <w:iCs/>
          <w:sz w:val="20"/>
          <w:szCs w:val="20"/>
        </w:rPr>
        <w:t>Definition of Force Majeure Event</w:t>
      </w:r>
      <w:r w:rsidRPr="00A213B8">
        <w:rPr>
          <w:rFonts w:ascii="Arial" w:hAnsi="Arial" w:cs="Arial"/>
          <w:sz w:val="20"/>
          <w:szCs w:val="20"/>
        </w:rPr>
        <w:t>).</w:t>
      </w:r>
    </w:p>
    <w:p w:rsidRPr="00A213B8" w:rsidR="002D54C4" w:rsidP="00261AEB" w:rsidRDefault="002D54C4" w14:paraId="1E7EC273" w14:textId="30103A7F">
      <w:pPr>
        <w:pStyle w:val="Heading3"/>
        <w:keepNext w:val="0"/>
        <w:keepLines w:val="0"/>
        <w:widowControl w:val="0"/>
        <w:spacing w:before="120"/>
        <w:rPr>
          <w:rFonts w:cs="Arial"/>
        </w:rPr>
      </w:pPr>
      <w:r w:rsidRPr="00A213B8">
        <w:rPr>
          <w:rFonts w:cs="Arial"/>
        </w:rPr>
        <w:t>Forced Derate</w:t>
      </w:r>
      <w:r w:rsidRPr="00A213B8">
        <w:rPr>
          <w:rFonts w:cs="Arial"/>
          <w:u w:val="none"/>
        </w:rPr>
        <w:t>:</w:t>
      </w:r>
      <w:r w:rsidRPr="00A213B8">
        <w:rPr>
          <w:rFonts w:cs="Arial"/>
          <w:b w:val="0"/>
          <w:u w:val="none"/>
        </w:rPr>
        <w:t xml:space="preserve"> A time during which the </w:t>
      </w:r>
      <w:r w:rsidRPr="00A213B8" w:rsidR="00D21FF9">
        <w:rPr>
          <w:rFonts w:cs="Arial"/>
          <w:b w:val="0"/>
          <w:u w:val="none"/>
        </w:rPr>
        <w:t xml:space="preserve">operational </w:t>
      </w:r>
      <w:r w:rsidRPr="00A213B8">
        <w:rPr>
          <w:rFonts w:cs="Arial"/>
          <w:b w:val="0"/>
          <w:u w:val="none"/>
        </w:rPr>
        <w:t xml:space="preserve">capability of the </w:t>
      </w:r>
      <w:r w:rsidRPr="00A213B8" w:rsidR="005F6135">
        <w:rPr>
          <w:rFonts w:cs="Arial"/>
          <w:b w:val="0"/>
          <w:u w:val="none"/>
        </w:rPr>
        <w:t>B</w:t>
      </w:r>
      <w:r w:rsidRPr="00A213B8">
        <w:rPr>
          <w:rFonts w:cs="Arial"/>
          <w:b w:val="0"/>
          <w:u w:val="none"/>
        </w:rPr>
        <w:t>ESS is reduced to a level below the Storage Device Design Capacity</w:t>
      </w:r>
      <w:r w:rsidRPr="00A213B8" w:rsidR="00947315">
        <w:rPr>
          <w:rFonts w:cs="Arial"/>
          <w:b w:val="0"/>
          <w:u w:val="none"/>
        </w:rPr>
        <w:t>, SDOE, or Maximum Rate of Charge</w:t>
      </w:r>
      <w:r w:rsidRPr="00A213B8">
        <w:rPr>
          <w:rFonts w:cs="Arial"/>
          <w:b w:val="0"/>
          <w:u w:val="none"/>
        </w:rPr>
        <w:t xml:space="preserve"> for reasons other than a Force Majeure Event and </w:t>
      </w:r>
      <w:r w:rsidRPr="00A213B8" w:rsidR="00B47771">
        <w:rPr>
          <w:rFonts w:cs="Arial"/>
          <w:b w:val="0"/>
          <w:u w:val="none"/>
        </w:rPr>
        <w:t>that</w:t>
      </w:r>
      <w:r w:rsidRPr="00A213B8">
        <w:rPr>
          <w:rFonts w:cs="Arial"/>
          <w:b w:val="0"/>
          <w:u w:val="none"/>
        </w:rPr>
        <w:t xml:space="preserve"> is not a Scheduled Outage</w:t>
      </w:r>
      <w:r w:rsidRPr="00A213B8" w:rsidR="001750AF">
        <w:rPr>
          <w:rFonts w:cs="Arial"/>
          <w:b w:val="0"/>
          <w:u w:val="none"/>
        </w:rPr>
        <w:t>,</w:t>
      </w:r>
      <w:r w:rsidRPr="00A213B8">
        <w:rPr>
          <w:rFonts w:cs="Arial"/>
          <w:b w:val="0"/>
          <w:u w:val="none"/>
        </w:rPr>
        <w:t xml:space="preserve"> Maintenance Outage, </w:t>
      </w:r>
      <w:r w:rsidRPr="00A213B8" w:rsidR="001750AF">
        <w:rPr>
          <w:rFonts w:cs="Arial"/>
          <w:b w:val="0"/>
          <w:u w:val="none"/>
        </w:rPr>
        <w:t xml:space="preserve">or </w:t>
      </w:r>
      <w:r w:rsidRPr="00A213B8">
        <w:rPr>
          <w:rFonts w:cs="Arial"/>
          <w:b w:val="0"/>
          <w:u w:val="none"/>
        </w:rPr>
        <w:t>a Forced Outage.</w:t>
      </w:r>
    </w:p>
    <w:p w:rsidRPr="00A213B8" w:rsidR="000E5594" w:rsidP="00261AEB" w:rsidRDefault="002D54C4" w14:paraId="752627F8" w14:textId="2A9DB5F6">
      <w:pPr>
        <w:pStyle w:val="Heading3"/>
        <w:keepNext w:val="0"/>
        <w:keepLines w:val="0"/>
        <w:widowControl w:val="0"/>
        <w:spacing w:before="120"/>
        <w:rPr>
          <w:rFonts w:cs="Arial"/>
        </w:rPr>
      </w:pPr>
      <w:r w:rsidRPr="00A213B8">
        <w:rPr>
          <w:rFonts w:cs="Arial"/>
        </w:rPr>
        <w:t>Forced Outage</w:t>
      </w:r>
      <w:r w:rsidRPr="00A213B8">
        <w:rPr>
          <w:rFonts w:cs="Arial"/>
          <w:u w:val="none"/>
        </w:rPr>
        <w:t>:</w:t>
      </w:r>
      <w:r w:rsidRPr="00A213B8" w:rsidR="00B67989">
        <w:rPr>
          <w:rFonts w:cs="Arial"/>
          <w:u w:val="none"/>
        </w:rPr>
        <w:t xml:space="preserve"> </w:t>
      </w:r>
      <w:r w:rsidRPr="00A213B8">
        <w:rPr>
          <w:rFonts w:cs="Arial"/>
          <w:b w:val="0"/>
          <w:u w:val="none"/>
        </w:rPr>
        <w:t xml:space="preserve">A time during which the </w:t>
      </w:r>
      <w:r w:rsidRPr="00A213B8" w:rsidR="005F6135">
        <w:rPr>
          <w:rFonts w:cs="Arial"/>
          <w:b w:val="0"/>
          <w:u w:val="none"/>
        </w:rPr>
        <w:t>B</w:t>
      </w:r>
      <w:r w:rsidRPr="00A213B8">
        <w:rPr>
          <w:rFonts w:cs="Arial"/>
          <w:b w:val="0"/>
          <w:u w:val="none"/>
        </w:rPr>
        <w:t xml:space="preserve">ESS is </w:t>
      </w:r>
      <w:r w:rsidRPr="00A213B8" w:rsidR="00702587">
        <w:rPr>
          <w:rFonts w:cs="Arial"/>
          <w:b w:val="0"/>
          <w:u w:val="none"/>
        </w:rPr>
        <w:t>wholly</w:t>
      </w:r>
      <w:r w:rsidRPr="00A213B8">
        <w:rPr>
          <w:rFonts w:cs="Arial"/>
          <w:b w:val="0"/>
          <w:u w:val="none"/>
        </w:rPr>
        <w:t xml:space="preserve"> </w:t>
      </w:r>
      <w:r w:rsidRPr="00A213B8" w:rsidR="000F1A46">
        <w:rPr>
          <w:rFonts w:cs="Arial"/>
          <w:b w:val="0"/>
          <w:u w:val="none"/>
        </w:rPr>
        <w:t>Unavailable</w:t>
      </w:r>
      <w:r w:rsidRPr="00A213B8">
        <w:rPr>
          <w:rFonts w:cs="Arial"/>
          <w:b w:val="0"/>
          <w:u w:val="none"/>
        </w:rPr>
        <w:t xml:space="preserve"> for reasons other than a Force Majeure Event and </w:t>
      </w:r>
      <w:r w:rsidRPr="00A213B8" w:rsidR="00775DD3">
        <w:rPr>
          <w:rFonts w:cs="Arial"/>
          <w:b w:val="0"/>
          <w:u w:val="none"/>
        </w:rPr>
        <w:t xml:space="preserve">that </w:t>
      </w:r>
      <w:r w:rsidRPr="00A213B8">
        <w:rPr>
          <w:rFonts w:cs="Arial"/>
          <w:b w:val="0"/>
          <w:u w:val="none"/>
        </w:rPr>
        <w:t>is not a Scheduled Outage or a Maintenance Outage.</w:t>
      </w:r>
    </w:p>
    <w:p w:rsidRPr="00261AEB" w:rsidR="002D54C4" w:rsidP="00261AEB" w:rsidRDefault="002D54C4" w14:paraId="2CB7A2B3" w14:textId="7F5A58BC">
      <w:pPr>
        <w:pStyle w:val="Heading3"/>
        <w:keepNext w:val="0"/>
        <w:keepLines w:val="0"/>
        <w:widowControl w:val="0"/>
        <w:spacing w:before="120"/>
        <w:rPr>
          <w:b w:val="0"/>
          <w:u w:val="none"/>
        </w:rPr>
      </w:pPr>
      <w:r w:rsidRPr="00A213B8">
        <w:rPr>
          <w:rFonts w:cs="Arial"/>
        </w:rPr>
        <w:t>GAAP</w:t>
      </w:r>
      <w:r w:rsidRPr="00A213B8">
        <w:rPr>
          <w:rFonts w:cs="Arial"/>
          <w:u w:val="none"/>
        </w:rPr>
        <w:t>:</w:t>
      </w:r>
      <w:r w:rsidRPr="00A213B8" w:rsidR="00B67989">
        <w:rPr>
          <w:rFonts w:cs="Arial"/>
          <w:u w:val="none"/>
        </w:rPr>
        <w:t xml:space="preserve"> </w:t>
      </w:r>
      <w:r w:rsidRPr="00A213B8">
        <w:rPr>
          <w:rFonts w:cs="Arial"/>
          <w:b w:val="0"/>
          <w:u w:val="none"/>
        </w:rPr>
        <w:t>Generally accepted accounting principles issued by the Financial Accounting Standards Board (FASB), as may be modified.</w:t>
      </w:r>
    </w:p>
    <w:p w:rsidRPr="00A213B8" w:rsidR="005A1A16" w:rsidP="000432D0" w:rsidRDefault="005A1A16" w14:paraId="06E191BD" w14:textId="7A4C080C">
      <w:pPr>
        <w:spacing w:before="120" w:after="120" w:line="240" w:lineRule="auto"/>
        <w:rPr>
          <w:rFonts w:ascii="Arial" w:hAnsi="Arial" w:cs="Arial"/>
          <w:sz w:val="20"/>
          <w:szCs w:val="20"/>
        </w:rPr>
      </w:pPr>
      <w:r w:rsidRPr="00A213B8">
        <w:rPr>
          <w:rFonts w:ascii="Arial" w:hAnsi="Arial" w:cs="Arial"/>
          <w:b/>
          <w:bCs/>
          <w:sz w:val="20"/>
          <w:szCs w:val="20"/>
          <w:u w:val="single"/>
        </w:rPr>
        <w:t>Gains</w:t>
      </w:r>
      <w:r w:rsidRPr="002E622B">
        <w:rPr>
          <w:rFonts w:ascii="Arial" w:hAnsi="Arial" w:cs="Arial"/>
          <w:b/>
          <w:bCs/>
          <w:sz w:val="20"/>
          <w:szCs w:val="20"/>
        </w:rPr>
        <w:t>:</w:t>
      </w:r>
      <w:r w:rsidRPr="00A213B8">
        <w:rPr>
          <w:rFonts w:ascii="Arial" w:hAnsi="Arial" w:cs="Arial"/>
          <w:sz w:val="20"/>
          <w:szCs w:val="20"/>
        </w:rPr>
        <w:t xml:space="preserve"> As defined in Section 16.3.3 (</w:t>
      </w:r>
      <w:r w:rsidRPr="00A213B8">
        <w:rPr>
          <w:rFonts w:ascii="Arial" w:hAnsi="Arial" w:cs="Arial"/>
          <w:i/>
          <w:iCs/>
          <w:sz w:val="20"/>
          <w:szCs w:val="20"/>
        </w:rPr>
        <w:t>Determining Gains, Losses, and Costs</w:t>
      </w:r>
      <w:r w:rsidRPr="00A213B8">
        <w:rPr>
          <w:rFonts w:ascii="Arial" w:hAnsi="Arial" w:cs="Arial"/>
          <w:sz w:val="20"/>
          <w:szCs w:val="20"/>
        </w:rPr>
        <w:t>).</w:t>
      </w:r>
    </w:p>
    <w:p w:rsidRPr="00261AEB" w:rsidR="002D54C4" w:rsidP="00261AEB" w:rsidRDefault="002D54C4" w14:paraId="51E14DDC" w14:textId="147B1363">
      <w:pPr>
        <w:pStyle w:val="Heading3"/>
        <w:keepNext w:val="0"/>
        <w:keepLines w:val="0"/>
        <w:widowControl w:val="0"/>
        <w:spacing w:before="120"/>
        <w:rPr>
          <w:b w:val="0"/>
          <w:u w:val="none"/>
        </w:rPr>
      </w:pPr>
      <w:r w:rsidRPr="00A213B8">
        <w:rPr>
          <w:rFonts w:cs="Arial"/>
        </w:rPr>
        <w:lastRenderedPageBreak/>
        <w:t>Georgia Integrated Transmission System (Georgia ITS)</w:t>
      </w:r>
      <w:r w:rsidRPr="00A213B8">
        <w:rPr>
          <w:rFonts w:cs="Arial"/>
          <w:u w:val="none"/>
        </w:rPr>
        <w:t>:</w:t>
      </w:r>
      <w:r w:rsidRPr="00A213B8">
        <w:rPr>
          <w:rFonts w:cs="Arial"/>
          <w:b w:val="0"/>
          <w:u w:val="none"/>
        </w:rPr>
        <w:t xml:space="preserve"> </w:t>
      </w:r>
      <w:r w:rsidRPr="00A213B8" w:rsidR="00793814">
        <w:rPr>
          <w:rFonts w:cs="Arial"/>
          <w:b w:val="0"/>
          <w:u w:val="none"/>
        </w:rPr>
        <w:t xml:space="preserve"> </w:t>
      </w:r>
      <w:r w:rsidRPr="00A213B8">
        <w:rPr>
          <w:rFonts w:cs="Arial"/>
          <w:b w:val="0"/>
          <w:u w:val="none"/>
        </w:rPr>
        <w:t>The Georgia Integrated Transmission System, which is owned individually by GPC, Georgia Transmission Corporation, Municipal Electric Authority of Georgia, or Dalton Utilities, and operated as an integrated transmission system for transmitting, receiving, or distributing electric energy or capacity.</w:t>
      </w:r>
    </w:p>
    <w:p w:rsidRPr="00A213B8" w:rsidR="00E3490A" w:rsidP="000432D0" w:rsidRDefault="00E3490A" w14:paraId="5D3EA6D0" w14:textId="23EB969B">
      <w:pPr>
        <w:spacing w:before="120" w:after="120" w:line="240" w:lineRule="auto"/>
        <w:rPr>
          <w:rFonts w:ascii="Arial" w:hAnsi="Arial" w:cs="Arial"/>
          <w:sz w:val="20"/>
          <w:szCs w:val="20"/>
        </w:rPr>
      </w:pPr>
      <w:r w:rsidRPr="00A213B8">
        <w:rPr>
          <w:rFonts w:ascii="Arial" w:hAnsi="Arial" w:cs="Arial"/>
          <w:b/>
          <w:bCs/>
          <w:sz w:val="20"/>
          <w:szCs w:val="20"/>
          <w:u w:val="single"/>
        </w:rPr>
        <w:t>Governmental Approvals</w:t>
      </w:r>
      <w:r w:rsidRPr="002E622B">
        <w:rPr>
          <w:rFonts w:ascii="Arial" w:hAnsi="Arial" w:cs="Arial"/>
          <w:b/>
          <w:bCs/>
          <w:sz w:val="20"/>
          <w:szCs w:val="20"/>
        </w:rPr>
        <w:t>:</w:t>
      </w:r>
      <w:r w:rsidRPr="00A213B8">
        <w:rPr>
          <w:rFonts w:ascii="Arial" w:hAnsi="Arial" w:cs="Arial"/>
          <w:sz w:val="20"/>
          <w:szCs w:val="20"/>
        </w:rPr>
        <w:t xml:space="preserve"> As defined in Section 7.1.5(vii) (</w:t>
      </w:r>
      <w:r w:rsidRPr="00A213B8">
        <w:rPr>
          <w:rFonts w:ascii="Arial" w:hAnsi="Arial" w:cs="Arial"/>
          <w:i/>
          <w:iCs/>
          <w:sz w:val="20"/>
          <w:szCs w:val="20"/>
        </w:rPr>
        <w:t>Commercial Operation</w:t>
      </w:r>
      <w:r w:rsidRPr="00A213B8">
        <w:rPr>
          <w:rFonts w:ascii="Arial" w:hAnsi="Arial" w:cs="Arial"/>
          <w:sz w:val="20"/>
          <w:szCs w:val="20"/>
        </w:rPr>
        <w:t>).</w:t>
      </w:r>
    </w:p>
    <w:p w:rsidRPr="00A213B8" w:rsidR="002D54C4" w:rsidP="00261AEB" w:rsidRDefault="002D54C4" w14:paraId="5E424217" w14:textId="7689430A">
      <w:pPr>
        <w:pStyle w:val="Heading3"/>
        <w:keepNext w:val="0"/>
        <w:keepLines w:val="0"/>
        <w:widowControl w:val="0"/>
        <w:spacing w:before="120"/>
        <w:rPr>
          <w:rFonts w:cs="Arial"/>
          <w:b w:val="0"/>
          <w:u w:val="none"/>
        </w:rPr>
      </w:pPr>
      <w:r w:rsidRPr="00A213B8">
        <w:rPr>
          <w:rFonts w:cs="Arial"/>
        </w:rPr>
        <w:t>Governmental Authority</w:t>
      </w:r>
      <w:r w:rsidRPr="00A213B8">
        <w:rPr>
          <w:rFonts w:cs="Arial"/>
          <w:u w:val="none"/>
        </w:rPr>
        <w:t>:</w:t>
      </w:r>
      <w:r w:rsidRPr="00A213B8" w:rsidR="00B67989">
        <w:rPr>
          <w:rFonts w:cs="Arial"/>
          <w:u w:val="none"/>
        </w:rPr>
        <w:t xml:space="preserve"> </w:t>
      </w:r>
      <w:r w:rsidRPr="00A213B8">
        <w:rPr>
          <w:rFonts w:cs="Arial"/>
          <w:b w:val="0"/>
          <w:u w:val="none"/>
        </w:rPr>
        <w:t xml:space="preserve"> As applicable to the specific Party, facility, or event, any federal, state, or local</w:t>
      </w:r>
      <w:r w:rsidRPr="00A213B8" w:rsidR="00905CFE">
        <w:rPr>
          <w:rFonts w:cs="Arial"/>
          <w:b w:val="0"/>
          <w:u w:val="none"/>
        </w:rPr>
        <w:t xml:space="preserve"> </w:t>
      </w:r>
      <w:r w:rsidRPr="00A213B8">
        <w:rPr>
          <w:rFonts w:cs="Arial"/>
          <w:b w:val="0"/>
          <w:u w:val="none"/>
        </w:rPr>
        <w:t>governmental or regulatory authority, administrative agency, commission, department, board, or court that has jurisdiction over that Party, the Facility, or the subject matter of this PPA, but excluding any federal, state, or local governmental or regulatory authority, administrative agency, commission, department, board, or other such entity acting in a capacity as lender, guarantor, or mortgagee.</w:t>
      </w:r>
    </w:p>
    <w:p w:rsidRPr="00A213B8" w:rsidR="0063022D" w:rsidP="000432D0" w:rsidRDefault="00D31C26" w14:paraId="34F0AFFC" w14:textId="464D7037">
      <w:pPr>
        <w:spacing w:before="120" w:after="120" w:line="240" w:lineRule="auto"/>
        <w:rPr>
          <w:rFonts w:ascii="Arial" w:hAnsi="Arial" w:cs="Arial"/>
          <w:b/>
          <w:bCs/>
          <w:sz w:val="20"/>
          <w:szCs w:val="20"/>
          <w:u w:val="single"/>
        </w:rPr>
      </w:pPr>
      <w:r w:rsidRPr="00A213B8">
        <w:rPr>
          <w:rFonts w:ascii="Arial" w:hAnsi="Arial" w:cs="Arial"/>
          <w:b/>
          <w:bCs/>
          <w:sz w:val="20"/>
          <w:szCs w:val="20"/>
          <w:u w:val="single"/>
        </w:rPr>
        <w:t>GPC</w:t>
      </w:r>
      <w:r w:rsidRPr="00A213B8">
        <w:rPr>
          <w:rFonts w:ascii="Arial" w:hAnsi="Arial" w:cs="Arial"/>
          <w:sz w:val="20"/>
          <w:szCs w:val="20"/>
        </w:rPr>
        <w:t xml:space="preserve">: Georgia Power Company, </w:t>
      </w:r>
      <w:r w:rsidR="00E634AF">
        <w:rPr>
          <w:rFonts w:ascii="Arial" w:hAnsi="Arial" w:cs="Arial"/>
          <w:sz w:val="20"/>
          <w:szCs w:val="20"/>
        </w:rPr>
        <w:t xml:space="preserve">a Georgia corporation, </w:t>
      </w:r>
      <w:r w:rsidRPr="00A213B8">
        <w:rPr>
          <w:rFonts w:ascii="Arial" w:hAnsi="Arial" w:cs="Arial"/>
          <w:sz w:val="20"/>
          <w:szCs w:val="20"/>
        </w:rPr>
        <w:t>as specified in the preamble.</w:t>
      </w:r>
      <w:r w:rsidRPr="00A213B8">
        <w:rPr>
          <w:rFonts w:ascii="Arial" w:hAnsi="Arial" w:cs="Arial"/>
          <w:b/>
          <w:bCs/>
          <w:sz w:val="20"/>
          <w:szCs w:val="20"/>
          <w:u w:val="single"/>
        </w:rPr>
        <w:t xml:space="preserve"> </w:t>
      </w:r>
    </w:p>
    <w:p w:rsidRPr="00261AEB" w:rsidR="00B85D2E" w:rsidP="00261AEB" w:rsidRDefault="00B85D2E" w14:paraId="483EB862" w14:textId="2D1B94BC">
      <w:pPr>
        <w:pStyle w:val="Heading3"/>
        <w:keepNext w:val="0"/>
        <w:keepLines w:val="0"/>
        <w:spacing w:before="120"/>
        <w:rPr>
          <w:b w:val="0"/>
          <w:u w:val="none"/>
        </w:rPr>
      </w:pPr>
      <w:r w:rsidRPr="00A213B8">
        <w:rPr>
          <w:rFonts w:cs="Arial"/>
        </w:rPr>
        <w:t>GPC-Related Party</w:t>
      </w:r>
      <w:r w:rsidRPr="00A213B8">
        <w:rPr>
          <w:rFonts w:cs="Arial"/>
          <w:u w:val="none"/>
        </w:rPr>
        <w:t xml:space="preserve">: </w:t>
      </w:r>
      <w:r w:rsidRPr="00A213B8">
        <w:rPr>
          <w:rFonts w:cs="Arial"/>
          <w:b w:val="0"/>
          <w:u w:val="none"/>
        </w:rPr>
        <w:t>Each of GPC, Southern Company, and their Affiliates, and the officers, directors, employees, representatives, and agents of each of them.</w:t>
      </w:r>
    </w:p>
    <w:p w:rsidR="00A840FA" w:rsidP="000432D0" w:rsidRDefault="00C33622" w14:paraId="434185ED" w14:textId="77777777">
      <w:pPr>
        <w:spacing w:before="120" w:after="120" w:line="240" w:lineRule="auto"/>
        <w:rPr>
          <w:rFonts w:ascii="Arial" w:hAnsi="Arial" w:cs="Arial"/>
          <w:sz w:val="20"/>
          <w:szCs w:val="20"/>
        </w:rPr>
      </w:pPr>
      <w:r w:rsidRPr="00A213B8">
        <w:rPr>
          <w:rFonts w:ascii="Arial" w:hAnsi="Arial" w:cs="Arial"/>
          <w:b/>
          <w:bCs/>
          <w:sz w:val="20"/>
          <w:szCs w:val="20"/>
          <w:u w:val="single"/>
        </w:rPr>
        <w:t>GPC Consolidation</w:t>
      </w:r>
      <w:r w:rsidRPr="00A213B8">
        <w:rPr>
          <w:rFonts w:ascii="Arial" w:hAnsi="Arial" w:cs="Arial"/>
          <w:sz w:val="20"/>
          <w:szCs w:val="20"/>
        </w:rPr>
        <w:t>: As defined in Section 2.1.8(i) (</w:t>
      </w:r>
      <w:r w:rsidRPr="00A213B8">
        <w:rPr>
          <w:rFonts w:ascii="Arial" w:hAnsi="Arial" w:cs="Arial"/>
          <w:i/>
          <w:iCs/>
          <w:sz w:val="20"/>
          <w:szCs w:val="20"/>
        </w:rPr>
        <w:t>VIE Certification</w:t>
      </w:r>
      <w:r w:rsidRPr="00A213B8">
        <w:rPr>
          <w:rFonts w:ascii="Arial" w:hAnsi="Arial" w:cs="Arial"/>
          <w:sz w:val="20"/>
          <w:szCs w:val="20"/>
        </w:rPr>
        <w:t>).</w:t>
      </w:r>
    </w:p>
    <w:p w:rsidRPr="00A213B8" w:rsidR="00C33622" w:rsidP="00E131FF" w:rsidRDefault="00BB39A4" w14:paraId="321528E8" w14:textId="73C57D2F">
      <w:pPr>
        <w:spacing w:before="120" w:after="120" w:line="240" w:lineRule="auto"/>
        <w:jc w:val="both"/>
        <w:rPr>
          <w:rFonts w:ascii="Arial" w:hAnsi="Arial" w:cs="Arial"/>
          <w:sz w:val="20"/>
          <w:szCs w:val="20"/>
        </w:rPr>
      </w:pPr>
      <w:r w:rsidRPr="007D6568">
        <w:rPr>
          <w:rFonts w:ascii="Arial" w:hAnsi="Arial" w:cs="Arial"/>
          <w:b/>
          <w:bCs/>
          <w:sz w:val="20"/>
          <w:szCs w:val="20"/>
          <w:u w:val="single"/>
        </w:rPr>
        <w:t>GPC Election Deadline</w:t>
      </w:r>
      <w:r w:rsidRPr="007D6568">
        <w:rPr>
          <w:rFonts w:ascii="Arial" w:hAnsi="Arial" w:cs="Arial"/>
          <w:b/>
          <w:bCs/>
          <w:sz w:val="20"/>
          <w:szCs w:val="20"/>
        </w:rPr>
        <w:t xml:space="preserve">: </w:t>
      </w:r>
      <w:r w:rsidRPr="007D6568">
        <w:rPr>
          <w:rFonts w:ascii="Arial" w:hAnsi="Arial" w:cs="Arial"/>
          <w:sz w:val="20"/>
          <w:szCs w:val="20"/>
        </w:rPr>
        <w:t>(i) with respect to an Excess Expenditures Notice concerning capital expenditures, Taxes, or operating costs, the date that is 180 Days after GPC’s receipt of the Excess Expenditures Notice; and (ii) with respect to an Initial Tariff Notice, the date that is 90 Days after GPC’s receipt of the Initial Tariff Notice.</w:t>
      </w:r>
      <w:r w:rsidRPr="00A213B8" w:rsidR="00C33622">
        <w:rPr>
          <w:rFonts w:ascii="Arial" w:hAnsi="Arial" w:cs="Arial"/>
          <w:sz w:val="20"/>
          <w:szCs w:val="20"/>
        </w:rPr>
        <w:t xml:space="preserve"> </w:t>
      </w:r>
    </w:p>
    <w:p w:rsidRPr="00A213B8" w:rsidR="00C36A4F" w:rsidP="000432D0" w:rsidRDefault="00C36A4F" w14:paraId="11D5DA64" w14:textId="0B600219">
      <w:pPr>
        <w:spacing w:before="120" w:after="120" w:line="240" w:lineRule="auto"/>
        <w:rPr>
          <w:rFonts w:ascii="Arial" w:hAnsi="Arial" w:cs="Arial"/>
          <w:sz w:val="20"/>
          <w:szCs w:val="20"/>
        </w:rPr>
      </w:pPr>
      <w:r w:rsidRPr="00A213B8">
        <w:rPr>
          <w:rFonts w:ascii="Arial" w:hAnsi="Arial" w:cs="Arial"/>
          <w:b/>
          <w:bCs/>
          <w:sz w:val="20"/>
          <w:szCs w:val="20"/>
          <w:u w:val="single"/>
        </w:rPr>
        <w:t>GPC Election Notice</w:t>
      </w:r>
      <w:r w:rsidRPr="00B11F88">
        <w:rPr>
          <w:rFonts w:ascii="Arial" w:hAnsi="Arial" w:cs="Arial"/>
          <w:b/>
          <w:bCs/>
          <w:sz w:val="20"/>
          <w:szCs w:val="20"/>
        </w:rPr>
        <w:t>:</w:t>
      </w:r>
      <w:r w:rsidRPr="00A213B8">
        <w:rPr>
          <w:rFonts w:ascii="Arial" w:hAnsi="Arial" w:cs="Arial"/>
          <w:sz w:val="20"/>
          <w:szCs w:val="20"/>
        </w:rPr>
        <w:t xml:space="preserve"> </w:t>
      </w:r>
      <w:r w:rsidRPr="00341121" w:rsidR="00B11F88">
        <w:rPr>
          <w:rFonts w:ascii="Arial" w:hAnsi="Arial" w:cs="Arial"/>
          <w:sz w:val="20"/>
          <w:szCs w:val="20"/>
        </w:rPr>
        <w:t>Written notice from GPC to Seller of GPC’s election to pay an ACP Adjustment</w:t>
      </w:r>
      <w:r w:rsidR="00B11F88">
        <w:rPr>
          <w:rFonts w:ascii="Arial" w:hAnsi="Arial" w:cs="Arial"/>
          <w:sz w:val="20"/>
          <w:szCs w:val="20"/>
        </w:rPr>
        <w:t>, implement Operational Alternatives,</w:t>
      </w:r>
      <w:r w:rsidRPr="00341121" w:rsidR="00B11F88">
        <w:rPr>
          <w:rFonts w:ascii="Arial" w:hAnsi="Arial" w:cs="Arial"/>
          <w:sz w:val="20"/>
          <w:szCs w:val="20"/>
        </w:rPr>
        <w:t xml:space="preserve"> or terminate the PPA</w:t>
      </w:r>
      <w:r w:rsidRPr="00A213B8">
        <w:rPr>
          <w:rFonts w:ascii="Arial" w:hAnsi="Arial" w:cs="Arial"/>
          <w:sz w:val="20"/>
          <w:szCs w:val="20"/>
        </w:rPr>
        <w:t>.</w:t>
      </w:r>
    </w:p>
    <w:p w:rsidRPr="00A213B8" w:rsidR="002D54C4" w:rsidP="00261AEB" w:rsidRDefault="002D54C4" w14:paraId="2EEE631E" w14:textId="0D85273B">
      <w:pPr>
        <w:pStyle w:val="Heading3"/>
        <w:keepNext w:val="0"/>
        <w:keepLines w:val="0"/>
        <w:widowControl w:val="0"/>
        <w:spacing w:before="120"/>
        <w:rPr>
          <w:rFonts w:cs="Arial"/>
        </w:rPr>
      </w:pPr>
      <w:r w:rsidRPr="00A213B8">
        <w:rPr>
          <w:rFonts w:cs="Arial"/>
        </w:rPr>
        <w:t>GPC Security Account</w:t>
      </w:r>
      <w:r w:rsidRPr="00A213B8">
        <w:rPr>
          <w:rFonts w:cs="Arial"/>
          <w:u w:val="none"/>
        </w:rPr>
        <w:t xml:space="preserve">: </w:t>
      </w:r>
      <w:r w:rsidRPr="00A213B8" w:rsidR="00793814">
        <w:rPr>
          <w:rFonts w:cs="Arial"/>
          <w:b w:val="0"/>
          <w:u w:val="none"/>
        </w:rPr>
        <w:t xml:space="preserve"> </w:t>
      </w:r>
      <w:r w:rsidRPr="00A213B8">
        <w:rPr>
          <w:rFonts w:cs="Arial"/>
          <w:b w:val="0"/>
          <w:u w:val="none"/>
        </w:rPr>
        <w:t>An account designated by GPC for the benefit of GPC, under the exclusive control of GPC and free of any liens (including the lien of any lender) of any Person or entity other than GPC. Any GPC Security Account will be established and maintained at the expense of Seller and held by a depositary bank acceptable to GPC</w:t>
      </w:r>
      <w:r w:rsidRPr="00A213B8" w:rsidDel="00384C2C">
        <w:rPr>
          <w:rFonts w:cs="Arial"/>
          <w:b w:val="0"/>
          <w:u w:val="none"/>
        </w:rPr>
        <w:t xml:space="preserve"> </w:t>
      </w:r>
      <w:r w:rsidRPr="00A213B8">
        <w:rPr>
          <w:rFonts w:cs="Arial"/>
          <w:b w:val="0"/>
          <w:u w:val="none"/>
        </w:rPr>
        <w:t>under a control agreement in form and substance acceptable to GPC.</w:t>
      </w:r>
    </w:p>
    <w:p w:rsidRPr="00A213B8" w:rsidR="002D54C4" w:rsidP="00261AEB" w:rsidRDefault="002D54C4" w14:paraId="3B762C40" w14:textId="303634EC">
      <w:pPr>
        <w:pStyle w:val="Heading3"/>
        <w:keepNext w:val="0"/>
        <w:keepLines w:val="0"/>
        <w:widowControl w:val="0"/>
        <w:spacing w:before="120"/>
        <w:rPr>
          <w:rFonts w:cs="Arial"/>
          <w:b w:val="0"/>
          <w:u w:val="none"/>
        </w:rPr>
      </w:pPr>
      <w:r w:rsidRPr="00A213B8">
        <w:rPr>
          <w:rFonts w:cs="Arial"/>
        </w:rPr>
        <w:t>Grid Charging</w:t>
      </w:r>
      <w:r w:rsidRPr="00A213B8">
        <w:rPr>
          <w:rFonts w:cs="Arial"/>
          <w:u w:val="none"/>
        </w:rPr>
        <w:t xml:space="preserve">: </w:t>
      </w:r>
      <w:r w:rsidRPr="00A213B8">
        <w:rPr>
          <w:rFonts w:cs="Arial"/>
          <w:b w:val="0"/>
          <w:u w:val="none"/>
        </w:rPr>
        <w:t xml:space="preserve">Charging the </w:t>
      </w:r>
      <w:r w:rsidRPr="00A213B8" w:rsidR="005F6135">
        <w:rPr>
          <w:rFonts w:cs="Arial"/>
          <w:b w:val="0"/>
          <w:u w:val="none"/>
        </w:rPr>
        <w:t>B</w:t>
      </w:r>
      <w:r w:rsidRPr="00A213B8">
        <w:rPr>
          <w:rFonts w:cs="Arial"/>
          <w:b w:val="0"/>
          <w:u w:val="none"/>
        </w:rPr>
        <w:t xml:space="preserve">ESS from the </w:t>
      </w:r>
      <w:r w:rsidRPr="00A213B8" w:rsidR="00FC522A">
        <w:rPr>
          <w:rFonts w:cs="Arial"/>
          <w:b w:val="0"/>
          <w:u w:val="none"/>
        </w:rPr>
        <w:t>Electric System</w:t>
      </w:r>
      <w:r w:rsidRPr="00A213B8">
        <w:rPr>
          <w:rFonts w:cs="Arial"/>
          <w:b w:val="0"/>
          <w:u w:val="none"/>
        </w:rPr>
        <w:t xml:space="preserve">.  </w:t>
      </w:r>
    </w:p>
    <w:p w:rsidRPr="00A213B8" w:rsidR="00976906" w:rsidP="00261AEB" w:rsidRDefault="00976906" w14:paraId="436D79BE" w14:textId="2A990F83">
      <w:pPr>
        <w:pStyle w:val="zGTableTxt10"/>
        <w:widowControl/>
        <w:autoSpaceDE/>
        <w:autoSpaceDN/>
        <w:adjustRightInd/>
        <w:spacing w:before="120" w:after="120"/>
        <w:rPr>
          <w:rFonts w:eastAsiaTheme="minorHAnsi"/>
          <w:spacing w:val="0"/>
          <w:kern w:val="0"/>
        </w:rPr>
      </w:pPr>
      <w:r w:rsidRPr="00A213B8">
        <w:rPr>
          <w:rFonts w:eastAsiaTheme="minorHAnsi"/>
          <w:b/>
          <w:bCs/>
          <w:spacing w:val="0"/>
          <w:kern w:val="0"/>
          <w:u w:val="single"/>
        </w:rPr>
        <w:t>Grid Charging Energy</w:t>
      </w:r>
      <w:r w:rsidRPr="00A213B8">
        <w:rPr>
          <w:rFonts w:eastAsiaTheme="minorHAnsi"/>
          <w:b/>
          <w:bCs/>
          <w:spacing w:val="0"/>
          <w:kern w:val="0"/>
        </w:rPr>
        <w:t>:</w:t>
      </w:r>
      <w:r w:rsidRPr="00A213B8">
        <w:rPr>
          <w:rFonts w:eastAsiaTheme="minorHAnsi"/>
          <w:spacing w:val="0"/>
          <w:kern w:val="0"/>
        </w:rPr>
        <w:t xml:space="preserve"> </w:t>
      </w:r>
      <w:r w:rsidRPr="00A213B8" w:rsidR="006F0210">
        <w:rPr>
          <w:rFonts w:eastAsiaTheme="minorHAnsi"/>
          <w:spacing w:val="0"/>
          <w:kern w:val="0"/>
        </w:rPr>
        <w:t xml:space="preserve">Charging </w:t>
      </w:r>
      <w:r w:rsidRPr="00A213B8">
        <w:rPr>
          <w:rFonts w:eastAsiaTheme="minorHAnsi"/>
          <w:spacing w:val="0"/>
          <w:kern w:val="0"/>
        </w:rPr>
        <w:t>Energy</w:t>
      </w:r>
      <w:r w:rsidRPr="00A213B8" w:rsidR="006F0210">
        <w:rPr>
          <w:rFonts w:eastAsiaTheme="minorHAnsi"/>
          <w:spacing w:val="0"/>
          <w:kern w:val="0"/>
        </w:rPr>
        <w:t xml:space="preserve"> supplied via Grid Charging</w:t>
      </w:r>
      <w:r w:rsidRPr="00A213B8">
        <w:rPr>
          <w:rFonts w:eastAsiaTheme="minorHAnsi"/>
          <w:spacing w:val="0"/>
          <w:kern w:val="0"/>
        </w:rPr>
        <w:t>.</w:t>
      </w:r>
    </w:p>
    <w:p w:rsidRPr="00A213B8" w:rsidR="000A780E" w:rsidP="00261AEB" w:rsidRDefault="000A780E" w14:paraId="012D0D1C" w14:textId="4CF4DCE5">
      <w:pPr>
        <w:pStyle w:val="Heading3"/>
        <w:keepNext w:val="0"/>
        <w:keepLines w:val="0"/>
        <w:widowControl w:val="0"/>
        <w:spacing w:before="120"/>
        <w:rPr>
          <w:rFonts w:cs="Arial"/>
        </w:rPr>
      </w:pPr>
      <w:r w:rsidRPr="00A213B8">
        <w:rPr>
          <w:rFonts w:cs="Arial"/>
        </w:rPr>
        <w:t>Guaranteed RTE</w:t>
      </w:r>
      <w:r w:rsidRPr="00A213B8">
        <w:rPr>
          <w:rFonts w:cs="Arial"/>
          <w:u w:val="none"/>
        </w:rPr>
        <w:t xml:space="preserve">: </w:t>
      </w:r>
      <w:r w:rsidRPr="00A213B8">
        <w:rPr>
          <w:rFonts w:cs="Arial"/>
          <w:b w:val="0"/>
          <w:bCs w:val="0"/>
          <w:u w:val="none"/>
        </w:rPr>
        <w:t xml:space="preserve">The guaranteed Round-Trip Efficiency rate of the </w:t>
      </w:r>
      <w:r w:rsidRPr="00A213B8" w:rsidR="005F6135">
        <w:rPr>
          <w:rFonts w:cs="Arial"/>
          <w:b w:val="0"/>
          <w:bCs w:val="0"/>
          <w:u w:val="none"/>
        </w:rPr>
        <w:t>B</w:t>
      </w:r>
      <w:r w:rsidRPr="00A213B8">
        <w:rPr>
          <w:rFonts w:cs="Arial"/>
          <w:b w:val="0"/>
          <w:bCs w:val="0"/>
          <w:u w:val="none"/>
        </w:rPr>
        <w:t xml:space="preserve">ESS stated in </w:t>
      </w:r>
      <w:r w:rsidRPr="00A213B8">
        <w:rPr>
          <w:rFonts w:cs="Arial"/>
          <w:b w:val="0"/>
          <w:u w:val="none"/>
        </w:rPr>
        <w:t>Table A-</w:t>
      </w:r>
      <w:r w:rsidRPr="00A213B8" w:rsidR="00D976A8">
        <w:rPr>
          <w:rFonts w:cs="Arial"/>
          <w:b w:val="0"/>
          <w:u w:val="none"/>
        </w:rPr>
        <w:t>3</w:t>
      </w:r>
      <w:r w:rsidRPr="00A213B8" w:rsidR="00F77366">
        <w:rPr>
          <w:rFonts w:cs="Arial"/>
          <w:b w:val="0"/>
          <w:u w:val="none"/>
        </w:rPr>
        <w:t xml:space="preserve"> (</w:t>
      </w:r>
      <w:r w:rsidRPr="00A213B8" w:rsidR="00F77366">
        <w:rPr>
          <w:rFonts w:cs="Arial"/>
          <w:b w:val="0"/>
          <w:i/>
          <w:iCs/>
          <w:u w:val="none"/>
        </w:rPr>
        <w:t>Additional Facility and Operating Information</w:t>
      </w:r>
      <w:r w:rsidRPr="00A213B8" w:rsidR="00F77366">
        <w:rPr>
          <w:rFonts w:cs="Arial"/>
          <w:b w:val="0"/>
          <w:u w:val="none"/>
        </w:rPr>
        <w:t>)</w:t>
      </w:r>
      <w:r w:rsidRPr="00A213B8">
        <w:rPr>
          <w:rFonts w:cs="Arial"/>
          <w:b w:val="0"/>
          <w:u w:val="none"/>
        </w:rPr>
        <w:t xml:space="preserve"> in Exhibit A (</w:t>
      </w:r>
      <w:r w:rsidRPr="00A213B8">
        <w:rPr>
          <w:rFonts w:cs="Arial"/>
          <w:b w:val="0"/>
          <w:i/>
          <w:u w:val="none"/>
        </w:rPr>
        <w:t>Facility</w:t>
      </w:r>
      <w:r w:rsidRPr="00A213B8" w:rsidR="00307908">
        <w:rPr>
          <w:rFonts w:cs="Arial"/>
          <w:b w:val="0"/>
          <w:i/>
          <w:u w:val="none"/>
        </w:rPr>
        <w:t xml:space="preserve"> Description</w:t>
      </w:r>
      <w:r w:rsidRPr="00A213B8">
        <w:rPr>
          <w:rFonts w:cs="Arial"/>
          <w:b w:val="0"/>
          <w:i/>
          <w:u w:val="none"/>
        </w:rPr>
        <w:t xml:space="preserve"> and </w:t>
      </w:r>
      <w:r w:rsidRPr="00A213B8" w:rsidR="00511066">
        <w:rPr>
          <w:rFonts w:cs="Arial"/>
          <w:b w:val="0"/>
          <w:i/>
          <w:u w:val="none"/>
        </w:rPr>
        <w:t>Additional Details</w:t>
      </w:r>
      <w:r w:rsidRPr="00A213B8">
        <w:rPr>
          <w:rFonts w:cs="Arial"/>
          <w:b w:val="0"/>
          <w:u w:val="none"/>
        </w:rPr>
        <w:t>)</w:t>
      </w:r>
      <w:r w:rsidRPr="00A213B8">
        <w:rPr>
          <w:rFonts w:cs="Arial"/>
          <w:b w:val="0"/>
          <w:bCs w:val="0"/>
          <w:u w:val="none"/>
        </w:rPr>
        <w:t>.</w:t>
      </w:r>
    </w:p>
    <w:p w:rsidRPr="00261AEB" w:rsidR="002D54C4" w:rsidP="00261AEB" w:rsidRDefault="00EA6D53" w14:paraId="03C819D4" w14:textId="6C3CF30D">
      <w:pPr>
        <w:pStyle w:val="Heading3"/>
        <w:keepNext w:val="0"/>
        <w:keepLines w:val="0"/>
        <w:widowControl w:val="0"/>
        <w:spacing w:before="120"/>
        <w:rPr>
          <w:b w:val="0"/>
          <w:u w:val="none"/>
        </w:rPr>
      </w:pPr>
      <w:r w:rsidRPr="00A213B8">
        <w:rPr>
          <w:rFonts w:cs="Arial"/>
        </w:rPr>
        <w:t>H</w:t>
      </w:r>
      <w:r w:rsidRPr="00A213B8" w:rsidR="002D54C4">
        <w:rPr>
          <w:rFonts w:cs="Arial"/>
        </w:rPr>
        <w:t>our</w:t>
      </w:r>
      <w:r w:rsidRPr="00A213B8" w:rsidR="002D54C4">
        <w:rPr>
          <w:rFonts w:cs="Arial"/>
          <w:u w:val="none"/>
        </w:rPr>
        <w:t xml:space="preserve">: </w:t>
      </w:r>
      <w:r w:rsidRPr="00A213B8" w:rsidR="002D54C4">
        <w:rPr>
          <w:rFonts w:cs="Arial"/>
          <w:b w:val="0"/>
          <w:u w:val="none"/>
        </w:rPr>
        <w:t>One of the 24 clock-hours of a Day. “</w:t>
      </w:r>
      <w:r w:rsidRPr="00A213B8" w:rsidR="002D54C4">
        <w:rPr>
          <w:rFonts w:cs="Arial"/>
          <w:bCs w:val="0"/>
          <w:u w:val="none"/>
        </w:rPr>
        <w:t>Hourly</w:t>
      </w:r>
      <w:r w:rsidRPr="00A213B8" w:rsidR="002D54C4">
        <w:rPr>
          <w:rFonts w:cs="Arial"/>
          <w:b w:val="0"/>
          <w:u w:val="none"/>
        </w:rPr>
        <w:t xml:space="preserve">” has a meaning correlative to that of Hour. </w:t>
      </w:r>
    </w:p>
    <w:p w:rsidRPr="00A213B8" w:rsidR="00527C3E" w:rsidP="00FF4D39" w:rsidRDefault="00527C3E" w14:paraId="60F52D3E" w14:textId="2960AB10">
      <w:pPr>
        <w:spacing w:before="120" w:after="120" w:line="240" w:lineRule="auto"/>
        <w:jc w:val="both"/>
        <w:rPr>
          <w:rFonts w:ascii="Arial" w:hAnsi="Arial" w:cs="Arial"/>
          <w:sz w:val="20"/>
          <w:szCs w:val="20"/>
        </w:rPr>
      </w:pPr>
      <w:r w:rsidRPr="00A213B8">
        <w:rPr>
          <w:rFonts w:ascii="Arial" w:hAnsi="Arial" w:cs="Arial"/>
          <w:b/>
          <w:bCs/>
          <w:sz w:val="20"/>
          <w:szCs w:val="20"/>
          <w:u w:val="single"/>
        </w:rPr>
        <w:t>Impasse Notice</w:t>
      </w:r>
      <w:r w:rsidRPr="000432D0">
        <w:rPr>
          <w:rFonts w:ascii="Arial" w:hAnsi="Arial" w:cs="Arial"/>
          <w:b/>
          <w:bCs/>
          <w:sz w:val="20"/>
          <w:szCs w:val="20"/>
        </w:rPr>
        <w:t>:</w:t>
      </w:r>
      <w:r w:rsidRPr="00A213B8">
        <w:rPr>
          <w:rFonts w:ascii="Arial" w:hAnsi="Arial" w:cs="Arial"/>
          <w:sz w:val="20"/>
          <w:szCs w:val="20"/>
        </w:rPr>
        <w:t xml:space="preserve"> As defined in Section 19.1 (</w:t>
      </w:r>
      <w:r w:rsidRPr="00A213B8">
        <w:rPr>
          <w:rFonts w:ascii="Arial" w:hAnsi="Arial" w:cs="Arial"/>
          <w:i/>
          <w:iCs/>
          <w:sz w:val="20"/>
          <w:szCs w:val="20"/>
        </w:rPr>
        <w:t>Notice of Dispute; Dispute Resolution Process</w:t>
      </w:r>
      <w:r w:rsidRPr="00A213B8">
        <w:rPr>
          <w:rFonts w:ascii="Arial" w:hAnsi="Arial" w:cs="Arial"/>
          <w:sz w:val="20"/>
          <w:szCs w:val="20"/>
        </w:rPr>
        <w:t>).</w:t>
      </w:r>
    </w:p>
    <w:p w:rsidR="002D54C4" w:rsidP="00261AEB" w:rsidRDefault="002D54C4" w14:paraId="2E9397D5" w14:textId="0B2B533B">
      <w:pPr>
        <w:pStyle w:val="Heading3"/>
        <w:keepNext w:val="0"/>
        <w:keepLines w:val="0"/>
        <w:widowControl w:val="0"/>
        <w:spacing w:before="120"/>
        <w:rPr>
          <w:rStyle w:val="zGNormalChar"/>
          <w:b w:val="0"/>
          <w:u w:val="none"/>
        </w:rPr>
      </w:pPr>
      <w:r w:rsidRPr="00A213B8">
        <w:rPr>
          <w:rFonts w:cs="Arial"/>
          <w:w w:val="0"/>
        </w:rPr>
        <w:t>Indebtedness</w:t>
      </w:r>
      <w:r w:rsidRPr="00A213B8">
        <w:rPr>
          <w:rFonts w:cs="Arial"/>
          <w:u w:val="none"/>
        </w:rPr>
        <w:t xml:space="preserve">: </w:t>
      </w:r>
      <w:r w:rsidRPr="00A213B8">
        <w:rPr>
          <w:rStyle w:val="zGNormalChar"/>
          <w:b w:val="0"/>
          <w:u w:val="none"/>
        </w:rPr>
        <w:t xml:space="preserve">For any Person, each of the following without duplication: (i) obligations of </w:t>
      </w:r>
      <w:r w:rsidRPr="00A213B8" w:rsidR="00F50361">
        <w:rPr>
          <w:rStyle w:val="zGNormalChar"/>
          <w:b w:val="0"/>
          <w:u w:val="none"/>
        </w:rPr>
        <w:t xml:space="preserve">the </w:t>
      </w:r>
      <w:r w:rsidRPr="00A213B8">
        <w:rPr>
          <w:rStyle w:val="zGNormalChar"/>
          <w:b w:val="0"/>
          <w:u w:val="none"/>
        </w:rPr>
        <w:t>Person for borrowed money evidenced by bonds, debentures, notes, loan agreements, or other similar instruments; (i</w:t>
      </w:r>
      <w:r w:rsidRPr="00A213B8" w:rsidR="005611FF">
        <w:rPr>
          <w:rStyle w:val="zGNormalChar"/>
          <w:b w:val="0"/>
          <w:u w:val="none"/>
        </w:rPr>
        <w:t>i</w:t>
      </w:r>
      <w:r w:rsidRPr="00A213B8">
        <w:rPr>
          <w:rStyle w:val="zGNormalChar"/>
          <w:b w:val="0"/>
          <w:u w:val="none"/>
        </w:rPr>
        <w:t xml:space="preserve">) purchase money indebtedness of the Person constituting an obligation to pay the deferred purchase price of property or services, other than trade payables incurred in the ordinary course of business; (iii) lease obligations of the Person that are capitalized on the balance sheet of the Person in accordance with GAAP; (iv) liabilities of </w:t>
      </w:r>
      <w:r w:rsidRPr="00A213B8" w:rsidR="00F50361">
        <w:rPr>
          <w:rStyle w:val="zGNormalChar"/>
          <w:b w:val="0"/>
          <w:u w:val="none"/>
        </w:rPr>
        <w:t xml:space="preserve">the </w:t>
      </w:r>
      <w:r w:rsidRPr="00A213B8">
        <w:rPr>
          <w:rStyle w:val="zGNormalChar"/>
          <w:b w:val="0"/>
          <w:u w:val="none"/>
        </w:rPr>
        <w:t xml:space="preserve">second Person secured by any lien on any property of the first Person, whether or not the liabilities have been assumed by the first Person; (v) liabilities of </w:t>
      </w:r>
      <w:r w:rsidRPr="00A213B8" w:rsidR="00F50361">
        <w:rPr>
          <w:rStyle w:val="zGNormalChar"/>
          <w:b w:val="0"/>
          <w:u w:val="none"/>
        </w:rPr>
        <w:t xml:space="preserve">the </w:t>
      </w:r>
      <w:r w:rsidRPr="00A213B8">
        <w:rPr>
          <w:rStyle w:val="zGNormalChar"/>
          <w:b w:val="0"/>
          <w:u w:val="none"/>
        </w:rPr>
        <w:t>Person regarding letters of credit, applications, or reimbursement agreements for the liabilities; (</w:t>
      </w:r>
      <w:r w:rsidRPr="00A213B8" w:rsidR="00A4576E">
        <w:rPr>
          <w:rStyle w:val="zGNormalChar"/>
          <w:b w:val="0"/>
          <w:u w:val="none"/>
        </w:rPr>
        <w:t>vi</w:t>
      </w:r>
      <w:r w:rsidRPr="00A213B8">
        <w:rPr>
          <w:rStyle w:val="zGNormalChar"/>
          <w:b w:val="0"/>
          <w:u w:val="none"/>
        </w:rPr>
        <w:t xml:space="preserve">) net obligations of </w:t>
      </w:r>
      <w:r w:rsidRPr="00A213B8" w:rsidR="00EB38C6">
        <w:rPr>
          <w:rStyle w:val="zGNormalChar"/>
          <w:b w:val="0"/>
          <w:u w:val="none"/>
        </w:rPr>
        <w:t xml:space="preserve">the </w:t>
      </w:r>
      <w:r w:rsidRPr="00A213B8">
        <w:rPr>
          <w:rStyle w:val="zGNormalChar"/>
          <w:b w:val="0"/>
          <w:u w:val="none"/>
        </w:rPr>
        <w:t>Person under any swap or hedging agreement; or (vi</w:t>
      </w:r>
      <w:r w:rsidRPr="00A213B8" w:rsidR="00A4576E">
        <w:rPr>
          <w:rStyle w:val="zGNormalChar"/>
          <w:b w:val="0"/>
          <w:u w:val="none"/>
        </w:rPr>
        <w:t>i</w:t>
      </w:r>
      <w:r w:rsidRPr="00A213B8">
        <w:rPr>
          <w:rStyle w:val="zGNormalChar"/>
          <w:b w:val="0"/>
          <w:u w:val="none"/>
        </w:rPr>
        <w:t xml:space="preserve">) indebtedness of </w:t>
      </w:r>
      <w:r w:rsidRPr="00A213B8" w:rsidR="00F50361">
        <w:rPr>
          <w:rStyle w:val="zGNormalChar"/>
          <w:b w:val="0"/>
          <w:u w:val="none"/>
        </w:rPr>
        <w:t xml:space="preserve">the </w:t>
      </w:r>
      <w:r w:rsidRPr="00A213B8">
        <w:rPr>
          <w:rStyle w:val="zGNormalChar"/>
          <w:b w:val="0"/>
          <w:u w:val="none"/>
        </w:rPr>
        <w:t>Person owing under direct or indirect guarantees of indebtedness of any other Person or constituting obligations to purchase, acquire, or otherwise protect or insure a creditor against loss regarding indebtedness of any other Person</w:t>
      </w:r>
      <w:r w:rsidRPr="00A213B8" w:rsidR="00C92635">
        <w:rPr>
          <w:rStyle w:val="zGNormalChar"/>
          <w:b w:val="0"/>
          <w:u w:val="none"/>
        </w:rPr>
        <w:t>,</w:t>
      </w:r>
      <w:r w:rsidRPr="00A213B8">
        <w:rPr>
          <w:rStyle w:val="zGNormalChar"/>
          <w:b w:val="0"/>
          <w:u w:val="none"/>
        </w:rPr>
        <w:t xml:space="preserve"> excluding endorsements of negotiable instruments for deposit or collection in the ordinary course of business.</w:t>
      </w:r>
    </w:p>
    <w:p w:rsidRPr="00037728" w:rsidR="00037728" w:rsidP="00037728" w:rsidRDefault="006A1111" w14:paraId="67CE147E" w14:textId="7D3D2117">
      <w:r w:rsidRPr="00341121">
        <w:rPr>
          <w:rFonts w:ascii="Arial" w:hAnsi="Arial" w:cs="Arial"/>
          <w:b/>
          <w:bCs/>
          <w:sz w:val="20"/>
          <w:szCs w:val="20"/>
          <w:u w:val="single"/>
        </w:rPr>
        <w:t>Initial Capital Expenditures Notice</w:t>
      </w:r>
      <w:r w:rsidRPr="00341121">
        <w:rPr>
          <w:rFonts w:ascii="Arial" w:hAnsi="Arial" w:cs="Arial"/>
          <w:b/>
          <w:bCs/>
          <w:sz w:val="20"/>
          <w:szCs w:val="20"/>
        </w:rPr>
        <w:t xml:space="preserve">: </w:t>
      </w:r>
      <w:r w:rsidRPr="00341121">
        <w:rPr>
          <w:rFonts w:ascii="Arial" w:hAnsi="Arial" w:cs="Arial"/>
          <w:sz w:val="20"/>
          <w:szCs w:val="20"/>
        </w:rPr>
        <w:t>A preliminary Excess Expenditures Notice solely concerning additional capital costs that Seller must incur because of a Change of Law.</w:t>
      </w:r>
    </w:p>
    <w:p w:rsidR="002D54C4" w:rsidP="00261AEB" w:rsidRDefault="002D54C4" w14:paraId="501BBFB7" w14:textId="68CB21E5">
      <w:pPr>
        <w:pStyle w:val="Heading3"/>
        <w:keepNext w:val="0"/>
        <w:keepLines w:val="0"/>
        <w:widowControl w:val="0"/>
        <w:spacing w:before="120"/>
        <w:rPr>
          <w:rFonts w:cs="Arial"/>
          <w:b w:val="0"/>
          <w:u w:val="none"/>
        </w:rPr>
      </w:pPr>
      <w:r w:rsidRPr="00A213B8">
        <w:rPr>
          <w:rFonts w:cs="Arial"/>
        </w:rPr>
        <w:t>Initial Synchronization Date</w:t>
      </w:r>
      <w:r w:rsidRPr="00A213B8">
        <w:rPr>
          <w:rFonts w:cs="Arial"/>
          <w:u w:val="none"/>
        </w:rPr>
        <w:t xml:space="preserve">: </w:t>
      </w:r>
      <w:r w:rsidRPr="00A213B8">
        <w:rPr>
          <w:rFonts w:cs="Arial"/>
          <w:b w:val="0"/>
          <w:u w:val="none"/>
        </w:rPr>
        <w:t xml:space="preserve">The date that includes the first instant in time when energy generated by the Renewable Resource or discharged by the </w:t>
      </w:r>
      <w:r w:rsidRPr="00A213B8" w:rsidR="00680C34">
        <w:rPr>
          <w:rFonts w:cs="Arial"/>
          <w:b w:val="0"/>
          <w:u w:val="none"/>
        </w:rPr>
        <w:t>B</w:t>
      </w:r>
      <w:r w:rsidRPr="00A213B8">
        <w:rPr>
          <w:rFonts w:cs="Arial"/>
          <w:b w:val="0"/>
          <w:u w:val="none"/>
        </w:rPr>
        <w:t xml:space="preserve">ESS is delivered to the </w:t>
      </w:r>
      <w:r w:rsidRPr="00A213B8" w:rsidR="00800034">
        <w:rPr>
          <w:rFonts w:cs="Arial"/>
          <w:b w:val="0"/>
          <w:u w:val="none"/>
        </w:rPr>
        <w:t>POI</w:t>
      </w:r>
      <w:r w:rsidRPr="00A213B8">
        <w:rPr>
          <w:rFonts w:cs="Arial"/>
          <w:b w:val="0"/>
          <w:u w:val="none"/>
        </w:rPr>
        <w:t xml:space="preserve"> in accordance with the </w:t>
      </w:r>
      <w:r w:rsidRPr="00A213B8" w:rsidR="004878ED">
        <w:rPr>
          <w:rFonts w:cs="Arial"/>
          <w:b w:val="0"/>
          <w:u w:val="none"/>
        </w:rPr>
        <w:t>IA</w:t>
      </w:r>
      <w:r w:rsidRPr="00A213B8">
        <w:rPr>
          <w:rFonts w:cs="Arial"/>
          <w:b w:val="0"/>
          <w:u w:val="none"/>
        </w:rPr>
        <w:t>.</w:t>
      </w:r>
    </w:p>
    <w:p w:rsidRPr="003D1E4E" w:rsidR="003D1E4E" w:rsidP="003D1E4E" w:rsidRDefault="00134DAC" w14:paraId="330C8EE6" w14:textId="2D2B6F69">
      <w:r w:rsidRPr="00341121">
        <w:rPr>
          <w:rFonts w:ascii="Arial" w:hAnsi="Arial" w:cs="Arial"/>
          <w:b/>
          <w:bCs/>
          <w:sz w:val="20"/>
          <w:szCs w:val="20"/>
          <w:u w:val="single"/>
        </w:rPr>
        <w:lastRenderedPageBreak/>
        <w:t>Initial Tariff Notice</w:t>
      </w:r>
      <w:r w:rsidRPr="00341121">
        <w:rPr>
          <w:rFonts w:ascii="Arial" w:hAnsi="Arial" w:cs="Arial"/>
          <w:sz w:val="20"/>
          <w:szCs w:val="20"/>
        </w:rPr>
        <w:t xml:space="preserve">: A preliminary Excess Expenditures Notice solely concerning </w:t>
      </w:r>
      <w:r w:rsidR="004C3776">
        <w:rPr>
          <w:rFonts w:ascii="Arial" w:hAnsi="Arial" w:cs="Arial"/>
          <w:sz w:val="20"/>
          <w:szCs w:val="20"/>
        </w:rPr>
        <w:t>T</w:t>
      </w:r>
      <w:r w:rsidRPr="00341121">
        <w:rPr>
          <w:rFonts w:ascii="Arial" w:hAnsi="Arial" w:cs="Arial"/>
          <w:sz w:val="20"/>
          <w:szCs w:val="20"/>
        </w:rPr>
        <w:t>ariffs.</w:t>
      </w:r>
    </w:p>
    <w:p w:rsidRPr="00A213B8" w:rsidR="002D54C4" w:rsidP="00261AEB" w:rsidRDefault="002D54C4" w14:paraId="5396AB1E" w14:textId="5A24844D">
      <w:pPr>
        <w:pStyle w:val="Heading3"/>
        <w:keepNext w:val="0"/>
        <w:keepLines w:val="0"/>
        <w:widowControl w:val="0"/>
        <w:spacing w:before="120"/>
        <w:rPr>
          <w:rFonts w:cs="Arial"/>
          <w:u w:val="none"/>
        </w:rPr>
      </w:pPr>
      <w:r w:rsidRPr="00A213B8">
        <w:rPr>
          <w:rFonts w:cs="Arial"/>
        </w:rPr>
        <w:t>Interconnection Agreement</w:t>
      </w:r>
      <w:r w:rsidRPr="00A213B8" w:rsidR="006A1632">
        <w:rPr>
          <w:rFonts w:cs="Arial"/>
        </w:rPr>
        <w:t xml:space="preserve"> (IA)</w:t>
      </w:r>
      <w:r w:rsidRPr="00A213B8">
        <w:rPr>
          <w:rFonts w:cs="Arial"/>
          <w:u w:val="none"/>
        </w:rPr>
        <w:t>:</w:t>
      </w:r>
      <w:r w:rsidRPr="00A213B8" w:rsidR="00B67989">
        <w:rPr>
          <w:rFonts w:cs="Arial"/>
          <w:u w:val="none"/>
        </w:rPr>
        <w:t xml:space="preserve"> </w:t>
      </w:r>
      <w:r w:rsidRPr="00A213B8">
        <w:rPr>
          <w:rFonts w:cs="Arial"/>
          <w:b w:val="0"/>
          <w:u w:val="none"/>
        </w:rPr>
        <w:t xml:space="preserve">The agreement, entered into </w:t>
      </w:r>
      <w:r w:rsidRPr="00261AEB" w:rsidR="00687A97">
        <w:rPr>
          <w:b w:val="0"/>
          <w:u w:val="none"/>
        </w:rPr>
        <w:t>[</w:t>
      </w:r>
      <w:r w:rsidRPr="00261AEB">
        <w:rPr>
          <w:b w:val="0"/>
          <w:u w:val="none"/>
        </w:rPr>
        <w:t>or to be entered into</w:t>
      </w:r>
      <w:r w:rsidRPr="00FF4D39" w:rsidR="00687A97">
        <w:rPr>
          <w:rFonts w:cs="Arial"/>
          <w:b w:val="0"/>
          <w:u w:val="none"/>
        </w:rPr>
        <w:t>]</w:t>
      </w:r>
      <w:r w:rsidR="00FF4D39">
        <w:rPr>
          <w:rFonts w:cs="Arial"/>
          <w:b w:val="0"/>
          <w:u w:val="none"/>
        </w:rPr>
        <w:t xml:space="preserve"> </w:t>
      </w:r>
      <w:r w:rsidRPr="00A213B8">
        <w:rPr>
          <w:rFonts w:cs="Arial"/>
          <w:b w:val="0"/>
          <w:u w:val="none"/>
        </w:rPr>
        <w:t xml:space="preserve">between Seller and </w:t>
      </w:r>
      <w:r w:rsidR="00C87E7F">
        <w:rPr>
          <w:b w:val="0"/>
          <w:u w:val="none"/>
        </w:rPr>
        <w:t>Interconnection Provider</w:t>
      </w:r>
      <w:r w:rsidRPr="00A213B8" w:rsidR="00687A97">
        <w:rPr>
          <w:rFonts w:cs="Arial"/>
          <w:b w:val="0"/>
          <w:u w:val="none"/>
        </w:rPr>
        <w:t>,</w:t>
      </w:r>
      <w:r w:rsidRPr="00A213B8">
        <w:rPr>
          <w:rFonts w:cs="Arial"/>
          <w:b w:val="0"/>
          <w:u w:val="none"/>
        </w:rPr>
        <w:t xml:space="preserve"> in accordance with Section 8.1 (</w:t>
      </w:r>
      <w:r w:rsidRPr="00A213B8">
        <w:rPr>
          <w:rFonts w:cs="Arial"/>
          <w:b w:val="0"/>
          <w:i/>
          <w:u w:val="none"/>
        </w:rPr>
        <w:t>Interconnection</w:t>
      </w:r>
      <w:r w:rsidRPr="00A213B8">
        <w:rPr>
          <w:rFonts w:cs="Arial"/>
          <w:b w:val="0"/>
          <w:u w:val="none"/>
        </w:rPr>
        <w:t>), that provides for the construction and operation of the Interconnection Facilities and governs the interconnection and parallel operation of the Facility with the</w:t>
      </w:r>
      <w:r w:rsidRPr="00A213B8" w:rsidR="00B36AED">
        <w:rPr>
          <w:rFonts w:cs="Arial"/>
          <w:b w:val="0"/>
          <w:u w:val="none"/>
        </w:rPr>
        <w:t xml:space="preserve"> Electric </w:t>
      </w:r>
      <w:r w:rsidRPr="00A213B8" w:rsidR="00B36AED">
        <w:rPr>
          <w:rFonts w:cs="Arial"/>
          <w:b w:val="0"/>
          <w:color w:val="000000" w:themeColor="text1"/>
          <w:u w:val="none"/>
        </w:rPr>
        <w:t>System</w:t>
      </w:r>
      <w:r w:rsidRPr="00A213B8">
        <w:rPr>
          <w:rFonts w:cs="Arial"/>
          <w:b w:val="0"/>
          <w:u w:val="none"/>
        </w:rPr>
        <w:t>.</w:t>
      </w:r>
    </w:p>
    <w:p w:rsidRPr="00A213B8" w:rsidR="002D54C4" w:rsidP="00261AEB" w:rsidRDefault="002D54C4" w14:paraId="562F7D5B" w14:textId="45F45C28">
      <w:pPr>
        <w:pStyle w:val="Heading3"/>
        <w:keepNext w:val="0"/>
        <w:keepLines w:val="0"/>
        <w:widowControl w:val="0"/>
        <w:spacing w:before="120"/>
        <w:rPr>
          <w:rFonts w:cs="Arial"/>
        </w:rPr>
      </w:pPr>
      <w:r w:rsidRPr="00A213B8">
        <w:rPr>
          <w:rFonts w:cs="Arial"/>
        </w:rPr>
        <w:t>Interconnection Facilities</w:t>
      </w:r>
      <w:r w:rsidRPr="00A213B8">
        <w:rPr>
          <w:rFonts w:cs="Arial"/>
          <w:u w:val="none"/>
        </w:rPr>
        <w:t>:</w:t>
      </w:r>
      <w:r w:rsidRPr="00261AEB" w:rsidR="00B67989">
        <w:rPr>
          <w:u w:val="none"/>
        </w:rPr>
        <w:t xml:space="preserve"> </w:t>
      </w:r>
      <w:r w:rsidRPr="00A213B8">
        <w:rPr>
          <w:rFonts w:cs="Arial"/>
          <w:b w:val="0"/>
          <w:u w:val="none"/>
        </w:rPr>
        <w:t xml:space="preserve">The facilities described in the </w:t>
      </w:r>
      <w:r w:rsidRPr="00A213B8" w:rsidR="004878ED">
        <w:rPr>
          <w:rFonts w:cs="Arial"/>
          <w:b w:val="0"/>
          <w:u w:val="none"/>
        </w:rPr>
        <w:t>IA</w:t>
      </w:r>
      <w:r w:rsidRPr="00A213B8">
        <w:rPr>
          <w:rFonts w:cs="Arial"/>
          <w:b w:val="0"/>
          <w:u w:val="none"/>
        </w:rPr>
        <w:t xml:space="preserve"> that</w:t>
      </w:r>
      <w:r w:rsidRPr="00A213B8" w:rsidR="002118DC">
        <w:rPr>
          <w:rFonts w:cs="Arial"/>
          <w:b w:val="0"/>
          <w:u w:val="none"/>
        </w:rPr>
        <w:t>: (i)</w:t>
      </w:r>
      <w:r w:rsidRPr="00A213B8">
        <w:rPr>
          <w:rFonts w:cs="Arial"/>
          <w:b w:val="0"/>
          <w:u w:val="none"/>
        </w:rPr>
        <w:t xml:space="preserve"> must be installed or modified to enable the Facility to deliver the </w:t>
      </w:r>
      <w:r w:rsidRPr="00A213B8" w:rsidR="00004093">
        <w:rPr>
          <w:rFonts w:cs="Arial"/>
          <w:b w:val="0"/>
          <w:u w:val="none"/>
        </w:rPr>
        <w:t>Contracted</w:t>
      </w:r>
      <w:r w:rsidRPr="00A213B8" w:rsidR="004A392D">
        <w:rPr>
          <w:rFonts w:cs="Arial"/>
          <w:b w:val="0"/>
          <w:u w:val="none"/>
        </w:rPr>
        <w:t xml:space="preserve"> Capacity</w:t>
      </w:r>
      <w:r w:rsidRPr="00A213B8" w:rsidR="00467450">
        <w:rPr>
          <w:rFonts w:cs="Arial"/>
          <w:b w:val="0"/>
          <w:u w:val="none"/>
        </w:rPr>
        <w:t xml:space="preserve"> and associated energy</w:t>
      </w:r>
      <w:r w:rsidRPr="00A213B8" w:rsidR="002118DC">
        <w:rPr>
          <w:rFonts w:cs="Arial"/>
          <w:b w:val="0"/>
          <w:u w:val="none"/>
        </w:rPr>
        <w:t xml:space="preserve">; (ii) </w:t>
      </w:r>
      <w:r w:rsidRPr="00A213B8">
        <w:rPr>
          <w:rFonts w:cs="Arial"/>
          <w:b w:val="0"/>
          <w:u w:val="none"/>
        </w:rPr>
        <w:t xml:space="preserve">are owned by </w:t>
      </w:r>
      <w:r w:rsidRPr="00A213B8" w:rsidR="004A392D">
        <w:rPr>
          <w:rFonts w:cs="Arial"/>
          <w:b w:val="0"/>
          <w:u w:val="none"/>
        </w:rPr>
        <w:t>the</w:t>
      </w:r>
      <w:r w:rsidRPr="00A213B8">
        <w:rPr>
          <w:rFonts w:cs="Arial"/>
          <w:b w:val="0"/>
          <w:u w:val="none"/>
        </w:rPr>
        <w:t xml:space="preserve"> </w:t>
      </w:r>
      <w:r w:rsidRPr="00A213B8" w:rsidR="00BF68AA">
        <w:rPr>
          <w:rFonts w:cs="Arial"/>
          <w:b w:val="0"/>
          <w:u w:val="none"/>
        </w:rPr>
        <w:t>Interconnection</w:t>
      </w:r>
      <w:r w:rsidRPr="00A213B8">
        <w:rPr>
          <w:rFonts w:cs="Arial"/>
          <w:b w:val="0"/>
          <w:u w:val="none"/>
        </w:rPr>
        <w:t xml:space="preserve"> Provider</w:t>
      </w:r>
      <w:r w:rsidRPr="00A213B8" w:rsidR="006C335B">
        <w:rPr>
          <w:rFonts w:cs="Arial"/>
          <w:b w:val="0"/>
          <w:u w:val="none"/>
        </w:rPr>
        <w:t>;</w:t>
      </w:r>
      <w:r w:rsidRPr="00A213B8">
        <w:rPr>
          <w:rFonts w:cs="Arial"/>
          <w:b w:val="0"/>
          <w:u w:val="none"/>
        </w:rPr>
        <w:t xml:space="preserve"> and </w:t>
      </w:r>
      <w:r w:rsidRPr="00A213B8" w:rsidR="002118DC">
        <w:rPr>
          <w:rFonts w:cs="Arial"/>
          <w:b w:val="0"/>
          <w:u w:val="none"/>
        </w:rPr>
        <w:t xml:space="preserve">(iii) </w:t>
      </w:r>
      <w:r w:rsidRPr="00A213B8">
        <w:rPr>
          <w:rFonts w:cs="Arial"/>
          <w:b w:val="0"/>
          <w:u w:val="none"/>
        </w:rPr>
        <w:t>are necessary to provide the physical electrical connection between the Facility and the Electric System.</w:t>
      </w:r>
    </w:p>
    <w:p w:rsidRPr="00A213B8" w:rsidR="002D54C4" w:rsidP="00261AEB" w:rsidRDefault="002D54C4" w14:paraId="76E8F5A1" w14:textId="37A60CD8">
      <w:pPr>
        <w:pStyle w:val="Heading3"/>
        <w:keepNext w:val="0"/>
        <w:keepLines w:val="0"/>
        <w:widowControl w:val="0"/>
        <w:spacing w:before="120"/>
        <w:rPr>
          <w:rFonts w:cs="Arial"/>
          <w:b w:val="0"/>
          <w:bCs w:val="0"/>
          <w:u w:val="none"/>
        </w:rPr>
      </w:pPr>
      <w:r w:rsidRPr="00A213B8">
        <w:rPr>
          <w:rFonts w:cs="Arial"/>
        </w:rPr>
        <w:t>Interconnection Limit</w:t>
      </w:r>
      <w:r w:rsidRPr="00A213B8">
        <w:rPr>
          <w:rFonts w:cs="Arial"/>
          <w:u w:val="none"/>
        </w:rPr>
        <w:t xml:space="preserve">: </w:t>
      </w:r>
      <w:r w:rsidRPr="00A213B8">
        <w:rPr>
          <w:rFonts w:cs="Arial"/>
          <w:b w:val="0"/>
          <w:bCs w:val="0"/>
          <w:u w:val="none"/>
        </w:rPr>
        <w:t xml:space="preserve">The maximum output amount of </w:t>
      </w:r>
      <w:r w:rsidRPr="00A213B8" w:rsidR="006B248F">
        <w:rPr>
          <w:rFonts w:cs="Arial"/>
          <w:b w:val="0"/>
          <w:bCs w:val="0"/>
          <w:u w:val="none"/>
        </w:rPr>
        <w:t>power</w:t>
      </w:r>
      <w:r w:rsidRPr="00A213B8">
        <w:rPr>
          <w:rFonts w:cs="Arial"/>
          <w:b w:val="0"/>
          <w:bCs w:val="0"/>
          <w:u w:val="none"/>
        </w:rPr>
        <w:t xml:space="preserve"> allowed by the </w:t>
      </w:r>
      <w:r w:rsidRPr="00A213B8" w:rsidR="004878ED">
        <w:rPr>
          <w:rFonts w:cs="Arial"/>
          <w:b w:val="0"/>
          <w:bCs w:val="0"/>
          <w:u w:val="none"/>
        </w:rPr>
        <w:t>IA</w:t>
      </w:r>
      <w:r w:rsidRPr="00A213B8">
        <w:rPr>
          <w:rFonts w:cs="Arial"/>
          <w:b w:val="0"/>
          <w:bCs w:val="0"/>
          <w:u w:val="none"/>
        </w:rPr>
        <w:t>.</w:t>
      </w:r>
    </w:p>
    <w:p w:rsidRPr="00A213B8" w:rsidR="00E11586" w:rsidP="00261AEB" w:rsidRDefault="00E11586" w14:paraId="5455D1DA" w14:textId="78479E6C">
      <w:pPr>
        <w:pStyle w:val="Heading3"/>
        <w:keepNext w:val="0"/>
        <w:keepLines w:val="0"/>
        <w:spacing w:before="120"/>
        <w:rPr>
          <w:rFonts w:cs="Arial"/>
          <w:b w:val="0"/>
          <w:bCs w:val="0"/>
          <w:u w:val="none"/>
        </w:rPr>
      </w:pPr>
      <w:r w:rsidRPr="00A213B8">
        <w:rPr>
          <w:rFonts w:cs="Arial"/>
        </w:rPr>
        <w:t>Interconnection Provider</w:t>
      </w:r>
      <w:r w:rsidRPr="00A213B8">
        <w:rPr>
          <w:rFonts w:cs="Arial"/>
          <w:u w:val="none"/>
        </w:rPr>
        <w:t xml:space="preserve">: </w:t>
      </w:r>
      <w:r w:rsidRPr="00A213B8">
        <w:rPr>
          <w:rFonts w:cs="Arial"/>
          <w:b w:val="0"/>
          <w:bCs w:val="0"/>
          <w:u w:val="none"/>
        </w:rPr>
        <w:t>The owner or operator of the Electric System responsible for providing transmission interconnection service to the Facility</w:t>
      </w:r>
      <w:r w:rsidRPr="00A213B8" w:rsidR="006B248F">
        <w:rPr>
          <w:rFonts w:cs="Arial"/>
          <w:b w:val="0"/>
          <w:bCs w:val="0"/>
          <w:u w:val="none"/>
        </w:rPr>
        <w:t xml:space="preserve"> (i.e., GPC)</w:t>
      </w:r>
      <w:r w:rsidRPr="00A213B8">
        <w:rPr>
          <w:rFonts w:cs="Arial"/>
          <w:b w:val="0"/>
          <w:bCs w:val="0"/>
          <w:u w:val="none"/>
        </w:rPr>
        <w:t>.</w:t>
      </w:r>
    </w:p>
    <w:p w:rsidRPr="007F1209" w:rsidR="00075C08" w:rsidP="00261AEB" w:rsidRDefault="00075C08" w14:paraId="53B7F574" w14:textId="10EA9FFA">
      <w:pPr>
        <w:pStyle w:val="Heading3"/>
        <w:keepNext w:val="0"/>
        <w:keepLines w:val="0"/>
        <w:spacing w:before="120"/>
      </w:pPr>
      <w:r w:rsidRPr="007F1209">
        <w:t>Interconnection Study</w:t>
      </w:r>
      <w:r w:rsidRPr="007F1209">
        <w:rPr>
          <w:u w:val="none"/>
        </w:rPr>
        <w:t xml:space="preserve">: </w:t>
      </w:r>
      <w:r w:rsidRPr="007F1209">
        <w:rPr>
          <w:b w:val="0"/>
          <w:u w:val="none"/>
        </w:rPr>
        <w:t xml:space="preserve">A study by the Interconnection Provider in which the provider studies the Facility’s potential impact on the </w:t>
      </w:r>
      <w:r w:rsidRPr="007F1209">
        <w:rPr>
          <w:rFonts w:eastAsia="PMingLiU"/>
          <w:b w:val="0"/>
          <w:u w:val="none"/>
        </w:rPr>
        <w:t>Electric</w:t>
      </w:r>
      <w:r w:rsidRPr="007F1209">
        <w:rPr>
          <w:b w:val="0"/>
          <w:u w:val="none"/>
        </w:rPr>
        <w:t xml:space="preserve"> System to determine necessary Interconnection Facilities and Electric System improvements or affected system upgrades, the estimated related costs, and the schedule of construction, for purposes of entering into an </w:t>
      </w:r>
      <w:r>
        <w:rPr>
          <w:b w:val="0"/>
          <w:u w:val="none"/>
        </w:rPr>
        <w:t>IA</w:t>
      </w:r>
      <w:r w:rsidRPr="007F1209">
        <w:rPr>
          <w:b w:val="0"/>
          <w:u w:val="none"/>
        </w:rPr>
        <w:t xml:space="preserve"> or amending an existing </w:t>
      </w:r>
      <w:r>
        <w:rPr>
          <w:b w:val="0"/>
          <w:u w:val="none"/>
        </w:rPr>
        <w:t>IA</w:t>
      </w:r>
      <w:r w:rsidRPr="007F1209">
        <w:rPr>
          <w:b w:val="0"/>
          <w:u w:val="none"/>
        </w:rPr>
        <w:t>.</w:t>
      </w:r>
    </w:p>
    <w:p w:rsidRPr="00F10071" w:rsidR="00075C08" w:rsidP="00261AEB" w:rsidRDefault="00075C08" w14:paraId="3A2EC562" w14:textId="012F15B2">
      <w:pPr>
        <w:pStyle w:val="Heading3"/>
        <w:keepNext w:val="0"/>
        <w:keepLines w:val="0"/>
        <w:spacing w:before="120"/>
      </w:pPr>
      <w:r w:rsidRPr="00B75AE1">
        <w:t>Interconnection Study Agreement</w:t>
      </w:r>
      <w:r w:rsidRPr="00B75AE1">
        <w:rPr>
          <w:u w:val="none"/>
        </w:rPr>
        <w:t xml:space="preserve">: </w:t>
      </w:r>
      <w:r w:rsidRPr="00B75AE1">
        <w:rPr>
          <w:b w:val="0"/>
          <w:u w:val="none"/>
        </w:rPr>
        <w:t xml:space="preserve">An agreement between Seller and the Interconnection Provider </w:t>
      </w:r>
      <w:r>
        <w:rPr>
          <w:b w:val="0"/>
          <w:u w:val="none"/>
        </w:rPr>
        <w:t>under which the Interconnection Provider performs the Interconnection Study</w:t>
      </w:r>
      <w:r w:rsidRPr="00B75AE1">
        <w:rPr>
          <w:b w:val="0"/>
          <w:u w:val="none"/>
        </w:rPr>
        <w:t>.</w:t>
      </w:r>
      <w:r w:rsidRPr="00B75AE1">
        <w:rPr>
          <w:u w:val="none"/>
        </w:rPr>
        <w:t xml:space="preserve"> </w:t>
      </w:r>
    </w:p>
    <w:p w:rsidRPr="00261AEB" w:rsidR="002D54C4" w:rsidP="00261AEB" w:rsidRDefault="002D54C4" w14:paraId="158133AD" w14:textId="6E957AE9">
      <w:pPr>
        <w:pStyle w:val="Heading3"/>
        <w:keepNext w:val="0"/>
        <w:keepLines w:val="0"/>
        <w:widowControl w:val="0"/>
        <w:spacing w:before="120"/>
        <w:rPr>
          <w:b w:val="0"/>
          <w:u w:val="none"/>
        </w:rPr>
      </w:pPr>
      <w:r w:rsidRPr="00A213B8">
        <w:rPr>
          <w:rFonts w:cs="Arial"/>
        </w:rPr>
        <w:t>Interest Rate</w:t>
      </w:r>
      <w:r w:rsidRPr="00A213B8">
        <w:rPr>
          <w:rFonts w:cs="Arial"/>
          <w:u w:val="none"/>
        </w:rPr>
        <w:t>:</w:t>
      </w:r>
      <w:r w:rsidRPr="00A213B8" w:rsidR="00B67989">
        <w:rPr>
          <w:rFonts w:cs="Arial"/>
          <w:u w:val="none"/>
        </w:rPr>
        <w:t xml:space="preserve"> </w:t>
      </w:r>
      <w:r w:rsidRPr="00A213B8">
        <w:rPr>
          <w:rFonts w:cs="Arial"/>
          <w:b w:val="0"/>
          <w:u w:val="none"/>
        </w:rPr>
        <w:t xml:space="preserve">Interest per annum equal to the prime rate as published in </w:t>
      </w:r>
      <w:r w:rsidRPr="00A213B8">
        <w:rPr>
          <w:rFonts w:cs="Arial"/>
          <w:b w:val="0"/>
          <w:i/>
          <w:u w:val="none"/>
        </w:rPr>
        <w:t>The Wall Street Journal</w:t>
      </w:r>
      <w:r w:rsidRPr="00A213B8">
        <w:rPr>
          <w:rFonts w:cs="Arial"/>
          <w:b w:val="0"/>
          <w:u w:val="none"/>
        </w:rPr>
        <w:t>, or comparable successor publication, under “Money Rates,” as applied daily and compounded quarterly.</w:t>
      </w:r>
    </w:p>
    <w:p w:rsidRPr="00A213B8" w:rsidR="00490CCC" w:rsidP="000432D0" w:rsidRDefault="00490CCC" w14:paraId="023EDBE5" w14:textId="765DD2F4">
      <w:pPr>
        <w:spacing w:before="120" w:after="120" w:line="240" w:lineRule="auto"/>
        <w:rPr>
          <w:rFonts w:ascii="Arial" w:hAnsi="Arial" w:cs="Arial"/>
          <w:sz w:val="20"/>
          <w:szCs w:val="20"/>
        </w:rPr>
      </w:pPr>
      <w:r w:rsidRPr="000432D0">
        <w:rPr>
          <w:rFonts w:ascii="Arial" w:hAnsi="Arial" w:cs="Arial"/>
          <w:b/>
          <w:bCs/>
          <w:sz w:val="20"/>
          <w:szCs w:val="20"/>
          <w:u w:val="single"/>
        </w:rPr>
        <w:t>ITS Participant</w:t>
      </w:r>
      <w:r w:rsidRPr="00A213B8">
        <w:rPr>
          <w:rFonts w:ascii="Arial" w:hAnsi="Arial" w:cs="Arial"/>
          <w:b/>
          <w:bCs/>
          <w:sz w:val="20"/>
          <w:szCs w:val="20"/>
        </w:rPr>
        <w:t xml:space="preserve">: </w:t>
      </w:r>
      <w:r w:rsidRPr="00A213B8">
        <w:rPr>
          <w:rFonts w:ascii="Arial" w:hAnsi="Arial" w:cs="Arial"/>
          <w:sz w:val="20"/>
          <w:szCs w:val="20"/>
        </w:rPr>
        <w:t xml:space="preserve">Any of Dalton Utilities, Georgia Transmission Corporation, </w:t>
      </w:r>
      <w:r w:rsidR="00180D25">
        <w:rPr>
          <w:rFonts w:ascii="Arial" w:hAnsi="Arial" w:cs="Arial"/>
          <w:sz w:val="20"/>
          <w:szCs w:val="20"/>
        </w:rPr>
        <w:t>or</w:t>
      </w:r>
      <w:r w:rsidR="004E3A79">
        <w:rPr>
          <w:rFonts w:ascii="Arial" w:hAnsi="Arial" w:cs="Arial"/>
          <w:sz w:val="20"/>
          <w:szCs w:val="20"/>
        </w:rPr>
        <w:t xml:space="preserve"> </w:t>
      </w:r>
      <w:r w:rsidRPr="00A213B8">
        <w:rPr>
          <w:rFonts w:ascii="Arial" w:hAnsi="Arial" w:cs="Arial"/>
          <w:sz w:val="20"/>
          <w:szCs w:val="20"/>
        </w:rPr>
        <w:t>the Municipal Electric Authority of Georgia.</w:t>
      </w:r>
      <w:r w:rsidR="00EB68CA">
        <w:rPr>
          <w:rFonts w:ascii="Arial" w:hAnsi="Arial" w:cs="Arial"/>
          <w:sz w:val="20"/>
          <w:szCs w:val="20"/>
        </w:rPr>
        <w:t xml:space="preserve"> As used in this PPA, ITS Participant excludes </w:t>
      </w:r>
      <w:r w:rsidR="00832A67">
        <w:rPr>
          <w:rFonts w:ascii="Arial" w:hAnsi="Arial" w:cs="Arial"/>
          <w:sz w:val="20"/>
          <w:szCs w:val="20"/>
        </w:rPr>
        <w:t>GPC</w:t>
      </w:r>
      <w:r w:rsidR="00EB68CA">
        <w:rPr>
          <w:rFonts w:ascii="Arial" w:hAnsi="Arial" w:cs="Arial"/>
          <w:sz w:val="20"/>
          <w:szCs w:val="20"/>
        </w:rPr>
        <w:t xml:space="preserve">. </w:t>
      </w:r>
      <w:r w:rsidRPr="00A213B8">
        <w:rPr>
          <w:rFonts w:ascii="Arial" w:hAnsi="Arial" w:cs="Arial"/>
          <w:sz w:val="20"/>
          <w:szCs w:val="20"/>
        </w:rPr>
        <w:t xml:space="preserve"> </w:t>
      </w:r>
    </w:p>
    <w:p w:rsidRPr="00A213B8" w:rsidR="001E67F3" w:rsidP="000432D0" w:rsidRDefault="001E67F3" w14:paraId="5DDAF017" w14:textId="07D9B377">
      <w:pPr>
        <w:spacing w:before="120" w:after="120" w:line="240" w:lineRule="auto"/>
        <w:rPr>
          <w:rFonts w:ascii="Arial" w:hAnsi="Arial" w:cs="Arial"/>
          <w:sz w:val="20"/>
          <w:szCs w:val="20"/>
        </w:rPr>
      </w:pPr>
      <w:r w:rsidRPr="00A213B8">
        <w:rPr>
          <w:rFonts w:ascii="Arial" w:hAnsi="Arial" w:cs="Arial"/>
          <w:b/>
          <w:bCs/>
          <w:sz w:val="20"/>
          <w:szCs w:val="20"/>
          <w:u w:val="single"/>
        </w:rPr>
        <w:t>JAMS:</w:t>
      </w:r>
      <w:r w:rsidRPr="00A213B8">
        <w:rPr>
          <w:rFonts w:ascii="Arial" w:hAnsi="Arial" w:cs="Arial"/>
          <w:sz w:val="20"/>
          <w:szCs w:val="20"/>
        </w:rPr>
        <w:t xml:space="preserve"> </w:t>
      </w:r>
      <w:r w:rsidRPr="00A213B8" w:rsidR="00A3514D">
        <w:rPr>
          <w:rFonts w:ascii="Arial" w:hAnsi="Arial" w:cs="Arial"/>
          <w:sz w:val="20"/>
          <w:szCs w:val="20"/>
        </w:rPr>
        <w:t>As defined in Section 19.3.1 (</w:t>
      </w:r>
      <w:r w:rsidRPr="00A213B8" w:rsidR="00A3514D">
        <w:rPr>
          <w:rFonts w:ascii="Arial" w:hAnsi="Arial" w:cs="Arial"/>
          <w:i/>
          <w:iCs/>
          <w:sz w:val="20"/>
          <w:szCs w:val="20"/>
        </w:rPr>
        <w:t>JAMS</w:t>
      </w:r>
      <w:r w:rsidRPr="00A213B8" w:rsidR="00A3514D">
        <w:rPr>
          <w:rFonts w:ascii="Arial" w:hAnsi="Arial" w:cs="Arial"/>
          <w:sz w:val="20"/>
          <w:szCs w:val="20"/>
        </w:rPr>
        <w:t>).</w:t>
      </w:r>
    </w:p>
    <w:p w:rsidRPr="00A213B8" w:rsidR="002D54C4" w:rsidP="00261AEB" w:rsidRDefault="002D54C4" w14:paraId="0804954A" w14:textId="77992936">
      <w:pPr>
        <w:pStyle w:val="Heading3"/>
        <w:keepNext w:val="0"/>
        <w:keepLines w:val="0"/>
        <w:widowControl w:val="0"/>
        <w:spacing w:before="120"/>
        <w:rPr>
          <w:rFonts w:cs="Arial"/>
        </w:rPr>
      </w:pPr>
      <w:r w:rsidRPr="00A213B8">
        <w:rPr>
          <w:rFonts w:cs="Arial"/>
        </w:rPr>
        <w:t>Key Milestones</w:t>
      </w:r>
      <w:r w:rsidRPr="00A213B8">
        <w:rPr>
          <w:rFonts w:cs="Arial"/>
          <w:u w:val="none"/>
        </w:rPr>
        <w:t>:</w:t>
      </w:r>
      <w:r w:rsidRPr="00A213B8" w:rsidR="00B67989">
        <w:rPr>
          <w:rFonts w:cs="Arial"/>
          <w:b w:val="0"/>
          <w:u w:val="none"/>
        </w:rPr>
        <w:t xml:space="preserve"> </w:t>
      </w:r>
      <w:r w:rsidRPr="00A213B8" w:rsidR="0037796C">
        <w:rPr>
          <w:rFonts w:cs="Arial"/>
          <w:b w:val="0"/>
          <w:u w:val="none"/>
        </w:rPr>
        <w:t xml:space="preserve">Each of the milestones identified in Exhibit </w:t>
      </w:r>
      <w:r w:rsidRPr="00A213B8" w:rsidR="00824AB1">
        <w:rPr>
          <w:rFonts w:cs="Arial"/>
          <w:b w:val="0"/>
          <w:u w:val="none"/>
        </w:rPr>
        <w:t>A-1</w:t>
      </w:r>
      <w:r w:rsidRPr="00A213B8" w:rsidR="0037796C">
        <w:rPr>
          <w:rFonts w:cs="Arial"/>
          <w:b w:val="0"/>
          <w:u w:val="none"/>
        </w:rPr>
        <w:t xml:space="preserve"> (</w:t>
      </w:r>
      <w:r w:rsidRPr="00A213B8" w:rsidR="0037796C">
        <w:rPr>
          <w:rFonts w:cs="Arial"/>
          <w:b w:val="0"/>
          <w:i/>
          <w:u w:val="none"/>
        </w:rPr>
        <w:t>Key Milestones</w:t>
      </w:r>
      <w:r w:rsidRPr="00A213B8" w:rsidR="00CC3F03">
        <w:rPr>
          <w:rFonts w:cs="Arial"/>
          <w:b w:val="0"/>
          <w:i/>
          <w:u w:val="none"/>
        </w:rPr>
        <w:t xml:space="preserve"> and Required Key Milestone Dates</w:t>
      </w:r>
      <w:r w:rsidRPr="00A213B8" w:rsidR="0037796C">
        <w:rPr>
          <w:rFonts w:cs="Arial"/>
          <w:b w:val="0"/>
          <w:u w:val="none"/>
        </w:rPr>
        <w:t>)</w:t>
      </w:r>
      <w:r w:rsidRPr="00A213B8">
        <w:rPr>
          <w:rFonts w:cs="Arial"/>
          <w:b w:val="0"/>
          <w:u w:val="none"/>
        </w:rPr>
        <w:t>.</w:t>
      </w:r>
    </w:p>
    <w:p w:rsidRPr="00A213B8" w:rsidR="00D06584" w:rsidP="00261AEB" w:rsidRDefault="00D06584" w14:paraId="01505779" w14:textId="34420CE5">
      <w:pPr>
        <w:pStyle w:val="Heading3"/>
        <w:keepNext w:val="0"/>
        <w:keepLines w:val="0"/>
        <w:widowControl w:val="0"/>
        <w:spacing w:before="120"/>
        <w:rPr>
          <w:rFonts w:cs="Arial"/>
          <w:b w:val="0"/>
          <w:bCs w:val="0"/>
        </w:rPr>
      </w:pPr>
      <w:r w:rsidRPr="00A213B8">
        <w:rPr>
          <w:rFonts w:cs="Arial"/>
        </w:rPr>
        <w:t>Key Milestone Date</w:t>
      </w:r>
      <w:r w:rsidRPr="00A213B8">
        <w:rPr>
          <w:rFonts w:cs="Arial"/>
          <w:u w:val="none"/>
        </w:rPr>
        <w:t xml:space="preserve">: </w:t>
      </w:r>
      <w:r w:rsidRPr="00A213B8" w:rsidR="0083741F">
        <w:rPr>
          <w:rFonts w:cs="Arial"/>
          <w:b w:val="0"/>
          <w:bCs w:val="0"/>
          <w:u w:val="none"/>
        </w:rPr>
        <w:t xml:space="preserve">Each </w:t>
      </w:r>
      <w:r w:rsidRPr="00A213B8" w:rsidR="009E1BE2">
        <w:rPr>
          <w:rFonts w:cs="Arial"/>
          <w:b w:val="0"/>
          <w:bCs w:val="0"/>
          <w:u w:val="none"/>
        </w:rPr>
        <w:t xml:space="preserve">of the </w:t>
      </w:r>
      <w:r w:rsidRPr="00A213B8" w:rsidR="0083741F">
        <w:rPr>
          <w:rFonts w:cs="Arial"/>
          <w:b w:val="0"/>
          <w:bCs w:val="0"/>
          <w:u w:val="none"/>
        </w:rPr>
        <w:t>date</w:t>
      </w:r>
      <w:r w:rsidRPr="00A213B8" w:rsidR="009E1BE2">
        <w:rPr>
          <w:rFonts w:cs="Arial"/>
          <w:b w:val="0"/>
          <w:bCs w:val="0"/>
          <w:u w:val="none"/>
        </w:rPr>
        <w:t>s</w:t>
      </w:r>
      <w:r w:rsidRPr="00A213B8" w:rsidR="0083741F">
        <w:rPr>
          <w:rFonts w:cs="Arial"/>
          <w:b w:val="0"/>
          <w:bCs w:val="0"/>
          <w:u w:val="none"/>
        </w:rPr>
        <w:t xml:space="preserve"> identified in </w:t>
      </w:r>
      <w:r w:rsidRPr="00A213B8" w:rsidR="0083741F">
        <w:rPr>
          <w:rFonts w:cs="Arial"/>
          <w:b w:val="0"/>
          <w:u w:val="none"/>
        </w:rPr>
        <w:t xml:space="preserve">Exhibit </w:t>
      </w:r>
      <w:r w:rsidRPr="00A213B8" w:rsidR="00824AB1">
        <w:rPr>
          <w:rFonts w:cs="Arial"/>
          <w:b w:val="0"/>
          <w:u w:val="none"/>
        </w:rPr>
        <w:t>A-1</w:t>
      </w:r>
      <w:r w:rsidRPr="00A213B8" w:rsidR="00487D1F">
        <w:rPr>
          <w:rFonts w:cs="Arial"/>
          <w:b w:val="0"/>
          <w:u w:val="none"/>
        </w:rPr>
        <w:t xml:space="preserve"> (</w:t>
      </w:r>
      <w:r w:rsidRPr="00A213B8" w:rsidR="00487D1F">
        <w:rPr>
          <w:rFonts w:cs="Arial"/>
          <w:b w:val="0"/>
          <w:i/>
          <w:u w:val="none"/>
        </w:rPr>
        <w:t>Key Milestones</w:t>
      </w:r>
      <w:r w:rsidRPr="00A213B8" w:rsidR="00CC3F03">
        <w:rPr>
          <w:rFonts w:cs="Arial"/>
          <w:b w:val="0"/>
          <w:i/>
          <w:u w:val="none"/>
        </w:rPr>
        <w:t xml:space="preserve"> and Required Key Milestone Dates</w:t>
      </w:r>
      <w:r w:rsidRPr="00A213B8" w:rsidR="00487D1F">
        <w:rPr>
          <w:rFonts w:cs="Arial"/>
          <w:b w:val="0"/>
          <w:u w:val="none"/>
        </w:rPr>
        <w:t>)</w:t>
      </w:r>
      <w:r w:rsidRPr="00A213B8" w:rsidR="00487D1F">
        <w:rPr>
          <w:rFonts w:cs="Arial"/>
          <w:b w:val="0"/>
          <w:bCs w:val="0"/>
          <w:u w:val="none"/>
        </w:rPr>
        <w:t xml:space="preserve"> as the date </w:t>
      </w:r>
      <w:r w:rsidRPr="00A213B8" w:rsidR="0081152C">
        <w:rPr>
          <w:rFonts w:cs="Arial"/>
          <w:b w:val="0"/>
          <w:bCs w:val="0"/>
          <w:u w:val="none"/>
        </w:rPr>
        <w:t>by which Seller guarantees the corresponding Key Milestone will be achieved.</w:t>
      </w:r>
    </w:p>
    <w:p w:rsidRPr="00A213B8" w:rsidR="002D54C4" w:rsidP="00261AEB" w:rsidRDefault="002D54C4" w14:paraId="32DFFC25" w14:textId="49CF0476">
      <w:pPr>
        <w:pStyle w:val="Heading3"/>
        <w:keepNext w:val="0"/>
        <w:keepLines w:val="0"/>
        <w:widowControl w:val="0"/>
        <w:spacing w:before="120"/>
        <w:rPr>
          <w:rFonts w:cs="Arial"/>
        </w:rPr>
      </w:pPr>
      <w:r w:rsidRPr="00A213B8">
        <w:rPr>
          <w:rFonts w:cs="Arial"/>
        </w:rPr>
        <w:t>kV</w:t>
      </w:r>
      <w:r w:rsidRPr="00A213B8">
        <w:rPr>
          <w:rFonts w:cs="Arial"/>
          <w:u w:val="none"/>
        </w:rPr>
        <w:t>:</w:t>
      </w:r>
      <w:r w:rsidRPr="00A213B8" w:rsidR="008C39DD">
        <w:rPr>
          <w:rFonts w:cs="Arial"/>
          <w:u w:val="none"/>
        </w:rPr>
        <w:t xml:space="preserve"> </w:t>
      </w:r>
      <w:r w:rsidRPr="00A213B8">
        <w:rPr>
          <w:rFonts w:cs="Arial"/>
          <w:b w:val="0"/>
          <w:u w:val="none"/>
        </w:rPr>
        <w:t>Kilovolt(s).</w:t>
      </w:r>
    </w:p>
    <w:p w:rsidRPr="00A213B8" w:rsidR="002D54C4" w:rsidP="00261AEB" w:rsidRDefault="002D54C4" w14:paraId="55D8DD20" w14:textId="25EB08D9">
      <w:pPr>
        <w:pStyle w:val="Heading3"/>
        <w:keepNext w:val="0"/>
        <w:keepLines w:val="0"/>
        <w:widowControl w:val="0"/>
        <w:spacing w:before="120"/>
        <w:rPr>
          <w:rFonts w:cs="Arial"/>
        </w:rPr>
      </w:pPr>
      <w:r w:rsidRPr="00A213B8">
        <w:rPr>
          <w:rFonts w:cs="Arial"/>
        </w:rPr>
        <w:t>kW</w:t>
      </w:r>
      <w:r w:rsidRPr="00A213B8">
        <w:rPr>
          <w:rFonts w:cs="Arial"/>
          <w:u w:val="none"/>
        </w:rPr>
        <w:t>:</w:t>
      </w:r>
      <w:r w:rsidRPr="00A213B8" w:rsidR="008C39DD">
        <w:rPr>
          <w:rFonts w:cs="Arial"/>
          <w:u w:val="none"/>
        </w:rPr>
        <w:t xml:space="preserve"> </w:t>
      </w:r>
      <w:r w:rsidRPr="00A213B8">
        <w:rPr>
          <w:rFonts w:cs="Arial"/>
          <w:b w:val="0"/>
          <w:u w:val="none"/>
        </w:rPr>
        <w:t>Kilowatt(s).</w:t>
      </w:r>
    </w:p>
    <w:p w:rsidRPr="00A213B8" w:rsidR="002D54C4" w:rsidP="00261AEB" w:rsidRDefault="002D54C4" w14:paraId="7BA7EB9D" w14:textId="44BF287A">
      <w:pPr>
        <w:pStyle w:val="Heading3"/>
        <w:keepNext w:val="0"/>
        <w:keepLines w:val="0"/>
        <w:widowControl w:val="0"/>
        <w:spacing w:before="120"/>
        <w:rPr>
          <w:rFonts w:cs="Arial"/>
        </w:rPr>
      </w:pPr>
      <w:r w:rsidRPr="00A213B8">
        <w:rPr>
          <w:rFonts w:cs="Arial"/>
        </w:rPr>
        <w:t>kWh</w:t>
      </w:r>
      <w:r w:rsidRPr="00A213B8">
        <w:rPr>
          <w:rFonts w:cs="Arial"/>
          <w:u w:val="none"/>
        </w:rPr>
        <w:t>:</w:t>
      </w:r>
      <w:r w:rsidRPr="00A213B8" w:rsidR="008C39DD">
        <w:rPr>
          <w:rFonts w:cs="Arial"/>
          <w:u w:val="none"/>
        </w:rPr>
        <w:t xml:space="preserve"> </w:t>
      </w:r>
      <w:r w:rsidRPr="00A213B8">
        <w:rPr>
          <w:rFonts w:cs="Arial"/>
          <w:b w:val="0"/>
          <w:u w:val="none"/>
        </w:rPr>
        <w:t xml:space="preserve">Kilowatt-hours </w:t>
      </w:r>
      <w:r w:rsidRPr="00A213B8" w:rsidR="003823C4">
        <w:rPr>
          <w:rFonts w:cs="Arial"/>
          <w:b w:val="0"/>
          <w:u w:val="none"/>
        </w:rPr>
        <w:t>(AC)</w:t>
      </w:r>
      <w:r w:rsidRPr="00A213B8">
        <w:rPr>
          <w:rFonts w:cs="Arial"/>
          <w:b w:val="0"/>
          <w:u w:val="none"/>
        </w:rPr>
        <w:t>.</w:t>
      </w:r>
    </w:p>
    <w:p w:rsidRPr="00261AEB" w:rsidR="002D54C4" w:rsidP="00261AEB" w:rsidRDefault="002D54C4" w14:paraId="7406E1D0" w14:textId="78882243">
      <w:pPr>
        <w:pStyle w:val="Heading3"/>
        <w:keepNext w:val="0"/>
        <w:keepLines w:val="0"/>
        <w:widowControl w:val="0"/>
        <w:spacing w:before="120"/>
        <w:rPr>
          <w:b w:val="0"/>
          <w:u w:val="none"/>
        </w:rPr>
      </w:pPr>
      <w:r w:rsidRPr="00A213B8">
        <w:rPr>
          <w:rFonts w:cs="Arial"/>
        </w:rPr>
        <w:t>Letter of Credit</w:t>
      </w:r>
      <w:r w:rsidRPr="00A213B8">
        <w:rPr>
          <w:rFonts w:cs="Arial"/>
          <w:u w:val="none"/>
        </w:rPr>
        <w:t xml:space="preserve">: </w:t>
      </w:r>
      <w:r w:rsidRPr="00A213B8">
        <w:rPr>
          <w:rFonts w:cs="Arial"/>
          <w:b w:val="0"/>
          <w:u w:val="none"/>
        </w:rPr>
        <w:t xml:space="preserve">An irrevocable standby letter of credit that is: (i) substantially in the form set forth in Exhibit </w:t>
      </w:r>
      <w:r w:rsidRPr="00A213B8" w:rsidR="000208C2">
        <w:rPr>
          <w:rFonts w:cs="Arial"/>
          <w:b w:val="0"/>
          <w:u w:val="none"/>
        </w:rPr>
        <w:t>K</w:t>
      </w:r>
      <w:r w:rsidRPr="00A213B8" w:rsidR="00CA1907">
        <w:rPr>
          <w:rFonts w:cs="Arial"/>
          <w:b w:val="0"/>
          <w:u w:val="none"/>
        </w:rPr>
        <w:t xml:space="preserve"> </w:t>
      </w:r>
      <w:r w:rsidRPr="00A213B8">
        <w:rPr>
          <w:rFonts w:cs="Arial"/>
          <w:b w:val="0"/>
          <w:u w:val="none"/>
        </w:rPr>
        <w:t>(</w:t>
      </w:r>
      <w:r w:rsidRPr="00A213B8">
        <w:rPr>
          <w:rFonts w:cs="Arial"/>
          <w:b w:val="0"/>
          <w:i/>
          <w:u w:val="none"/>
        </w:rPr>
        <w:t>Form of Standby Letter of Credit</w:t>
      </w:r>
      <w:r w:rsidRPr="00A213B8">
        <w:rPr>
          <w:rFonts w:cs="Arial"/>
          <w:b w:val="0"/>
          <w:u w:val="none"/>
        </w:rPr>
        <w:t xml:space="preserve">); (ii) issued by a U.S. commercial bank or a U.S. branch of a foreign bank: (a) with total assets of at least </w:t>
      </w:r>
      <w:r w:rsidRPr="00A213B8" w:rsidR="008764B4">
        <w:rPr>
          <w:rFonts w:cs="Arial"/>
          <w:b w:val="0"/>
          <w:u w:val="none"/>
        </w:rPr>
        <w:t xml:space="preserve">10 </w:t>
      </w:r>
      <w:r w:rsidRPr="00A213B8">
        <w:rPr>
          <w:rFonts w:cs="Arial"/>
          <w:b w:val="0"/>
          <w:u w:val="none"/>
        </w:rPr>
        <w:t>billion dollars ($10,000,000,000)</w:t>
      </w:r>
      <w:r w:rsidRPr="00A213B8" w:rsidR="0073151B">
        <w:rPr>
          <w:rFonts w:cs="Arial"/>
          <w:b w:val="0"/>
          <w:u w:val="none"/>
        </w:rPr>
        <w:t>;</w:t>
      </w:r>
      <w:r w:rsidRPr="00A213B8">
        <w:rPr>
          <w:rFonts w:cs="Arial"/>
          <w:b w:val="0"/>
          <w:u w:val="none"/>
        </w:rPr>
        <w:t xml:space="preserve"> and </w:t>
      </w:r>
      <w:r w:rsidRPr="00A213B8" w:rsidR="0073151B">
        <w:rPr>
          <w:rFonts w:cs="Arial"/>
          <w:b w:val="0"/>
          <w:u w:val="none"/>
        </w:rPr>
        <w:t xml:space="preserve">(b) </w:t>
      </w:r>
      <w:r w:rsidRPr="00A213B8">
        <w:rPr>
          <w:rFonts w:cs="Arial"/>
          <w:b w:val="0"/>
          <w:u w:val="none"/>
        </w:rPr>
        <w:t>having a general long-term senior unsecured debt rating of: (I) A minus or higher as rated by S&amp;P; (II) A3 or higher as rated by Moody’s; or (III) A minus or higher as rated by Fitch; and (</w:t>
      </w:r>
      <w:r w:rsidRPr="00A213B8" w:rsidR="004A36CB">
        <w:rPr>
          <w:rFonts w:cs="Arial"/>
          <w:b w:val="0"/>
          <w:u w:val="none"/>
        </w:rPr>
        <w:t>iii</w:t>
      </w:r>
      <w:r w:rsidRPr="00A213B8">
        <w:rPr>
          <w:rFonts w:cs="Arial"/>
          <w:b w:val="0"/>
          <w:u w:val="none"/>
        </w:rPr>
        <w:t>) acceptable to GPC in GPC’s sole</w:t>
      </w:r>
      <w:r w:rsidRPr="00A213B8" w:rsidR="009D5C13">
        <w:rPr>
          <w:rFonts w:cs="Arial"/>
          <w:b w:val="0"/>
          <w:u w:val="none"/>
        </w:rPr>
        <w:t xml:space="preserve"> but reasonable</w:t>
      </w:r>
      <w:r w:rsidRPr="00A213B8">
        <w:rPr>
          <w:rFonts w:cs="Arial"/>
          <w:b w:val="0"/>
          <w:u w:val="none"/>
        </w:rPr>
        <w:t xml:space="preserve"> discretion.</w:t>
      </w:r>
    </w:p>
    <w:p w:rsidRPr="00A213B8" w:rsidR="00676B37" w:rsidP="000432D0" w:rsidRDefault="00676B37" w14:paraId="62D205FF" w14:textId="2B2FD2B6">
      <w:pPr>
        <w:spacing w:before="120" w:after="120" w:line="240" w:lineRule="auto"/>
        <w:rPr>
          <w:rFonts w:ascii="Arial" w:hAnsi="Arial" w:cs="Arial"/>
          <w:sz w:val="20"/>
          <w:szCs w:val="20"/>
        </w:rPr>
      </w:pPr>
      <w:r w:rsidRPr="00A213B8">
        <w:rPr>
          <w:rFonts w:ascii="Arial" w:hAnsi="Arial" w:cs="Arial"/>
          <w:b/>
          <w:bCs/>
          <w:sz w:val="20"/>
          <w:szCs w:val="20"/>
          <w:u w:val="single"/>
        </w:rPr>
        <w:t>Losses</w:t>
      </w:r>
      <w:r w:rsidRPr="000432D0">
        <w:rPr>
          <w:rFonts w:ascii="Arial" w:hAnsi="Arial" w:cs="Arial"/>
          <w:b/>
          <w:bCs/>
          <w:sz w:val="20"/>
          <w:szCs w:val="20"/>
        </w:rPr>
        <w:t>:</w:t>
      </w:r>
      <w:r w:rsidRPr="00A213B8">
        <w:rPr>
          <w:rFonts w:ascii="Arial" w:hAnsi="Arial" w:cs="Arial"/>
          <w:sz w:val="20"/>
          <w:szCs w:val="20"/>
        </w:rPr>
        <w:t xml:space="preserve"> As defined in Section 16.3.3 (</w:t>
      </w:r>
      <w:r w:rsidRPr="00A213B8">
        <w:rPr>
          <w:rFonts w:ascii="Arial" w:hAnsi="Arial" w:cs="Arial"/>
          <w:i/>
          <w:iCs/>
          <w:sz w:val="20"/>
          <w:szCs w:val="20"/>
        </w:rPr>
        <w:t>Determining Gains, Losses, and Costs</w:t>
      </w:r>
      <w:r w:rsidRPr="00A213B8">
        <w:rPr>
          <w:rFonts w:ascii="Arial" w:hAnsi="Arial" w:cs="Arial"/>
          <w:sz w:val="20"/>
          <w:szCs w:val="20"/>
        </w:rPr>
        <w:t>).</w:t>
      </w:r>
    </w:p>
    <w:p w:rsidRPr="00A213B8" w:rsidR="002D54C4" w:rsidP="00261AEB" w:rsidRDefault="002D54C4" w14:paraId="4711EB76" w14:textId="3BC1BB65">
      <w:pPr>
        <w:pStyle w:val="Heading3"/>
        <w:keepNext w:val="0"/>
        <w:keepLines w:val="0"/>
        <w:widowControl w:val="0"/>
        <w:spacing w:before="120"/>
        <w:rPr>
          <w:rFonts w:cs="Arial"/>
        </w:rPr>
      </w:pPr>
      <w:r w:rsidRPr="00A213B8">
        <w:rPr>
          <w:rFonts w:cs="Arial"/>
        </w:rPr>
        <w:t>Maintenance Outage</w:t>
      </w:r>
      <w:r w:rsidRPr="00A213B8">
        <w:rPr>
          <w:rFonts w:cs="Arial"/>
          <w:u w:val="none"/>
        </w:rPr>
        <w:t xml:space="preserve">: </w:t>
      </w:r>
      <w:r w:rsidRPr="00A213B8">
        <w:rPr>
          <w:rStyle w:val="zGNormalChar"/>
          <w:b w:val="0"/>
          <w:bCs w:val="0"/>
          <w:u w:val="none"/>
        </w:rPr>
        <w:t xml:space="preserve">A planned interruption of a portion or all of the Facility’s </w:t>
      </w:r>
      <w:r w:rsidRPr="00A213B8" w:rsidR="004F5855">
        <w:rPr>
          <w:rStyle w:val="zGNormalChar"/>
          <w:b w:val="0"/>
          <w:bCs w:val="0"/>
          <w:u w:val="none"/>
        </w:rPr>
        <w:t xml:space="preserve">operational </w:t>
      </w:r>
      <w:r w:rsidRPr="00A213B8">
        <w:rPr>
          <w:rStyle w:val="zGNormalChar"/>
          <w:b w:val="0"/>
          <w:bCs w:val="0"/>
          <w:u w:val="none"/>
        </w:rPr>
        <w:t xml:space="preserve">capability or the charging or discharging capability of the </w:t>
      </w:r>
      <w:r w:rsidRPr="00A213B8" w:rsidR="00680C34">
        <w:rPr>
          <w:rStyle w:val="zGNormalChar"/>
          <w:b w:val="0"/>
          <w:bCs w:val="0"/>
          <w:u w:val="none"/>
        </w:rPr>
        <w:t>B</w:t>
      </w:r>
      <w:r w:rsidRPr="00A213B8">
        <w:rPr>
          <w:rStyle w:val="zGNormalChar"/>
          <w:b w:val="0"/>
          <w:bCs w:val="0"/>
          <w:u w:val="none"/>
        </w:rPr>
        <w:t xml:space="preserve">ESS that: (i) has been coordinated in advance with GPC with a mutually agreed start date, time, and duration or to which GPC has consented in accordance with </w:t>
      </w:r>
      <w:r w:rsidRPr="00A213B8">
        <w:rPr>
          <w:rStyle w:val="zGNormalChar"/>
          <w:b w:val="0"/>
          <w:u w:val="none"/>
        </w:rPr>
        <w:t>Section</w:t>
      </w:r>
      <w:r w:rsidRPr="00A213B8" w:rsidR="00041FCC">
        <w:rPr>
          <w:rStyle w:val="zGNormalChar"/>
          <w:b w:val="0"/>
          <w:u w:val="none"/>
        </w:rPr>
        <w:t xml:space="preserve"> 10</w:t>
      </w:r>
      <w:r w:rsidRPr="00A213B8">
        <w:rPr>
          <w:rStyle w:val="zGNormalChar"/>
          <w:b w:val="0"/>
          <w:u w:val="none"/>
        </w:rPr>
        <w:t>.2.2 (</w:t>
      </w:r>
      <w:r w:rsidRPr="00A213B8">
        <w:rPr>
          <w:rStyle w:val="zGNormalChar"/>
          <w:b w:val="0"/>
          <w:i/>
          <w:u w:val="none"/>
        </w:rPr>
        <w:t>Maintenance Outage</w:t>
      </w:r>
      <w:r w:rsidRPr="00A213B8" w:rsidR="00041FCC">
        <w:rPr>
          <w:rStyle w:val="zGNormalChar"/>
          <w:b w:val="0"/>
          <w:i/>
          <w:u w:val="none"/>
        </w:rPr>
        <w:t>s</w:t>
      </w:r>
      <w:r w:rsidRPr="00A213B8">
        <w:rPr>
          <w:rStyle w:val="zGNormalChar"/>
          <w:b w:val="0"/>
          <w:u w:val="none"/>
        </w:rPr>
        <w:t>);</w:t>
      </w:r>
      <w:r w:rsidRPr="00A213B8">
        <w:rPr>
          <w:rStyle w:val="zGNormalChar"/>
          <w:b w:val="0"/>
          <w:bCs w:val="0"/>
          <w:u w:val="none"/>
        </w:rPr>
        <w:t xml:space="preserve"> and (ii) is for the purpose of performing work on specific components of the Facility that would limit the </w:t>
      </w:r>
      <w:r w:rsidRPr="00A213B8" w:rsidR="002A0889">
        <w:rPr>
          <w:rStyle w:val="zGNormalChar"/>
          <w:b w:val="0"/>
          <w:bCs w:val="0"/>
          <w:u w:val="none"/>
        </w:rPr>
        <w:t>operational</w:t>
      </w:r>
      <w:r w:rsidRPr="00A213B8" w:rsidR="00AF7A64">
        <w:rPr>
          <w:rStyle w:val="zGNormalChar"/>
          <w:b w:val="0"/>
          <w:bCs w:val="0"/>
          <w:u w:val="none"/>
        </w:rPr>
        <w:t xml:space="preserve"> capability</w:t>
      </w:r>
      <w:r w:rsidRPr="00A213B8">
        <w:rPr>
          <w:rStyle w:val="zGNormalChar"/>
          <w:b w:val="0"/>
          <w:bCs w:val="0"/>
          <w:u w:val="none"/>
        </w:rPr>
        <w:t xml:space="preserve"> of the Facility or the charging or discharging capability of the </w:t>
      </w:r>
      <w:r w:rsidRPr="00A213B8" w:rsidR="00680C34">
        <w:rPr>
          <w:rStyle w:val="zGNormalChar"/>
          <w:b w:val="0"/>
          <w:bCs w:val="0"/>
          <w:u w:val="none"/>
        </w:rPr>
        <w:t>B</w:t>
      </w:r>
      <w:r w:rsidRPr="00A213B8">
        <w:rPr>
          <w:rStyle w:val="zGNormalChar"/>
          <w:b w:val="0"/>
          <w:bCs w:val="0"/>
          <w:u w:val="none"/>
        </w:rPr>
        <w:t>ESS but should not, in the reasonable judgment of Seller, be postponed until the next Scheduled Outage.</w:t>
      </w:r>
    </w:p>
    <w:p w:rsidRPr="00A213B8" w:rsidR="002D54C4" w:rsidP="00261AEB" w:rsidRDefault="002D54C4" w14:paraId="1582F44C" w14:textId="58342CB5">
      <w:pPr>
        <w:pStyle w:val="Heading3"/>
        <w:keepNext w:val="0"/>
        <w:keepLines w:val="0"/>
        <w:widowControl w:val="0"/>
        <w:spacing w:before="120"/>
        <w:rPr>
          <w:rFonts w:cs="Arial"/>
        </w:rPr>
      </w:pPr>
      <w:r w:rsidRPr="00A213B8">
        <w:rPr>
          <w:rFonts w:cs="Arial"/>
        </w:rPr>
        <w:t>Maintenance Schedule</w:t>
      </w:r>
      <w:r w:rsidRPr="00A213B8">
        <w:rPr>
          <w:rFonts w:cs="Arial"/>
          <w:u w:val="none"/>
        </w:rPr>
        <w:t xml:space="preserve">: </w:t>
      </w:r>
      <w:r w:rsidRPr="00A213B8">
        <w:rPr>
          <w:rFonts w:cs="Arial"/>
          <w:b w:val="0"/>
          <w:u w:val="none"/>
        </w:rPr>
        <w:t xml:space="preserve">Seller’s maintenance schedule, including the scope of the maintenance, and outage plans for the Facility that conform to Prudent Industry Practices for similar equipment, including in </w:t>
      </w:r>
      <w:r w:rsidRPr="00A213B8">
        <w:rPr>
          <w:rFonts w:cs="Arial"/>
          <w:b w:val="0"/>
          <w:u w:val="none"/>
        </w:rPr>
        <w:lastRenderedPageBreak/>
        <w:t>terms of frequency and duration.</w:t>
      </w:r>
      <w:r w:rsidRPr="00A213B8" w:rsidR="00F77636">
        <w:rPr>
          <w:rFonts w:cs="Arial"/>
          <w:b w:val="0"/>
          <w:u w:val="none"/>
        </w:rPr>
        <w:t xml:space="preserve"> Upon GPC approval, the Maintenance Schedule </w:t>
      </w:r>
      <w:r w:rsidRPr="00A213B8" w:rsidR="0089578C">
        <w:rPr>
          <w:rFonts w:cs="Arial"/>
          <w:b w:val="0"/>
          <w:u w:val="none"/>
        </w:rPr>
        <w:t>establishes Scheduled Outages.</w:t>
      </w:r>
    </w:p>
    <w:p w:rsidRPr="00A213B8" w:rsidR="002D54C4" w:rsidP="00261AEB" w:rsidRDefault="002D54C4" w14:paraId="5BE2C6B3" w14:textId="37948C26">
      <w:pPr>
        <w:pStyle w:val="Heading3"/>
        <w:keepNext w:val="0"/>
        <w:keepLines w:val="0"/>
        <w:widowControl w:val="0"/>
        <w:spacing w:before="120"/>
        <w:rPr>
          <w:rFonts w:cs="Arial"/>
        </w:rPr>
      </w:pPr>
      <w:r w:rsidRPr="00A213B8">
        <w:rPr>
          <w:rFonts w:cs="Arial"/>
        </w:rPr>
        <w:t>Material Adverse Change</w:t>
      </w:r>
      <w:r w:rsidRPr="00A213B8">
        <w:rPr>
          <w:rFonts w:cs="Arial"/>
          <w:u w:val="none"/>
        </w:rPr>
        <w:t xml:space="preserve">: </w:t>
      </w:r>
      <w:r w:rsidRPr="00A213B8">
        <w:rPr>
          <w:rFonts w:cs="Arial"/>
          <w:b w:val="0"/>
          <w:u w:val="none"/>
        </w:rPr>
        <w:t>Seller or, if Seller is providing Eligible Collateral in the form of a</w:t>
      </w:r>
      <w:r w:rsidRPr="00A213B8" w:rsidR="00315F98">
        <w:rPr>
          <w:rFonts w:cs="Arial"/>
          <w:b w:val="0"/>
          <w:u w:val="none"/>
        </w:rPr>
        <w:t xml:space="preserve"> Seller</w:t>
      </w:r>
      <w:r w:rsidRPr="00A213B8">
        <w:rPr>
          <w:rFonts w:cs="Arial"/>
          <w:b w:val="0"/>
          <w:u w:val="none"/>
        </w:rPr>
        <w:t xml:space="preserve"> Guaranty, </w:t>
      </w:r>
      <w:r w:rsidRPr="00A213B8" w:rsidR="00013956">
        <w:rPr>
          <w:rFonts w:cs="Arial"/>
          <w:b w:val="0"/>
          <w:u w:val="none"/>
        </w:rPr>
        <w:t xml:space="preserve">Seller </w:t>
      </w:r>
      <w:r w:rsidRPr="00A213B8">
        <w:rPr>
          <w:rFonts w:cs="Arial"/>
          <w:b w:val="0"/>
          <w:u w:val="none"/>
        </w:rPr>
        <w:t xml:space="preserve">Guarantor experiences any of the following conditions: (i) Seller or </w:t>
      </w:r>
      <w:r w:rsidRPr="00A213B8" w:rsidR="00013956">
        <w:rPr>
          <w:rFonts w:cs="Arial"/>
          <w:b w:val="0"/>
          <w:u w:val="none"/>
        </w:rPr>
        <w:t xml:space="preserve">Seller </w:t>
      </w:r>
      <w:r w:rsidRPr="00A213B8">
        <w:rPr>
          <w:rFonts w:cs="Arial"/>
          <w:b w:val="0"/>
          <w:u w:val="none"/>
        </w:rPr>
        <w:t xml:space="preserve">Guarantor is no longer Creditworthy; or (ii) the maturity of any Indebtedness of Seller or </w:t>
      </w:r>
      <w:r w:rsidRPr="00A213B8" w:rsidR="00013956">
        <w:rPr>
          <w:rFonts w:cs="Arial"/>
          <w:b w:val="0"/>
          <w:u w:val="none"/>
        </w:rPr>
        <w:t xml:space="preserve">Seller </w:t>
      </w:r>
      <w:r w:rsidRPr="00A213B8">
        <w:rPr>
          <w:rFonts w:cs="Arial"/>
          <w:b w:val="0"/>
          <w:u w:val="none"/>
        </w:rPr>
        <w:t xml:space="preserve">Guarantor </w:t>
      </w:r>
      <w:r w:rsidRPr="00A213B8" w:rsidR="009C4773">
        <w:rPr>
          <w:rFonts w:cs="Arial"/>
          <w:b w:val="0"/>
          <w:u w:val="none"/>
        </w:rPr>
        <w:t>that</w:t>
      </w:r>
      <w:r w:rsidRPr="00A213B8">
        <w:rPr>
          <w:rFonts w:cs="Arial"/>
          <w:b w:val="0"/>
          <w:u w:val="none"/>
        </w:rPr>
        <w:t xml:space="preserve"> in the aggregate exceeds fifty million dollars ($50,000,000.00) or </w:t>
      </w:r>
      <w:r w:rsidRPr="00A213B8" w:rsidR="00112F16">
        <w:rPr>
          <w:rFonts w:cs="Arial"/>
          <w:b w:val="0"/>
          <w:u w:val="none"/>
        </w:rPr>
        <w:t>3</w:t>
      </w:r>
      <w:r w:rsidRPr="00A213B8">
        <w:rPr>
          <w:rFonts w:cs="Arial"/>
          <w:b w:val="0"/>
          <w:u w:val="none"/>
        </w:rPr>
        <w:t>% of equity, whichever is less</w:t>
      </w:r>
      <w:r w:rsidRPr="00A213B8" w:rsidR="009C4773">
        <w:rPr>
          <w:rFonts w:cs="Arial"/>
          <w:b w:val="0"/>
          <w:u w:val="none"/>
        </w:rPr>
        <w:t>,</w:t>
      </w:r>
      <w:r w:rsidRPr="00A213B8">
        <w:rPr>
          <w:rFonts w:cs="Arial"/>
          <w:b w:val="0"/>
          <w:u w:val="none"/>
        </w:rPr>
        <w:t xml:space="preserve"> is accelerated by the holder or holders of the Indebtedness because of a Seller or </w:t>
      </w:r>
      <w:r w:rsidRPr="00A213B8" w:rsidR="00013956">
        <w:rPr>
          <w:rFonts w:cs="Arial"/>
          <w:b w:val="0"/>
          <w:u w:val="none"/>
        </w:rPr>
        <w:t xml:space="preserve">Seller </w:t>
      </w:r>
      <w:r w:rsidRPr="00A213B8">
        <w:rPr>
          <w:rFonts w:cs="Arial"/>
          <w:b w:val="0"/>
          <w:u w:val="none"/>
        </w:rPr>
        <w:t>Guarantor default regarding the Indebtedness.</w:t>
      </w:r>
    </w:p>
    <w:p w:rsidRPr="00A213B8" w:rsidR="00EE1169" w:rsidP="00261AEB" w:rsidRDefault="00EE1169" w14:paraId="3FF26E94" w14:textId="123EEB29">
      <w:pPr>
        <w:pStyle w:val="Heading3"/>
        <w:keepNext w:val="0"/>
        <w:keepLines w:val="0"/>
        <w:widowControl w:val="0"/>
        <w:spacing w:before="120"/>
        <w:rPr>
          <w:rFonts w:cs="Arial"/>
        </w:rPr>
      </w:pPr>
      <w:r w:rsidRPr="00A213B8">
        <w:rPr>
          <w:rFonts w:cs="Arial"/>
          <w:w w:val="0"/>
        </w:rPr>
        <w:t>Maximum Rate of Charge (ROC)</w:t>
      </w:r>
      <w:r w:rsidRPr="00A213B8">
        <w:rPr>
          <w:rFonts w:cs="Arial"/>
          <w:w w:val="0"/>
          <w:u w:val="none"/>
        </w:rPr>
        <w:t xml:space="preserve">: </w:t>
      </w:r>
      <w:r w:rsidRPr="00A213B8">
        <w:rPr>
          <w:rFonts w:cs="Arial"/>
          <w:b w:val="0"/>
          <w:w w:val="0"/>
          <w:u w:val="none"/>
        </w:rPr>
        <w:t xml:space="preserve">The guaranteed maximum </w:t>
      </w:r>
      <w:r w:rsidRPr="00A213B8">
        <w:rPr>
          <w:rFonts w:cs="Arial"/>
          <w:b w:val="0"/>
          <w:u w:val="none"/>
        </w:rPr>
        <w:t>r</w:t>
      </w:r>
      <w:r w:rsidRPr="00A213B8">
        <w:rPr>
          <w:rFonts w:cs="Arial"/>
          <w:b w:val="0"/>
          <w:w w:val="0"/>
          <w:u w:val="none"/>
        </w:rPr>
        <w:t xml:space="preserve">ate of </w:t>
      </w:r>
      <w:r w:rsidRPr="00A213B8">
        <w:rPr>
          <w:rFonts w:cs="Arial"/>
          <w:b w:val="0"/>
          <w:u w:val="none"/>
        </w:rPr>
        <w:t>c</w:t>
      </w:r>
      <w:r w:rsidRPr="00A213B8">
        <w:rPr>
          <w:rFonts w:cs="Arial"/>
          <w:b w:val="0"/>
          <w:w w:val="0"/>
          <w:u w:val="none"/>
        </w:rPr>
        <w:t xml:space="preserve">harge of the </w:t>
      </w:r>
      <w:r w:rsidRPr="00A213B8" w:rsidR="00680C34">
        <w:rPr>
          <w:rFonts w:cs="Arial"/>
          <w:b w:val="0"/>
          <w:w w:val="0"/>
          <w:u w:val="none"/>
        </w:rPr>
        <w:t>B</w:t>
      </w:r>
      <w:r w:rsidRPr="00A213B8">
        <w:rPr>
          <w:rFonts w:cs="Arial"/>
          <w:b w:val="0"/>
          <w:w w:val="0"/>
          <w:u w:val="none"/>
        </w:rPr>
        <w:t>ESS</w:t>
      </w:r>
      <w:r w:rsidRPr="00A213B8">
        <w:rPr>
          <w:rFonts w:cs="Arial"/>
          <w:b w:val="0"/>
          <w:u w:val="none"/>
        </w:rPr>
        <w:t>, as further defined in Exhibit C (</w:t>
      </w:r>
      <w:r w:rsidRPr="00A213B8" w:rsidR="00663A4F">
        <w:rPr>
          <w:rFonts w:cs="Arial"/>
          <w:b w:val="0"/>
          <w:i/>
          <w:u w:val="none"/>
        </w:rPr>
        <w:t xml:space="preserve">Monthly Capacity Payments; Monthly Capacity Reductions; AGC Performance </w:t>
      </w:r>
      <w:r w:rsidRPr="00A213B8" w:rsidR="004C6ED4">
        <w:rPr>
          <w:rFonts w:cs="Arial"/>
          <w:b w:val="0"/>
          <w:i/>
          <w:u w:val="none"/>
        </w:rPr>
        <w:t xml:space="preserve">Metrics and </w:t>
      </w:r>
      <w:r w:rsidRPr="00A213B8" w:rsidR="00663A4F">
        <w:rPr>
          <w:rFonts w:cs="Arial"/>
          <w:b w:val="0"/>
          <w:i/>
          <w:u w:val="none"/>
        </w:rPr>
        <w:t>Requirements</w:t>
      </w:r>
      <w:r w:rsidRPr="00A213B8">
        <w:rPr>
          <w:rFonts w:cs="Arial"/>
          <w:b w:val="0"/>
          <w:u w:val="none"/>
        </w:rPr>
        <w:t xml:space="preserve">). </w:t>
      </w:r>
    </w:p>
    <w:p w:rsidRPr="00A213B8" w:rsidR="002D54C4" w:rsidP="00261AEB" w:rsidRDefault="002D54C4" w14:paraId="2704CC34" w14:textId="2E407805">
      <w:pPr>
        <w:pStyle w:val="Heading3"/>
        <w:keepNext w:val="0"/>
        <w:keepLines w:val="0"/>
        <w:widowControl w:val="0"/>
        <w:spacing w:before="120"/>
        <w:rPr>
          <w:rFonts w:cs="Arial"/>
        </w:rPr>
      </w:pPr>
      <w:r w:rsidRPr="00A213B8">
        <w:rPr>
          <w:rFonts w:cs="Arial"/>
        </w:rPr>
        <w:t>MCF</w:t>
      </w:r>
      <w:r w:rsidRPr="00A213B8">
        <w:rPr>
          <w:rFonts w:cs="Arial"/>
          <w:u w:val="none"/>
        </w:rPr>
        <w:t xml:space="preserve">: </w:t>
      </w:r>
      <w:r w:rsidRPr="00A213B8">
        <w:rPr>
          <w:rFonts w:cs="Arial"/>
          <w:b w:val="0"/>
          <w:u w:val="none"/>
        </w:rPr>
        <w:t>See</w:t>
      </w:r>
      <w:r w:rsidRPr="00A213B8">
        <w:rPr>
          <w:rFonts w:cs="Arial"/>
          <w:b w:val="0"/>
          <w:i/>
          <w:u w:val="none"/>
        </w:rPr>
        <w:t xml:space="preserve"> Monthly Capacity Fee</w:t>
      </w:r>
      <w:r w:rsidRPr="00A213B8">
        <w:rPr>
          <w:rFonts w:cs="Arial"/>
          <w:b w:val="0"/>
          <w:u w:val="none"/>
        </w:rPr>
        <w:t>.</w:t>
      </w:r>
    </w:p>
    <w:p w:rsidRPr="00A213B8" w:rsidR="002D54C4" w:rsidP="00261AEB" w:rsidRDefault="002D54C4" w14:paraId="7E1AA275" w14:textId="77777777">
      <w:pPr>
        <w:pStyle w:val="Heading3"/>
        <w:keepNext w:val="0"/>
        <w:keepLines w:val="0"/>
        <w:widowControl w:val="0"/>
        <w:spacing w:before="120"/>
        <w:rPr>
          <w:rFonts w:cs="Arial"/>
        </w:rPr>
      </w:pPr>
      <w:r w:rsidRPr="00A213B8">
        <w:rPr>
          <w:rFonts w:cs="Arial"/>
        </w:rPr>
        <w:t>MCP</w:t>
      </w:r>
      <w:r w:rsidRPr="00A213B8">
        <w:rPr>
          <w:rFonts w:cs="Arial"/>
          <w:u w:val="none"/>
        </w:rPr>
        <w:t xml:space="preserve">: </w:t>
      </w:r>
      <w:r w:rsidRPr="00A213B8">
        <w:rPr>
          <w:rFonts w:cs="Arial"/>
          <w:b w:val="0"/>
          <w:u w:val="none"/>
        </w:rPr>
        <w:t>See</w:t>
      </w:r>
      <w:r w:rsidRPr="00A213B8">
        <w:rPr>
          <w:rFonts w:cs="Arial"/>
          <w:b w:val="0"/>
          <w:i/>
          <w:u w:val="none"/>
        </w:rPr>
        <w:t xml:space="preserve"> Monthly Capacity Payment</w:t>
      </w:r>
      <w:r w:rsidRPr="00A213B8">
        <w:rPr>
          <w:rFonts w:cs="Arial"/>
          <w:b w:val="0"/>
          <w:u w:val="none"/>
        </w:rPr>
        <w:t>.</w:t>
      </w:r>
    </w:p>
    <w:p w:rsidRPr="00A213B8" w:rsidR="002D54C4" w:rsidP="00261AEB" w:rsidRDefault="002D54C4" w14:paraId="5ED74BDA" w14:textId="53E57D2D">
      <w:pPr>
        <w:pStyle w:val="Heading3"/>
        <w:keepNext w:val="0"/>
        <w:keepLines w:val="0"/>
        <w:widowControl w:val="0"/>
        <w:spacing w:before="120"/>
        <w:rPr>
          <w:rFonts w:cs="Arial"/>
        </w:rPr>
      </w:pPr>
      <w:r w:rsidRPr="00A213B8">
        <w:rPr>
          <w:rFonts w:cs="Arial"/>
        </w:rPr>
        <w:t>Metering System</w:t>
      </w:r>
      <w:r w:rsidRPr="00A213B8">
        <w:rPr>
          <w:rFonts w:cs="Arial"/>
          <w:u w:val="none"/>
        </w:rPr>
        <w:t xml:space="preserve">: </w:t>
      </w:r>
      <w:r w:rsidRPr="00A213B8">
        <w:rPr>
          <w:rFonts w:cs="Arial"/>
          <w:b w:val="0"/>
          <w:u w:val="none"/>
        </w:rPr>
        <w:t>All meters, metering devices</w:t>
      </w:r>
      <w:r w:rsidRPr="00A213B8" w:rsidR="005D6BDF">
        <w:rPr>
          <w:rFonts w:cs="Arial"/>
          <w:b w:val="0"/>
          <w:u w:val="none"/>
        </w:rPr>
        <w:t>,</w:t>
      </w:r>
      <w:r w:rsidRPr="00A213B8">
        <w:rPr>
          <w:rFonts w:cs="Arial"/>
          <w:b w:val="0"/>
          <w:u w:val="none"/>
        </w:rPr>
        <w:t xml:space="preserve"> and related instruments used to measure and record electric energy and to determine the amount of </w:t>
      </w:r>
      <w:r w:rsidRPr="00A213B8" w:rsidR="00342DD0">
        <w:rPr>
          <w:rFonts w:cs="Arial"/>
          <w:b w:val="0"/>
          <w:u w:val="none"/>
        </w:rPr>
        <w:t>e</w:t>
      </w:r>
      <w:r w:rsidRPr="00A213B8">
        <w:rPr>
          <w:rFonts w:cs="Arial"/>
          <w:b w:val="0"/>
          <w:u w:val="none"/>
        </w:rPr>
        <w:t>nergy that is being made available or delivered to GPC</w:t>
      </w:r>
      <w:r w:rsidRPr="00A213B8" w:rsidDel="005A2092">
        <w:rPr>
          <w:rFonts w:cs="Arial"/>
          <w:b w:val="0"/>
          <w:u w:val="none"/>
        </w:rPr>
        <w:t xml:space="preserve"> </w:t>
      </w:r>
      <w:r w:rsidRPr="00A213B8">
        <w:rPr>
          <w:rFonts w:cs="Arial"/>
          <w:b w:val="0"/>
          <w:u w:val="none"/>
        </w:rPr>
        <w:t>at the POI and for the other purposes set forth in Section 8.2 (</w:t>
      </w:r>
      <w:r w:rsidRPr="00A213B8">
        <w:rPr>
          <w:rFonts w:cs="Arial"/>
          <w:b w:val="0"/>
          <w:i/>
          <w:u w:val="none"/>
        </w:rPr>
        <w:t>Meter</w:t>
      </w:r>
      <w:r w:rsidRPr="00A213B8" w:rsidR="00D226C6">
        <w:rPr>
          <w:rFonts w:cs="Arial"/>
          <w:b w:val="0"/>
          <w:i/>
          <w:u w:val="none"/>
        </w:rPr>
        <w:t>ing and Telemetry</w:t>
      </w:r>
      <w:r w:rsidRPr="00A213B8">
        <w:rPr>
          <w:rFonts w:cs="Arial"/>
          <w:b w:val="0"/>
          <w:u w:val="none"/>
        </w:rPr>
        <w:t>).</w:t>
      </w:r>
    </w:p>
    <w:p w:rsidRPr="00A213B8" w:rsidR="002D54C4" w:rsidP="00261AEB" w:rsidRDefault="002D54C4" w14:paraId="0485D306" w14:textId="308976B0">
      <w:pPr>
        <w:pStyle w:val="Heading3"/>
        <w:keepNext w:val="0"/>
        <w:keepLines w:val="0"/>
        <w:widowControl w:val="0"/>
        <w:spacing w:before="120"/>
        <w:rPr>
          <w:rFonts w:cs="Arial"/>
        </w:rPr>
      </w:pPr>
      <w:r w:rsidRPr="00A213B8">
        <w:rPr>
          <w:rFonts w:cs="Arial"/>
        </w:rPr>
        <w:t>Milestone Schedule</w:t>
      </w:r>
      <w:r w:rsidRPr="00A213B8">
        <w:rPr>
          <w:rFonts w:cs="Arial"/>
          <w:u w:val="none"/>
        </w:rPr>
        <w:t xml:space="preserve">: </w:t>
      </w:r>
      <w:r w:rsidRPr="00A213B8">
        <w:rPr>
          <w:rFonts w:cs="Arial"/>
          <w:b w:val="0"/>
          <w:u w:val="none"/>
        </w:rPr>
        <w:t>A schedule containing</w:t>
      </w:r>
      <w:r w:rsidR="003505C7">
        <w:rPr>
          <w:rFonts w:cs="Arial"/>
          <w:b w:val="0"/>
          <w:u w:val="none"/>
        </w:rPr>
        <w:t>,</w:t>
      </w:r>
      <w:r w:rsidRPr="00A213B8">
        <w:rPr>
          <w:rFonts w:cs="Arial"/>
          <w:b w:val="0"/>
          <w:u w:val="none"/>
        </w:rPr>
        <w:t xml:space="preserve"> at a minimum</w:t>
      </w:r>
      <w:r w:rsidR="003505C7">
        <w:rPr>
          <w:rFonts w:cs="Arial"/>
          <w:b w:val="0"/>
          <w:u w:val="none"/>
        </w:rPr>
        <w:t>,</w:t>
      </w:r>
      <w:r w:rsidRPr="00A213B8">
        <w:rPr>
          <w:rFonts w:cs="Arial"/>
          <w:b w:val="0"/>
          <w:u w:val="none"/>
        </w:rPr>
        <w:t xml:space="preserve"> Key Milestones and other significant milestones related to </w:t>
      </w:r>
      <w:r w:rsidR="00BF10BA">
        <w:rPr>
          <w:rFonts w:cs="Arial"/>
          <w:b w:val="0"/>
          <w:u w:val="none"/>
        </w:rPr>
        <w:t>Facility</w:t>
      </w:r>
      <w:r w:rsidRPr="00A213B8">
        <w:rPr>
          <w:rFonts w:cs="Arial"/>
          <w:b w:val="0"/>
          <w:u w:val="none"/>
        </w:rPr>
        <w:t xml:space="preserve"> design, engineering, procurement, construction, Initial Synchronization Date, testing, startup, </w:t>
      </w:r>
      <w:r w:rsidR="00444E1D">
        <w:rPr>
          <w:rFonts w:cs="Arial"/>
          <w:b w:val="0"/>
          <w:u w:val="none"/>
        </w:rPr>
        <w:t>R</w:t>
      </w:r>
      <w:r w:rsidR="00AB3CF1">
        <w:rPr>
          <w:rFonts w:cs="Arial"/>
          <w:b w:val="0"/>
          <w:u w:val="none"/>
        </w:rPr>
        <w:t>COD</w:t>
      </w:r>
      <w:r w:rsidR="00E945F1">
        <w:rPr>
          <w:rFonts w:cs="Arial"/>
          <w:b w:val="0"/>
          <w:u w:val="none"/>
        </w:rPr>
        <w:t xml:space="preserve">, and any </w:t>
      </w:r>
      <w:r w:rsidR="007B5CD9">
        <w:rPr>
          <w:rFonts w:cs="Arial"/>
          <w:b w:val="0"/>
          <w:u w:val="none"/>
        </w:rPr>
        <w:t>other milestone</w:t>
      </w:r>
      <w:r w:rsidR="00E945F1">
        <w:rPr>
          <w:rFonts w:cs="Arial"/>
          <w:b w:val="0"/>
          <w:u w:val="none"/>
        </w:rPr>
        <w:t xml:space="preserve"> GPC may reasonably request</w:t>
      </w:r>
      <w:r w:rsidRPr="00A213B8">
        <w:rPr>
          <w:rFonts w:cs="Arial"/>
          <w:b w:val="0"/>
          <w:u w:val="none"/>
        </w:rPr>
        <w:t>.</w:t>
      </w:r>
    </w:p>
    <w:p w:rsidRPr="00A213B8" w:rsidR="002D54C4" w:rsidP="00261AEB" w:rsidRDefault="002D54C4" w14:paraId="1CFD4514" w14:textId="77777777">
      <w:pPr>
        <w:pStyle w:val="Heading3"/>
        <w:keepNext w:val="0"/>
        <w:keepLines w:val="0"/>
        <w:widowControl w:val="0"/>
        <w:spacing w:before="120"/>
        <w:rPr>
          <w:rFonts w:cs="Arial"/>
        </w:rPr>
      </w:pPr>
      <w:r w:rsidRPr="00A213B8">
        <w:rPr>
          <w:rFonts w:cs="Arial"/>
        </w:rPr>
        <w:t>Month</w:t>
      </w:r>
      <w:r w:rsidRPr="00A213B8">
        <w:rPr>
          <w:rFonts w:cs="Arial"/>
          <w:u w:val="none"/>
        </w:rPr>
        <w:t xml:space="preserve">: </w:t>
      </w:r>
      <w:r w:rsidRPr="00A213B8">
        <w:rPr>
          <w:rFonts w:cs="Arial"/>
          <w:b w:val="0"/>
          <w:u w:val="none"/>
        </w:rPr>
        <w:t>A calendar month, commencing at the beginning of the first Day of such calendar month. “</w:t>
      </w:r>
      <w:r w:rsidRPr="00A213B8">
        <w:rPr>
          <w:rFonts w:cs="Arial"/>
          <w:u w:val="none"/>
        </w:rPr>
        <w:t>Monthly</w:t>
      </w:r>
      <w:r w:rsidRPr="00A213B8">
        <w:rPr>
          <w:rFonts w:cs="Arial"/>
          <w:b w:val="0"/>
          <w:u w:val="none"/>
        </w:rPr>
        <w:t>” has a meaning correlative to that of Month.</w:t>
      </w:r>
    </w:p>
    <w:p w:rsidRPr="00A213B8" w:rsidR="002D54C4" w:rsidP="00261AEB" w:rsidRDefault="002D54C4" w14:paraId="3B4FD713" w14:textId="44E01BE0">
      <w:pPr>
        <w:pStyle w:val="Heading3"/>
        <w:keepNext w:val="0"/>
        <w:keepLines w:val="0"/>
        <w:widowControl w:val="0"/>
        <w:spacing w:before="120"/>
        <w:rPr>
          <w:rFonts w:cs="Arial"/>
        </w:rPr>
      </w:pPr>
      <w:r w:rsidRPr="00A213B8">
        <w:rPr>
          <w:rFonts w:cs="Arial"/>
        </w:rPr>
        <w:t>Monthly Capacity Fee (MCF)</w:t>
      </w:r>
      <w:r w:rsidRPr="00A213B8">
        <w:rPr>
          <w:rFonts w:cs="Arial"/>
          <w:u w:val="none"/>
        </w:rPr>
        <w:t xml:space="preserve">: </w:t>
      </w:r>
      <w:r w:rsidRPr="00A213B8" w:rsidR="00B924A3">
        <w:rPr>
          <w:rFonts w:cs="Arial"/>
          <w:b w:val="0"/>
          <w:bCs w:val="0"/>
          <w:u w:val="none"/>
        </w:rPr>
        <w:t>As</w:t>
      </w:r>
      <w:r w:rsidRPr="00A213B8" w:rsidR="00B924A3">
        <w:rPr>
          <w:rFonts w:cs="Arial"/>
          <w:u w:val="none"/>
        </w:rPr>
        <w:t xml:space="preserve"> </w:t>
      </w:r>
      <w:r w:rsidRPr="00A213B8" w:rsidR="00B924A3">
        <w:rPr>
          <w:rFonts w:cs="Arial"/>
          <w:b w:val="0"/>
          <w:u w:val="none"/>
        </w:rPr>
        <w:t>d</w:t>
      </w:r>
      <w:r w:rsidRPr="00A213B8" w:rsidDel="0085356A">
        <w:rPr>
          <w:rFonts w:cs="Arial"/>
          <w:b w:val="0"/>
          <w:u w:val="none"/>
        </w:rPr>
        <w:t xml:space="preserve">efined and </w:t>
      </w:r>
      <w:r w:rsidRPr="00A213B8">
        <w:rPr>
          <w:rFonts w:cs="Arial"/>
          <w:b w:val="0"/>
          <w:u w:val="none"/>
        </w:rPr>
        <w:t>determined in accordance with</w:t>
      </w:r>
      <w:r w:rsidRPr="00A213B8" w:rsidR="00563539">
        <w:rPr>
          <w:rFonts w:cs="Arial"/>
          <w:b w:val="0"/>
          <w:u w:val="none"/>
        </w:rPr>
        <w:t xml:space="preserve"> Section 1.2 (</w:t>
      </w:r>
      <w:r w:rsidRPr="00A213B8" w:rsidR="00563539">
        <w:rPr>
          <w:rFonts w:cs="Arial"/>
          <w:b w:val="0"/>
          <w:i/>
          <w:iCs/>
          <w:u w:val="none"/>
        </w:rPr>
        <w:t>Monthly Capacity Payment</w:t>
      </w:r>
      <w:r w:rsidRPr="00A213B8" w:rsidR="00563539">
        <w:rPr>
          <w:rFonts w:cs="Arial"/>
          <w:b w:val="0"/>
          <w:u w:val="none"/>
        </w:rPr>
        <w:t>) of</w:t>
      </w:r>
      <w:r w:rsidRPr="00A213B8">
        <w:rPr>
          <w:rFonts w:cs="Arial"/>
          <w:b w:val="0"/>
          <w:u w:val="none"/>
        </w:rPr>
        <w:t xml:space="preserve"> Exhibit </w:t>
      </w:r>
      <w:r w:rsidRPr="00A213B8" w:rsidR="008A6C0B">
        <w:rPr>
          <w:rFonts w:cs="Arial"/>
          <w:b w:val="0"/>
          <w:u w:val="none"/>
        </w:rPr>
        <w:t xml:space="preserve">C </w:t>
      </w:r>
      <w:r w:rsidRPr="00A213B8">
        <w:rPr>
          <w:rFonts w:cs="Arial"/>
          <w:b w:val="0"/>
          <w:u w:val="none"/>
        </w:rPr>
        <w:t>(</w:t>
      </w:r>
      <w:r w:rsidRPr="00A213B8" w:rsidR="008A6C0B">
        <w:rPr>
          <w:rFonts w:cs="Arial"/>
          <w:b w:val="0"/>
          <w:i/>
          <w:u w:val="none"/>
        </w:rPr>
        <w:t xml:space="preserve">Monthly Capacity Payments; Monthly Capacity Reductions; AGC Performance </w:t>
      </w:r>
      <w:r w:rsidRPr="00A213B8" w:rsidR="004C6ED4">
        <w:rPr>
          <w:rFonts w:cs="Arial"/>
          <w:b w:val="0"/>
          <w:i/>
          <w:u w:val="none"/>
        </w:rPr>
        <w:t xml:space="preserve">Metrics and </w:t>
      </w:r>
      <w:r w:rsidRPr="00A213B8" w:rsidR="008A6C0B">
        <w:rPr>
          <w:rFonts w:cs="Arial"/>
          <w:b w:val="0"/>
          <w:i/>
          <w:u w:val="none"/>
        </w:rPr>
        <w:t>Requirements</w:t>
      </w:r>
      <w:r w:rsidRPr="00A213B8">
        <w:rPr>
          <w:rFonts w:cs="Arial"/>
          <w:b w:val="0"/>
          <w:u w:val="none"/>
        </w:rPr>
        <w:t>).</w:t>
      </w:r>
    </w:p>
    <w:p w:rsidRPr="00A213B8" w:rsidR="002D54C4" w:rsidP="00261AEB" w:rsidRDefault="002D54C4" w14:paraId="00FAC055" w14:textId="2AF046F9">
      <w:pPr>
        <w:pStyle w:val="Heading3"/>
        <w:keepNext w:val="0"/>
        <w:keepLines w:val="0"/>
        <w:widowControl w:val="0"/>
        <w:spacing w:before="120"/>
        <w:rPr>
          <w:rFonts w:cs="Arial"/>
          <w:b w:val="0"/>
        </w:rPr>
      </w:pPr>
      <w:r w:rsidRPr="00A213B8">
        <w:rPr>
          <w:rFonts w:cs="Arial"/>
        </w:rPr>
        <w:t>Monthly Capacity Payment (MCP)</w:t>
      </w:r>
      <w:r w:rsidRPr="00A213B8">
        <w:rPr>
          <w:rFonts w:cs="Arial"/>
          <w:u w:val="none"/>
        </w:rPr>
        <w:t xml:space="preserve">: </w:t>
      </w:r>
      <w:r w:rsidRPr="00A213B8">
        <w:rPr>
          <w:rFonts w:cs="Arial"/>
          <w:b w:val="0"/>
          <w:u w:val="none"/>
        </w:rPr>
        <w:t>The amount to be paid by GPC</w:t>
      </w:r>
      <w:r w:rsidRPr="00A213B8" w:rsidDel="005A2092">
        <w:rPr>
          <w:rFonts w:cs="Arial"/>
          <w:b w:val="0"/>
          <w:u w:val="none"/>
        </w:rPr>
        <w:t xml:space="preserve"> </w:t>
      </w:r>
      <w:r w:rsidRPr="00A213B8">
        <w:rPr>
          <w:rFonts w:cs="Arial"/>
          <w:b w:val="0"/>
          <w:u w:val="none"/>
        </w:rPr>
        <w:t xml:space="preserve">to Seller for GPC’s purchase of the </w:t>
      </w:r>
      <w:r w:rsidRPr="00A213B8" w:rsidR="000260A5">
        <w:rPr>
          <w:rFonts w:cs="Arial"/>
          <w:b w:val="0"/>
          <w:u w:val="none"/>
        </w:rPr>
        <w:t>Storage Device Design Capacity</w:t>
      </w:r>
      <w:r w:rsidRPr="00A213B8">
        <w:rPr>
          <w:rFonts w:cs="Arial"/>
          <w:b w:val="0"/>
          <w:u w:val="none"/>
        </w:rPr>
        <w:t xml:space="preserve"> for a particular Month, which will equal the Monthly Capacity Fee </w:t>
      </w:r>
      <w:r w:rsidRPr="00A213B8" w:rsidR="00BA3067">
        <w:rPr>
          <w:rFonts w:cs="Arial"/>
          <w:b w:val="0"/>
          <w:u w:val="none"/>
        </w:rPr>
        <w:t>as adjusted</w:t>
      </w:r>
      <w:r w:rsidRPr="00A213B8" w:rsidR="009F6ABD">
        <w:rPr>
          <w:rFonts w:cs="Arial"/>
          <w:b w:val="0"/>
          <w:u w:val="none"/>
        </w:rPr>
        <w:t>, if applicable,</w:t>
      </w:r>
      <w:r w:rsidRPr="00A213B8" w:rsidR="00BE7073">
        <w:rPr>
          <w:rFonts w:cs="Arial"/>
          <w:b w:val="0"/>
          <w:u w:val="none"/>
        </w:rPr>
        <w:t xml:space="preserve"> by </w:t>
      </w:r>
      <w:r w:rsidRPr="00A213B8" w:rsidR="00012379">
        <w:rPr>
          <w:rFonts w:cs="Arial"/>
          <w:b w:val="0"/>
          <w:u w:val="none"/>
        </w:rPr>
        <w:t>Monthly Capacity</w:t>
      </w:r>
      <w:r w:rsidRPr="00A213B8" w:rsidR="00BE7073">
        <w:rPr>
          <w:rFonts w:cs="Arial"/>
          <w:b w:val="0"/>
          <w:u w:val="none"/>
        </w:rPr>
        <w:t xml:space="preserve"> </w:t>
      </w:r>
      <w:r w:rsidRPr="00A213B8" w:rsidR="00344331">
        <w:rPr>
          <w:rFonts w:cs="Arial"/>
          <w:b w:val="0"/>
          <w:u w:val="none"/>
        </w:rPr>
        <w:t xml:space="preserve">Reduction </w:t>
      </w:r>
      <w:r w:rsidRPr="00A213B8">
        <w:rPr>
          <w:rFonts w:cs="Arial"/>
          <w:b w:val="0"/>
          <w:u w:val="none"/>
        </w:rPr>
        <w:t xml:space="preserve">in accordance with Exhibit </w:t>
      </w:r>
      <w:r w:rsidRPr="00A213B8" w:rsidR="0055551F">
        <w:rPr>
          <w:rFonts w:cs="Arial"/>
          <w:b w:val="0"/>
          <w:u w:val="none"/>
        </w:rPr>
        <w:t xml:space="preserve">C </w:t>
      </w:r>
      <w:r w:rsidRPr="00A213B8">
        <w:rPr>
          <w:rFonts w:cs="Arial"/>
          <w:b w:val="0"/>
          <w:u w:val="none"/>
        </w:rPr>
        <w:t>(</w:t>
      </w:r>
      <w:r w:rsidRPr="00A213B8" w:rsidR="0055551F">
        <w:rPr>
          <w:rFonts w:cs="Arial"/>
          <w:b w:val="0"/>
          <w:i/>
          <w:u w:val="none"/>
        </w:rPr>
        <w:t xml:space="preserve">Monthly Capacity Payments; Monthly Capacity Reductions; AGC Performance </w:t>
      </w:r>
      <w:r w:rsidRPr="00A213B8" w:rsidR="004C6ED4">
        <w:rPr>
          <w:rFonts w:cs="Arial"/>
          <w:b w:val="0"/>
          <w:i/>
          <w:u w:val="none"/>
        </w:rPr>
        <w:t xml:space="preserve">Metrics and </w:t>
      </w:r>
      <w:r w:rsidRPr="00A213B8" w:rsidR="0055551F">
        <w:rPr>
          <w:rFonts w:cs="Arial"/>
          <w:b w:val="0"/>
          <w:i/>
          <w:u w:val="none"/>
        </w:rPr>
        <w:t>Requirements</w:t>
      </w:r>
      <w:r w:rsidRPr="00A213B8">
        <w:rPr>
          <w:rFonts w:cs="Arial"/>
          <w:b w:val="0"/>
          <w:u w:val="none"/>
        </w:rPr>
        <w:t xml:space="preserve">), </w:t>
      </w:r>
      <w:r w:rsidRPr="00A213B8" w:rsidR="00A17D95">
        <w:rPr>
          <w:rFonts w:cs="Arial"/>
          <w:b w:val="0"/>
          <w:u w:val="none"/>
        </w:rPr>
        <w:t xml:space="preserve">Part </w:t>
      </w:r>
      <w:r w:rsidRPr="00A213B8" w:rsidR="00286191">
        <w:rPr>
          <w:rFonts w:cs="Arial"/>
          <w:b w:val="0"/>
          <w:u w:val="none"/>
        </w:rPr>
        <w:t xml:space="preserve">2 </w:t>
      </w:r>
      <w:r w:rsidRPr="00A213B8">
        <w:rPr>
          <w:rFonts w:cs="Arial"/>
          <w:b w:val="0"/>
          <w:u w:val="none"/>
        </w:rPr>
        <w:t>(</w:t>
      </w:r>
      <w:r w:rsidRPr="00A213B8">
        <w:rPr>
          <w:rFonts w:cs="Arial"/>
          <w:b w:val="0"/>
          <w:i/>
          <w:u w:val="none"/>
        </w:rPr>
        <w:t xml:space="preserve">Monthly Capacity </w:t>
      </w:r>
      <w:r w:rsidRPr="00A213B8" w:rsidR="00286191">
        <w:rPr>
          <w:rFonts w:cs="Arial"/>
          <w:b w:val="0"/>
          <w:i/>
          <w:u w:val="none"/>
        </w:rPr>
        <w:t>Reductions</w:t>
      </w:r>
      <w:r w:rsidRPr="00A213B8" w:rsidR="00547D93">
        <w:rPr>
          <w:rFonts w:cs="Arial"/>
          <w:b w:val="0"/>
          <w:i/>
          <w:u w:val="none"/>
        </w:rPr>
        <w:t>; Performance Metrics</w:t>
      </w:r>
      <w:r w:rsidRPr="00A213B8">
        <w:rPr>
          <w:rFonts w:cs="Arial"/>
          <w:b w:val="0"/>
          <w:u w:val="none"/>
        </w:rPr>
        <w:t>):</w:t>
      </w:r>
    </w:p>
    <w:p w:rsidRPr="00A213B8" w:rsidR="002D54C4" w:rsidP="00261AEB" w:rsidRDefault="002D54C4" w14:paraId="790DA784" w14:textId="7F1E8102">
      <w:pPr>
        <w:pStyle w:val="Heading3"/>
        <w:keepNext w:val="0"/>
        <w:keepLines w:val="0"/>
        <w:widowControl w:val="0"/>
        <w:spacing w:before="120"/>
        <w:ind w:left="2160" w:firstLine="720"/>
        <w:rPr>
          <w:rFonts w:cs="Arial"/>
          <w:b w:val="0"/>
        </w:rPr>
      </w:pPr>
      <w:r w:rsidRPr="00A213B8">
        <w:rPr>
          <w:rFonts w:cs="Arial"/>
          <w:b w:val="0"/>
        </w:rPr>
        <w:t>MCP = MCF –</w:t>
      </w:r>
      <w:r w:rsidRPr="00A213B8" w:rsidR="008E6939">
        <w:rPr>
          <w:rFonts w:cs="Arial"/>
          <w:b w:val="0"/>
        </w:rPr>
        <w:t>MCR</w:t>
      </w:r>
    </w:p>
    <w:p w:rsidRPr="00A213B8" w:rsidR="00127C46" w:rsidP="00261AEB" w:rsidRDefault="00127C46" w14:paraId="5640AFF6" w14:textId="2E215B8F">
      <w:pPr>
        <w:pStyle w:val="Heading3"/>
        <w:keepNext w:val="0"/>
        <w:keepLines w:val="0"/>
        <w:widowControl w:val="0"/>
        <w:spacing w:before="120"/>
        <w:rPr>
          <w:rFonts w:cs="Arial"/>
          <w:b w:val="0"/>
          <w:bCs w:val="0"/>
          <w:u w:val="none"/>
        </w:rPr>
      </w:pPr>
      <w:r w:rsidRPr="00A213B8">
        <w:rPr>
          <w:rFonts w:cs="Arial"/>
        </w:rPr>
        <w:t>Monthly Capacity Reduction (MCR)</w:t>
      </w:r>
      <w:r w:rsidRPr="00A213B8">
        <w:rPr>
          <w:rFonts w:cs="Arial"/>
          <w:u w:val="none"/>
        </w:rPr>
        <w:t xml:space="preserve">: </w:t>
      </w:r>
      <w:r w:rsidRPr="00A213B8" w:rsidR="00062AD5">
        <w:rPr>
          <w:rFonts w:cs="Arial"/>
          <w:b w:val="0"/>
          <w:bCs w:val="0"/>
          <w:u w:val="none"/>
        </w:rPr>
        <w:t xml:space="preserve">As defined and determined in accordance with </w:t>
      </w:r>
      <w:r w:rsidRPr="00A213B8" w:rsidR="00062AD5">
        <w:rPr>
          <w:rFonts w:cs="Arial"/>
          <w:b w:val="0"/>
          <w:u w:val="none"/>
        </w:rPr>
        <w:t>Exhibit C</w:t>
      </w:r>
      <w:r w:rsidRPr="00A213B8" w:rsidR="00F06494">
        <w:rPr>
          <w:rFonts w:cs="Arial"/>
          <w:b w:val="0"/>
          <w:u w:val="none"/>
        </w:rPr>
        <w:t xml:space="preserve"> (</w:t>
      </w:r>
      <w:r w:rsidRPr="00A213B8" w:rsidR="00E23B6B">
        <w:rPr>
          <w:rFonts w:cs="Arial"/>
          <w:b w:val="0"/>
          <w:i/>
          <w:u w:val="none"/>
        </w:rPr>
        <w:t xml:space="preserve">Monthly Capacity Payments; Monthly Capacity Reductions; AGC Performance </w:t>
      </w:r>
      <w:r w:rsidRPr="00A213B8" w:rsidR="004C6ED4">
        <w:rPr>
          <w:rFonts w:cs="Arial"/>
          <w:b w:val="0"/>
          <w:i/>
          <w:u w:val="none"/>
        </w:rPr>
        <w:t xml:space="preserve">Metrics and </w:t>
      </w:r>
      <w:r w:rsidRPr="00A213B8" w:rsidR="00E23B6B">
        <w:rPr>
          <w:rFonts w:cs="Arial"/>
          <w:b w:val="0"/>
          <w:i/>
          <w:u w:val="none"/>
        </w:rPr>
        <w:t>Requirements</w:t>
      </w:r>
      <w:r w:rsidRPr="00A213B8" w:rsidR="000020CB">
        <w:rPr>
          <w:rFonts w:cs="Arial"/>
          <w:b w:val="0"/>
          <w:u w:val="none"/>
        </w:rPr>
        <w:t>)</w:t>
      </w:r>
      <w:r w:rsidRPr="00A213B8" w:rsidR="007860B7">
        <w:rPr>
          <w:rFonts w:cs="Arial"/>
          <w:b w:val="0"/>
          <w:u w:val="none"/>
        </w:rPr>
        <w:t>, Part 2 (</w:t>
      </w:r>
      <w:r w:rsidRPr="00A213B8" w:rsidR="007860B7">
        <w:rPr>
          <w:rFonts w:cs="Arial"/>
          <w:b w:val="0"/>
          <w:i/>
          <w:u w:val="none"/>
        </w:rPr>
        <w:t>Monthly Capacity Reductions</w:t>
      </w:r>
      <w:r w:rsidRPr="00A213B8" w:rsidR="00B35015">
        <w:rPr>
          <w:rFonts w:cs="Arial"/>
          <w:b w:val="0"/>
          <w:i/>
          <w:u w:val="none"/>
        </w:rPr>
        <w:t>; Performance Metrics</w:t>
      </w:r>
      <w:r w:rsidRPr="00A213B8" w:rsidR="000020CB">
        <w:rPr>
          <w:rFonts w:cs="Arial"/>
          <w:b w:val="0"/>
          <w:u w:val="none"/>
        </w:rPr>
        <w:t>)</w:t>
      </w:r>
      <w:r w:rsidRPr="00A213B8" w:rsidR="000020CB">
        <w:rPr>
          <w:rFonts w:cs="Arial"/>
          <w:b w:val="0"/>
          <w:bCs w:val="0"/>
          <w:u w:val="none"/>
        </w:rPr>
        <w:t>.</w:t>
      </w:r>
    </w:p>
    <w:p w:rsidRPr="00A213B8" w:rsidR="002D54C4" w:rsidP="00261AEB" w:rsidRDefault="002D54C4" w14:paraId="1BE05DF4" w14:textId="48ACEDBC">
      <w:pPr>
        <w:pStyle w:val="Heading3"/>
        <w:keepNext w:val="0"/>
        <w:keepLines w:val="0"/>
        <w:widowControl w:val="0"/>
        <w:spacing w:before="120"/>
        <w:rPr>
          <w:rFonts w:cs="Arial"/>
        </w:rPr>
      </w:pPr>
      <w:r w:rsidRPr="00A213B8">
        <w:rPr>
          <w:rFonts w:cs="Arial"/>
        </w:rPr>
        <w:t>Monthly Invoice</w:t>
      </w:r>
      <w:r w:rsidRPr="00A213B8">
        <w:rPr>
          <w:rFonts w:cs="Arial"/>
          <w:u w:val="none"/>
        </w:rPr>
        <w:t xml:space="preserve">: </w:t>
      </w:r>
      <w:r w:rsidRPr="00A213B8">
        <w:rPr>
          <w:rFonts w:cs="Arial"/>
          <w:b w:val="0"/>
          <w:u w:val="none"/>
        </w:rPr>
        <w:t>As defined in Section 5</w:t>
      </w:r>
      <w:r w:rsidRPr="00A213B8" w:rsidDel="00C622AA">
        <w:rPr>
          <w:rFonts w:cs="Arial"/>
          <w:b w:val="0"/>
          <w:u w:val="none"/>
        </w:rPr>
        <w:t>.</w:t>
      </w:r>
      <w:r w:rsidRPr="00A213B8" w:rsidDel="00E56828">
        <w:rPr>
          <w:rFonts w:cs="Arial"/>
          <w:b w:val="0"/>
          <w:u w:val="none"/>
        </w:rPr>
        <w:t>1</w:t>
      </w:r>
      <w:r w:rsidRPr="00A213B8" w:rsidR="008B625A">
        <w:rPr>
          <w:rFonts w:cs="Arial"/>
          <w:b w:val="0"/>
          <w:u w:val="none"/>
        </w:rPr>
        <w:t>.1 (</w:t>
      </w:r>
      <w:r w:rsidRPr="00A213B8" w:rsidR="008B625A">
        <w:rPr>
          <w:rFonts w:cs="Arial"/>
          <w:b w:val="0"/>
          <w:i/>
          <w:u w:val="none"/>
        </w:rPr>
        <w:t>Seller Invoices</w:t>
      </w:r>
      <w:r w:rsidRPr="00A213B8" w:rsidR="008B625A">
        <w:rPr>
          <w:rFonts w:cs="Arial"/>
          <w:b w:val="0"/>
          <w:u w:val="none"/>
        </w:rPr>
        <w:t>)</w:t>
      </w:r>
      <w:r w:rsidRPr="00A213B8" w:rsidDel="00E56828">
        <w:rPr>
          <w:rFonts w:cs="Arial"/>
          <w:b w:val="0"/>
          <w:u w:val="none"/>
        </w:rPr>
        <w:t>.</w:t>
      </w:r>
    </w:p>
    <w:p w:rsidRPr="00A213B8" w:rsidR="00BA52E9" w:rsidP="00261AEB" w:rsidRDefault="00BA52E9" w14:paraId="188A1D86" w14:textId="51B30B88">
      <w:pPr>
        <w:pStyle w:val="Heading3"/>
        <w:keepNext w:val="0"/>
        <w:keepLines w:val="0"/>
        <w:widowControl w:val="0"/>
        <w:spacing w:before="120"/>
        <w:rPr>
          <w:rFonts w:cs="Arial"/>
          <w:b w:val="0"/>
          <w:bCs w:val="0"/>
          <w:u w:val="none"/>
        </w:rPr>
      </w:pPr>
      <w:r w:rsidRPr="00A213B8">
        <w:rPr>
          <w:rFonts w:cs="Arial"/>
        </w:rPr>
        <w:t>Monthly RTE</w:t>
      </w:r>
      <w:r w:rsidRPr="00A213B8" w:rsidR="009D5C13">
        <w:rPr>
          <w:rFonts w:cs="Arial"/>
        </w:rPr>
        <w:t xml:space="preserve"> True-Up</w:t>
      </w:r>
      <w:r w:rsidRPr="00261AEB">
        <w:rPr>
          <w:u w:val="none"/>
        </w:rPr>
        <w:t xml:space="preserve">: </w:t>
      </w:r>
      <w:r w:rsidRPr="00A213B8">
        <w:rPr>
          <w:rFonts w:cs="Arial"/>
          <w:b w:val="0"/>
          <w:bCs w:val="0"/>
          <w:u w:val="none"/>
        </w:rPr>
        <w:t xml:space="preserve">As defined in </w:t>
      </w:r>
      <w:r w:rsidRPr="00A213B8" w:rsidR="00CF4B12">
        <w:rPr>
          <w:rFonts w:cs="Arial"/>
          <w:b w:val="0"/>
          <w:bCs w:val="0"/>
          <w:u w:val="none"/>
        </w:rPr>
        <w:t>Section 2.1 (</w:t>
      </w:r>
      <w:r w:rsidRPr="00A213B8" w:rsidR="00CF4B12">
        <w:rPr>
          <w:rFonts w:cs="Arial"/>
          <w:b w:val="0"/>
          <w:bCs w:val="0"/>
          <w:i/>
          <w:iCs/>
          <w:u w:val="none"/>
        </w:rPr>
        <w:t>Monthly Capacity Reduction</w:t>
      </w:r>
      <w:r w:rsidRPr="00A213B8" w:rsidR="00CF4B12">
        <w:rPr>
          <w:rFonts w:cs="Arial"/>
          <w:b w:val="0"/>
          <w:bCs w:val="0"/>
          <w:u w:val="none"/>
        </w:rPr>
        <w:t xml:space="preserve">) of </w:t>
      </w:r>
      <w:r w:rsidRPr="00A213B8">
        <w:rPr>
          <w:rFonts w:cs="Arial"/>
          <w:b w:val="0"/>
          <w:u w:val="none"/>
        </w:rPr>
        <w:t>Exhibit C (</w:t>
      </w:r>
      <w:r w:rsidRPr="00A213B8">
        <w:rPr>
          <w:rFonts w:cs="Arial"/>
          <w:b w:val="0"/>
          <w:i/>
          <w:u w:val="none"/>
        </w:rPr>
        <w:t xml:space="preserve">Monthly Capacity Payments; Monthly Capacity Reductions; AGC Performance </w:t>
      </w:r>
      <w:r w:rsidRPr="00A213B8" w:rsidR="004C6ED4">
        <w:rPr>
          <w:rFonts w:cs="Arial"/>
          <w:b w:val="0"/>
          <w:i/>
          <w:u w:val="none"/>
        </w:rPr>
        <w:t xml:space="preserve">Metrics and </w:t>
      </w:r>
      <w:r w:rsidRPr="00A213B8">
        <w:rPr>
          <w:rFonts w:cs="Arial"/>
          <w:b w:val="0"/>
          <w:i/>
          <w:u w:val="none"/>
        </w:rPr>
        <w:t>Requirements</w:t>
      </w:r>
      <w:r w:rsidRPr="00A213B8">
        <w:rPr>
          <w:rFonts w:cs="Arial"/>
          <w:b w:val="0"/>
          <w:u w:val="none"/>
        </w:rPr>
        <w:t>)</w:t>
      </w:r>
      <w:r w:rsidRPr="00A213B8">
        <w:rPr>
          <w:rFonts w:cs="Arial"/>
          <w:b w:val="0"/>
          <w:bCs w:val="0"/>
          <w:u w:val="none"/>
        </w:rPr>
        <w:t>.</w:t>
      </w:r>
    </w:p>
    <w:p w:rsidRPr="00A213B8" w:rsidR="002D54C4" w:rsidP="00261AEB" w:rsidRDefault="002D54C4" w14:paraId="09811BCE" w14:textId="12D032BA">
      <w:pPr>
        <w:pStyle w:val="Heading3"/>
        <w:keepNext w:val="0"/>
        <w:keepLines w:val="0"/>
        <w:widowControl w:val="0"/>
        <w:spacing w:before="120"/>
        <w:rPr>
          <w:rFonts w:cs="Arial"/>
        </w:rPr>
      </w:pPr>
      <w:r w:rsidRPr="00A213B8">
        <w:rPr>
          <w:rFonts w:cs="Arial"/>
        </w:rPr>
        <w:t>Monthly Value Factor (MVF)</w:t>
      </w:r>
      <w:r w:rsidRPr="00A213B8">
        <w:rPr>
          <w:rFonts w:cs="Arial"/>
          <w:u w:val="none"/>
        </w:rPr>
        <w:t>:</w:t>
      </w:r>
      <w:r w:rsidRPr="00A213B8" w:rsidDel="00820A52">
        <w:rPr>
          <w:rFonts w:cs="Arial"/>
          <w:b w:val="0"/>
          <w:u w:val="none"/>
        </w:rPr>
        <w:t xml:space="preserve"> </w:t>
      </w:r>
      <w:r w:rsidRPr="00A213B8">
        <w:rPr>
          <w:rFonts w:cs="Arial"/>
          <w:b w:val="0"/>
          <w:u w:val="none"/>
        </w:rPr>
        <w:t xml:space="preserve">For a given Month, the </w:t>
      </w:r>
      <w:r w:rsidRPr="00A213B8" w:rsidR="003A31D6">
        <w:rPr>
          <w:rFonts w:cs="Arial"/>
          <w:b w:val="0"/>
          <w:u w:val="none"/>
        </w:rPr>
        <w:t>value</w:t>
      </w:r>
      <w:r w:rsidRPr="00A213B8">
        <w:rPr>
          <w:rFonts w:cs="Arial"/>
          <w:b w:val="0"/>
          <w:u w:val="none"/>
        </w:rPr>
        <w:t xml:space="preserve"> factor </w:t>
      </w:r>
      <w:r w:rsidRPr="00A213B8" w:rsidR="00A81BA9">
        <w:rPr>
          <w:rFonts w:cs="Arial"/>
          <w:b w:val="0"/>
          <w:u w:val="none"/>
        </w:rPr>
        <w:t>stated in</w:t>
      </w:r>
      <w:r w:rsidRPr="00A213B8">
        <w:rPr>
          <w:rFonts w:cs="Arial"/>
          <w:b w:val="0"/>
          <w:u w:val="none"/>
        </w:rPr>
        <w:t xml:space="preserve"> Table </w:t>
      </w:r>
      <w:r w:rsidRPr="00A213B8" w:rsidR="00206ED9">
        <w:rPr>
          <w:rFonts w:cs="Arial"/>
          <w:b w:val="0"/>
          <w:u w:val="none"/>
        </w:rPr>
        <w:t>C</w:t>
      </w:r>
      <w:r w:rsidRPr="00A213B8">
        <w:rPr>
          <w:rFonts w:cs="Arial"/>
          <w:b w:val="0"/>
          <w:u w:val="none"/>
        </w:rPr>
        <w:t>-</w:t>
      </w:r>
      <w:r w:rsidRPr="00A213B8" w:rsidR="00206ED9">
        <w:rPr>
          <w:rFonts w:cs="Arial"/>
          <w:b w:val="0"/>
          <w:u w:val="none"/>
        </w:rPr>
        <w:t>2</w:t>
      </w:r>
      <w:r w:rsidRPr="00A213B8">
        <w:rPr>
          <w:rFonts w:cs="Arial"/>
          <w:b w:val="0"/>
          <w:u w:val="none"/>
        </w:rPr>
        <w:t xml:space="preserve"> (</w:t>
      </w:r>
      <w:r w:rsidRPr="00A213B8">
        <w:rPr>
          <w:rFonts w:cs="Arial"/>
          <w:b w:val="0"/>
          <w:i/>
          <w:u w:val="none"/>
        </w:rPr>
        <w:t>Monthly Value Factor</w:t>
      </w:r>
      <w:r w:rsidRPr="00A213B8" w:rsidR="00E914C0">
        <w:rPr>
          <w:rFonts w:cs="Arial"/>
          <w:b w:val="0"/>
          <w:i/>
          <w:u w:val="none"/>
        </w:rPr>
        <w:t xml:space="preserve"> (MVF)</w:t>
      </w:r>
      <w:r w:rsidRPr="00A213B8">
        <w:rPr>
          <w:rFonts w:cs="Arial"/>
          <w:b w:val="0"/>
          <w:u w:val="none"/>
        </w:rPr>
        <w:t xml:space="preserve">) in Exhibit </w:t>
      </w:r>
      <w:r w:rsidRPr="00A213B8" w:rsidR="00206ED9">
        <w:rPr>
          <w:rFonts w:cs="Arial"/>
          <w:b w:val="0"/>
          <w:u w:val="none"/>
        </w:rPr>
        <w:t>C</w:t>
      </w:r>
      <w:r w:rsidRPr="00A213B8" w:rsidR="009222B8">
        <w:rPr>
          <w:rFonts w:cs="Arial"/>
          <w:b w:val="0"/>
          <w:u w:val="none"/>
        </w:rPr>
        <w:t xml:space="preserve"> </w:t>
      </w:r>
      <w:r w:rsidRPr="00A213B8">
        <w:rPr>
          <w:rFonts w:cs="Arial"/>
          <w:b w:val="0"/>
          <w:u w:val="none"/>
        </w:rPr>
        <w:t>(</w:t>
      </w:r>
      <w:r w:rsidRPr="00A213B8" w:rsidR="00206ED9">
        <w:rPr>
          <w:rFonts w:cs="Arial"/>
          <w:b w:val="0"/>
          <w:i/>
          <w:u w:val="none"/>
        </w:rPr>
        <w:t xml:space="preserve">Monthly Capacity Payments; Monthly Capacity Reductions; AGC Performance </w:t>
      </w:r>
      <w:r w:rsidRPr="00A213B8" w:rsidR="004C6ED4">
        <w:rPr>
          <w:rFonts w:cs="Arial"/>
          <w:b w:val="0"/>
          <w:i/>
          <w:u w:val="none"/>
        </w:rPr>
        <w:t xml:space="preserve">Metrics and </w:t>
      </w:r>
      <w:r w:rsidRPr="00A213B8" w:rsidR="00206ED9">
        <w:rPr>
          <w:rFonts w:cs="Arial"/>
          <w:b w:val="0"/>
          <w:i/>
          <w:u w:val="none"/>
        </w:rPr>
        <w:t>Requirements</w:t>
      </w:r>
      <w:r w:rsidRPr="00A213B8">
        <w:rPr>
          <w:rFonts w:cs="Arial"/>
          <w:b w:val="0"/>
          <w:u w:val="none"/>
        </w:rPr>
        <w:t>).</w:t>
      </w:r>
    </w:p>
    <w:p w:rsidRPr="00A213B8" w:rsidR="002D54C4" w:rsidP="00261AEB" w:rsidRDefault="002D54C4" w14:paraId="39147039" w14:textId="77777777">
      <w:pPr>
        <w:pStyle w:val="Heading3"/>
        <w:keepNext w:val="0"/>
        <w:keepLines w:val="0"/>
        <w:widowControl w:val="0"/>
        <w:spacing w:before="120"/>
        <w:rPr>
          <w:rFonts w:cs="Arial"/>
        </w:rPr>
      </w:pPr>
      <w:r w:rsidRPr="00A213B8">
        <w:rPr>
          <w:rFonts w:cs="Arial"/>
        </w:rPr>
        <w:t>Moody’s</w:t>
      </w:r>
      <w:r w:rsidRPr="00A213B8">
        <w:rPr>
          <w:rFonts w:cs="Arial"/>
          <w:u w:val="none"/>
        </w:rPr>
        <w:t xml:space="preserve">: </w:t>
      </w:r>
      <w:r w:rsidRPr="00A213B8">
        <w:rPr>
          <w:rFonts w:cs="Arial"/>
          <w:b w:val="0"/>
          <w:u w:val="none"/>
        </w:rPr>
        <w:t>Moody’s Investors Service, Inc. or its successor. If Moody’s ceases to exist or publish ratings, Moody’s will mean a nationally recognized rating agency mutually agreed upon by the Parties.</w:t>
      </w:r>
    </w:p>
    <w:p w:rsidRPr="00A213B8" w:rsidR="002D54C4" w:rsidP="00261AEB" w:rsidRDefault="002D54C4" w14:paraId="602211FF" w14:textId="77777777">
      <w:pPr>
        <w:pStyle w:val="Heading3"/>
        <w:keepNext w:val="0"/>
        <w:keepLines w:val="0"/>
        <w:widowControl w:val="0"/>
        <w:spacing w:before="120"/>
        <w:rPr>
          <w:rFonts w:cs="Arial"/>
        </w:rPr>
      </w:pPr>
      <w:r w:rsidRPr="00A213B8">
        <w:rPr>
          <w:rFonts w:cs="Arial"/>
        </w:rPr>
        <w:t>MVF</w:t>
      </w:r>
      <w:r w:rsidRPr="00A213B8">
        <w:rPr>
          <w:rFonts w:cs="Arial"/>
          <w:u w:val="none"/>
        </w:rPr>
        <w:t xml:space="preserve">: </w:t>
      </w:r>
      <w:r w:rsidRPr="00A213B8">
        <w:rPr>
          <w:rFonts w:cs="Arial"/>
          <w:b w:val="0"/>
          <w:bCs w:val="0"/>
          <w:u w:val="none"/>
        </w:rPr>
        <w:t>See</w:t>
      </w:r>
      <w:r w:rsidRPr="00A213B8">
        <w:rPr>
          <w:rFonts w:cs="Arial"/>
          <w:b w:val="0"/>
          <w:bCs w:val="0"/>
          <w:i/>
          <w:u w:val="none"/>
        </w:rPr>
        <w:t xml:space="preserve"> Monthly Value Factor</w:t>
      </w:r>
      <w:r w:rsidRPr="00A213B8">
        <w:rPr>
          <w:rFonts w:cs="Arial"/>
          <w:b w:val="0"/>
          <w:bCs w:val="0"/>
          <w:u w:val="none"/>
        </w:rPr>
        <w:t>.</w:t>
      </w:r>
    </w:p>
    <w:p w:rsidRPr="00A213B8" w:rsidR="002D54C4" w:rsidP="00261AEB" w:rsidRDefault="002D54C4" w14:paraId="161954EE" w14:textId="13EB7470">
      <w:pPr>
        <w:pStyle w:val="Heading3"/>
        <w:keepNext w:val="0"/>
        <w:keepLines w:val="0"/>
        <w:widowControl w:val="0"/>
        <w:spacing w:before="120"/>
        <w:rPr>
          <w:rFonts w:cs="Arial"/>
        </w:rPr>
      </w:pPr>
      <w:r w:rsidRPr="00A213B8">
        <w:rPr>
          <w:rFonts w:cs="Arial"/>
        </w:rPr>
        <w:t>MW</w:t>
      </w:r>
      <w:r w:rsidRPr="00A213B8">
        <w:rPr>
          <w:rFonts w:cs="Arial"/>
          <w:u w:val="none"/>
        </w:rPr>
        <w:t xml:space="preserve">: </w:t>
      </w:r>
      <w:r w:rsidRPr="00A213B8">
        <w:rPr>
          <w:rFonts w:cs="Arial"/>
          <w:b w:val="0"/>
          <w:bCs w:val="0"/>
          <w:u w:val="none"/>
        </w:rPr>
        <w:t>Megawatt</w:t>
      </w:r>
      <w:r w:rsidRPr="00A213B8" w:rsidR="009075BD">
        <w:rPr>
          <w:rFonts w:cs="Arial"/>
          <w:b w:val="0"/>
          <w:bCs w:val="0"/>
          <w:u w:val="none"/>
        </w:rPr>
        <w:t xml:space="preserve"> alternating current</w:t>
      </w:r>
      <w:r w:rsidRPr="00A213B8">
        <w:rPr>
          <w:rFonts w:cs="Arial"/>
          <w:b w:val="0"/>
          <w:bCs w:val="0"/>
          <w:u w:val="none"/>
        </w:rPr>
        <w:t xml:space="preserve"> (AC).</w:t>
      </w:r>
    </w:p>
    <w:p w:rsidRPr="00A213B8" w:rsidR="002D54C4" w:rsidP="00261AEB" w:rsidRDefault="002D54C4" w14:paraId="64DBFA83" w14:textId="77777777">
      <w:pPr>
        <w:pStyle w:val="Heading3"/>
        <w:keepNext w:val="0"/>
        <w:keepLines w:val="0"/>
        <w:widowControl w:val="0"/>
        <w:spacing w:before="120"/>
        <w:rPr>
          <w:rFonts w:cs="Arial"/>
        </w:rPr>
      </w:pPr>
      <w:r w:rsidRPr="00A213B8">
        <w:rPr>
          <w:rFonts w:cs="Arial"/>
        </w:rPr>
        <w:t>MWh</w:t>
      </w:r>
      <w:r w:rsidRPr="00A213B8">
        <w:rPr>
          <w:rFonts w:cs="Arial"/>
          <w:u w:val="none"/>
        </w:rPr>
        <w:t xml:space="preserve">: </w:t>
      </w:r>
      <w:r w:rsidRPr="00A213B8">
        <w:rPr>
          <w:rFonts w:cs="Arial"/>
          <w:b w:val="0"/>
          <w:bCs w:val="0"/>
          <w:u w:val="none"/>
        </w:rPr>
        <w:t>Megawatt-hour (AC).</w:t>
      </w:r>
    </w:p>
    <w:p w:rsidRPr="00261AEB" w:rsidR="002D54C4" w:rsidP="00261AEB" w:rsidRDefault="002D54C4" w14:paraId="66265B70" w14:textId="77777777">
      <w:pPr>
        <w:pStyle w:val="Heading3"/>
        <w:keepNext w:val="0"/>
        <w:keepLines w:val="0"/>
        <w:widowControl w:val="0"/>
        <w:spacing w:before="120"/>
        <w:rPr>
          <w:b w:val="0"/>
          <w:u w:val="none"/>
        </w:rPr>
      </w:pPr>
      <w:r w:rsidRPr="00A213B8">
        <w:rPr>
          <w:rFonts w:cs="Arial"/>
        </w:rPr>
        <w:t>NERC</w:t>
      </w:r>
      <w:r w:rsidRPr="00A213B8">
        <w:rPr>
          <w:rFonts w:cs="Arial"/>
          <w:u w:val="none"/>
        </w:rPr>
        <w:t xml:space="preserve">: </w:t>
      </w:r>
      <w:r w:rsidRPr="00A213B8">
        <w:rPr>
          <w:rFonts w:cs="Arial"/>
          <w:b w:val="0"/>
          <w:bCs w:val="0"/>
          <w:u w:val="none"/>
        </w:rPr>
        <w:t>The North American Electric Reliability Corporation, including any successor, and subdivisions.</w:t>
      </w:r>
    </w:p>
    <w:p w:rsidRPr="00A213B8" w:rsidR="00846ABB" w:rsidP="000432D0" w:rsidRDefault="00846ABB" w14:paraId="60A70A57" w14:textId="20D2CB9A">
      <w:pPr>
        <w:spacing w:before="120" w:after="120" w:line="240" w:lineRule="auto"/>
        <w:rPr>
          <w:rFonts w:ascii="Arial" w:hAnsi="Arial" w:cs="Arial"/>
          <w:sz w:val="20"/>
          <w:szCs w:val="20"/>
        </w:rPr>
      </w:pPr>
      <w:r w:rsidRPr="00A213B8">
        <w:rPr>
          <w:rFonts w:ascii="Arial" w:hAnsi="Arial" w:cs="Arial"/>
          <w:b/>
          <w:bCs/>
          <w:sz w:val="20"/>
          <w:szCs w:val="20"/>
          <w:u w:val="single"/>
        </w:rPr>
        <w:t>Non-Defaulting Party</w:t>
      </w:r>
      <w:r w:rsidRPr="000432D0">
        <w:rPr>
          <w:rFonts w:ascii="Arial" w:hAnsi="Arial" w:cs="Arial"/>
          <w:b/>
          <w:bCs/>
          <w:sz w:val="20"/>
          <w:szCs w:val="20"/>
        </w:rPr>
        <w:t>:</w:t>
      </w:r>
      <w:r w:rsidRPr="00A213B8">
        <w:rPr>
          <w:rFonts w:ascii="Arial" w:hAnsi="Arial" w:cs="Arial"/>
          <w:sz w:val="20"/>
          <w:szCs w:val="20"/>
        </w:rPr>
        <w:t xml:space="preserve"> As defined in Section 16.3.1 (</w:t>
      </w:r>
      <w:r w:rsidRPr="00A213B8">
        <w:rPr>
          <w:rFonts w:ascii="Arial" w:hAnsi="Arial" w:cs="Arial"/>
          <w:i/>
          <w:iCs/>
          <w:sz w:val="20"/>
          <w:szCs w:val="20"/>
        </w:rPr>
        <w:t>Remedies for Event of Default</w:t>
      </w:r>
      <w:r w:rsidRPr="00A213B8">
        <w:rPr>
          <w:rFonts w:ascii="Arial" w:hAnsi="Arial" w:cs="Arial"/>
          <w:sz w:val="20"/>
          <w:szCs w:val="20"/>
        </w:rPr>
        <w:t>).</w:t>
      </w:r>
    </w:p>
    <w:p w:rsidRPr="00A213B8" w:rsidR="001126F6" w:rsidP="000432D0" w:rsidRDefault="001126F6" w14:paraId="614815CC" w14:textId="32F2A92D">
      <w:pPr>
        <w:spacing w:before="120" w:after="120" w:line="240" w:lineRule="auto"/>
        <w:rPr>
          <w:rFonts w:ascii="Arial" w:hAnsi="Arial" w:cs="Arial"/>
          <w:sz w:val="20"/>
          <w:szCs w:val="20"/>
        </w:rPr>
      </w:pPr>
      <w:r w:rsidRPr="00A213B8">
        <w:rPr>
          <w:rFonts w:ascii="Arial" w:hAnsi="Arial" w:cs="Arial"/>
          <w:b/>
          <w:bCs/>
          <w:sz w:val="20"/>
          <w:szCs w:val="20"/>
          <w:u w:val="single"/>
        </w:rPr>
        <w:lastRenderedPageBreak/>
        <w:t>Notice of Dispute</w:t>
      </w:r>
      <w:r w:rsidRPr="000432D0">
        <w:rPr>
          <w:rFonts w:ascii="Arial" w:hAnsi="Arial" w:cs="Arial"/>
          <w:b/>
          <w:bCs/>
          <w:sz w:val="20"/>
          <w:szCs w:val="20"/>
        </w:rPr>
        <w:t>:</w:t>
      </w:r>
      <w:r w:rsidRPr="000432D0">
        <w:rPr>
          <w:rFonts w:ascii="Arial" w:hAnsi="Arial" w:cs="Arial"/>
          <w:sz w:val="20"/>
          <w:szCs w:val="20"/>
        </w:rPr>
        <w:t xml:space="preserve"> </w:t>
      </w:r>
      <w:r w:rsidRPr="00A213B8">
        <w:rPr>
          <w:rFonts w:ascii="Arial" w:hAnsi="Arial" w:cs="Arial"/>
          <w:sz w:val="20"/>
          <w:szCs w:val="20"/>
        </w:rPr>
        <w:t>As defined in Section 19.1 (</w:t>
      </w:r>
      <w:r w:rsidRPr="00A213B8">
        <w:rPr>
          <w:rFonts w:ascii="Arial" w:hAnsi="Arial" w:cs="Arial"/>
          <w:i/>
          <w:iCs/>
          <w:sz w:val="20"/>
          <w:szCs w:val="20"/>
        </w:rPr>
        <w:t>Notice of Dispute; Dispute Resolution Process</w:t>
      </w:r>
      <w:r w:rsidRPr="00A213B8">
        <w:rPr>
          <w:rFonts w:ascii="Arial" w:hAnsi="Arial" w:cs="Arial"/>
          <w:sz w:val="20"/>
          <w:szCs w:val="20"/>
        </w:rPr>
        <w:t>).</w:t>
      </w:r>
    </w:p>
    <w:p w:rsidRPr="00A213B8" w:rsidR="00690DE6" w:rsidP="000432D0" w:rsidRDefault="00690DE6" w14:paraId="17E785A0" w14:textId="19C7DB81">
      <w:pPr>
        <w:spacing w:before="120" w:after="120" w:line="240" w:lineRule="auto"/>
        <w:rPr>
          <w:rFonts w:ascii="Arial" w:hAnsi="Arial" w:cs="Arial"/>
          <w:sz w:val="20"/>
          <w:szCs w:val="20"/>
        </w:rPr>
      </w:pPr>
      <w:r w:rsidRPr="00A213B8">
        <w:rPr>
          <w:rFonts w:ascii="Arial" w:hAnsi="Arial" w:cs="Arial"/>
          <w:b/>
          <w:bCs/>
          <w:sz w:val="20"/>
          <w:szCs w:val="20"/>
          <w:u w:val="single"/>
        </w:rPr>
        <w:t>NOV</w:t>
      </w:r>
      <w:r w:rsidRPr="000432D0">
        <w:rPr>
          <w:rFonts w:ascii="Arial" w:hAnsi="Arial" w:cs="Arial"/>
          <w:b/>
          <w:bCs/>
          <w:sz w:val="20"/>
          <w:szCs w:val="20"/>
        </w:rPr>
        <w:t>:</w:t>
      </w:r>
      <w:r w:rsidRPr="000432D0">
        <w:rPr>
          <w:rFonts w:ascii="Arial" w:hAnsi="Arial" w:cs="Arial"/>
          <w:sz w:val="20"/>
          <w:szCs w:val="20"/>
        </w:rPr>
        <w:t xml:space="preserve"> </w:t>
      </w:r>
      <w:r w:rsidRPr="00A213B8">
        <w:rPr>
          <w:rFonts w:ascii="Arial" w:hAnsi="Arial" w:cs="Arial"/>
          <w:sz w:val="20"/>
          <w:szCs w:val="20"/>
        </w:rPr>
        <w:t>As defined in Section 17.6.1 (</w:t>
      </w:r>
      <w:r w:rsidRPr="00A213B8">
        <w:rPr>
          <w:rFonts w:ascii="Arial" w:hAnsi="Arial" w:cs="Arial"/>
          <w:i/>
          <w:iCs/>
          <w:sz w:val="20"/>
          <w:szCs w:val="20"/>
        </w:rPr>
        <w:t>Notices of Violations</w:t>
      </w:r>
      <w:r w:rsidRPr="00A213B8">
        <w:rPr>
          <w:rFonts w:ascii="Arial" w:hAnsi="Arial" w:cs="Arial"/>
          <w:sz w:val="20"/>
          <w:szCs w:val="20"/>
        </w:rPr>
        <w:t>).</w:t>
      </w:r>
    </w:p>
    <w:p w:rsidRPr="00A213B8" w:rsidR="00690DE6" w:rsidP="000432D0" w:rsidRDefault="00690DE6" w14:paraId="2729B8CC" w14:textId="36A20139">
      <w:pPr>
        <w:spacing w:before="120" w:after="120" w:line="240" w:lineRule="auto"/>
        <w:rPr>
          <w:rFonts w:ascii="Arial" w:hAnsi="Arial" w:cs="Arial"/>
          <w:sz w:val="20"/>
          <w:szCs w:val="20"/>
        </w:rPr>
      </w:pPr>
      <w:r w:rsidRPr="00A213B8">
        <w:rPr>
          <w:rFonts w:ascii="Arial" w:hAnsi="Arial" w:cs="Arial"/>
          <w:b/>
          <w:bCs/>
          <w:sz w:val="20"/>
          <w:szCs w:val="20"/>
          <w:u w:val="single"/>
        </w:rPr>
        <w:t>NOV Remedy Plan</w:t>
      </w:r>
      <w:r w:rsidRPr="000432D0">
        <w:rPr>
          <w:rFonts w:ascii="Arial" w:hAnsi="Arial" w:cs="Arial"/>
          <w:b/>
          <w:bCs/>
          <w:sz w:val="20"/>
          <w:szCs w:val="20"/>
        </w:rPr>
        <w:t>:</w:t>
      </w:r>
      <w:r w:rsidRPr="00A213B8">
        <w:rPr>
          <w:rFonts w:ascii="Arial" w:hAnsi="Arial" w:cs="Arial"/>
          <w:sz w:val="20"/>
          <w:szCs w:val="20"/>
        </w:rPr>
        <w:t xml:space="preserve"> As defined in Section 17.6.2 (</w:t>
      </w:r>
      <w:r w:rsidRPr="00A213B8">
        <w:rPr>
          <w:rFonts w:ascii="Arial" w:hAnsi="Arial" w:cs="Arial"/>
          <w:i/>
          <w:iCs/>
          <w:sz w:val="20"/>
          <w:szCs w:val="20"/>
        </w:rPr>
        <w:t>NOV Remedy Plan</w:t>
      </w:r>
      <w:r w:rsidRPr="00A213B8">
        <w:rPr>
          <w:rFonts w:ascii="Arial" w:hAnsi="Arial" w:cs="Arial"/>
          <w:sz w:val="20"/>
          <w:szCs w:val="20"/>
        </w:rPr>
        <w:t>).</w:t>
      </w:r>
    </w:p>
    <w:p w:rsidRPr="00261AEB" w:rsidR="002D54C4" w:rsidP="00261AEB" w:rsidRDefault="002D54C4" w14:paraId="688ECE72" w14:textId="77777777">
      <w:pPr>
        <w:pStyle w:val="Heading3"/>
        <w:keepNext w:val="0"/>
        <w:keepLines w:val="0"/>
        <w:widowControl w:val="0"/>
        <w:spacing w:before="120"/>
        <w:rPr>
          <w:b w:val="0"/>
          <w:u w:val="none"/>
        </w:rPr>
      </w:pPr>
      <w:r w:rsidRPr="00A213B8">
        <w:rPr>
          <w:rFonts w:cs="Arial"/>
        </w:rPr>
        <w:t>Off Peak Season</w:t>
      </w:r>
      <w:r w:rsidRPr="00A213B8">
        <w:rPr>
          <w:rFonts w:cs="Arial"/>
          <w:u w:val="none"/>
        </w:rPr>
        <w:t xml:space="preserve">: </w:t>
      </w:r>
      <w:r w:rsidRPr="00A213B8">
        <w:rPr>
          <w:rFonts w:cs="Arial"/>
          <w:b w:val="0"/>
          <w:u w:val="none"/>
        </w:rPr>
        <w:t>The Months of March, April, May, September, October, and November.</w:t>
      </w:r>
    </w:p>
    <w:p w:rsidRPr="00A213B8" w:rsidR="002D54C4" w:rsidP="00261AEB" w:rsidRDefault="002D54C4" w14:paraId="4992E7CB" w14:textId="4B753BFE">
      <w:pPr>
        <w:pStyle w:val="Heading3"/>
        <w:keepNext w:val="0"/>
        <w:keepLines w:val="0"/>
        <w:widowControl w:val="0"/>
        <w:spacing w:before="120"/>
        <w:rPr>
          <w:rFonts w:cs="Arial"/>
        </w:rPr>
      </w:pPr>
      <w:r w:rsidRPr="00A213B8">
        <w:rPr>
          <w:rFonts w:cs="Arial"/>
        </w:rPr>
        <w:t>On Peak Season</w:t>
      </w:r>
      <w:r w:rsidRPr="00A213B8">
        <w:rPr>
          <w:rFonts w:cs="Arial"/>
          <w:u w:val="none"/>
        </w:rPr>
        <w:t xml:space="preserve">: </w:t>
      </w:r>
      <w:r w:rsidRPr="00A213B8">
        <w:rPr>
          <w:rFonts w:cs="Arial"/>
          <w:b w:val="0"/>
          <w:u w:val="none"/>
        </w:rPr>
        <w:t>The Months of January, February, June, July, August, and December.</w:t>
      </w:r>
    </w:p>
    <w:p w:rsidRPr="00A213B8" w:rsidR="002D54C4" w:rsidP="00261AEB" w:rsidRDefault="002D54C4" w14:paraId="23D344AB" w14:textId="7B3B4A78">
      <w:pPr>
        <w:pStyle w:val="Heading3"/>
        <w:keepNext w:val="0"/>
        <w:keepLines w:val="0"/>
        <w:widowControl w:val="0"/>
        <w:spacing w:before="120"/>
        <w:rPr>
          <w:rFonts w:cs="Arial"/>
          <w:u w:val="none"/>
        </w:rPr>
      </w:pPr>
      <w:r w:rsidRPr="00A213B8">
        <w:rPr>
          <w:rFonts w:cs="Arial"/>
        </w:rPr>
        <w:t>Operating Committee</w:t>
      </w:r>
      <w:r w:rsidRPr="00A213B8">
        <w:rPr>
          <w:rFonts w:cs="Arial"/>
          <w:u w:val="none"/>
        </w:rPr>
        <w:t xml:space="preserve">: </w:t>
      </w:r>
      <w:r w:rsidRPr="00A213B8">
        <w:rPr>
          <w:rFonts w:cs="Arial"/>
          <w:b w:val="0"/>
          <w:u w:val="none"/>
        </w:rPr>
        <w:t xml:space="preserve">The committee established </w:t>
      </w:r>
      <w:r w:rsidRPr="00A213B8" w:rsidR="0083344F">
        <w:rPr>
          <w:rFonts w:cs="Arial"/>
          <w:b w:val="0"/>
          <w:u w:val="none"/>
        </w:rPr>
        <w:t>in accordance with</w:t>
      </w:r>
      <w:r w:rsidRPr="00A213B8">
        <w:rPr>
          <w:rFonts w:cs="Arial"/>
          <w:b w:val="0"/>
          <w:u w:val="none"/>
        </w:rPr>
        <w:t xml:space="preserve"> Section 10.7 (</w:t>
      </w:r>
      <w:r w:rsidRPr="00A213B8">
        <w:rPr>
          <w:rFonts w:cs="Arial"/>
          <w:b w:val="0"/>
          <w:i/>
          <w:u w:val="none"/>
        </w:rPr>
        <w:t>Operating Committee</w:t>
      </w:r>
      <w:r w:rsidRPr="00A213B8">
        <w:rPr>
          <w:rFonts w:cs="Arial"/>
          <w:b w:val="0"/>
          <w:u w:val="none"/>
        </w:rPr>
        <w:t>).</w:t>
      </w:r>
    </w:p>
    <w:p w:rsidRPr="00A213B8" w:rsidR="002D54C4" w:rsidP="00261AEB" w:rsidRDefault="002D54C4" w14:paraId="7AFE1980" w14:textId="5836D133">
      <w:pPr>
        <w:pStyle w:val="Heading3"/>
        <w:keepNext w:val="0"/>
        <w:keepLines w:val="0"/>
        <w:widowControl w:val="0"/>
        <w:spacing w:before="120"/>
        <w:rPr>
          <w:rFonts w:cs="Arial"/>
        </w:rPr>
      </w:pPr>
      <w:r w:rsidRPr="00A213B8">
        <w:rPr>
          <w:rFonts w:cs="Arial"/>
        </w:rPr>
        <w:t>Operating High Limit</w:t>
      </w:r>
      <w:r w:rsidRPr="00A213B8">
        <w:rPr>
          <w:rFonts w:cs="Arial"/>
          <w:u w:val="none"/>
        </w:rPr>
        <w:t xml:space="preserve">: </w:t>
      </w:r>
      <w:r w:rsidRPr="00A213B8">
        <w:rPr>
          <w:rFonts w:cs="Arial"/>
          <w:b w:val="0"/>
          <w:u w:val="none"/>
        </w:rPr>
        <w:t xml:space="preserve">For AGC purposes, the current maximum generating capacity of the Renewable Resource or the current maximum discharging capability of the </w:t>
      </w:r>
      <w:r w:rsidRPr="00A213B8" w:rsidR="00680C34">
        <w:rPr>
          <w:rFonts w:cs="Arial"/>
          <w:b w:val="0"/>
          <w:u w:val="none"/>
        </w:rPr>
        <w:t>B</w:t>
      </w:r>
      <w:r w:rsidRPr="00A213B8">
        <w:rPr>
          <w:rFonts w:cs="Arial"/>
          <w:b w:val="0"/>
          <w:u w:val="none"/>
        </w:rPr>
        <w:t>ESS, adjusted for any equipment limitation or outage that could limit the maximum output</w:t>
      </w:r>
      <w:r w:rsidRPr="00A213B8" w:rsidR="009E26C7">
        <w:rPr>
          <w:rFonts w:cs="Arial"/>
          <w:b w:val="0"/>
          <w:u w:val="none"/>
        </w:rPr>
        <w:t xml:space="preserve">, as further described in Exhibit </w:t>
      </w:r>
      <w:r w:rsidRPr="00A213B8" w:rsidR="00AC2119">
        <w:rPr>
          <w:rFonts w:cs="Arial"/>
          <w:b w:val="0"/>
          <w:u w:val="none"/>
        </w:rPr>
        <w:t>G</w:t>
      </w:r>
      <w:r w:rsidRPr="00A213B8" w:rsidR="009E26C7">
        <w:rPr>
          <w:rFonts w:cs="Arial"/>
          <w:b w:val="0"/>
          <w:u w:val="none"/>
        </w:rPr>
        <w:t xml:space="preserve"> (</w:t>
      </w:r>
      <w:r w:rsidRPr="00A213B8" w:rsidR="00B36519">
        <w:rPr>
          <w:rFonts w:cs="Arial"/>
          <w:b w:val="0"/>
          <w:i/>
          <w:u w:val="none"/>
        </w:rPr>
        <w:t>AGC and Facility Minimum Data Requirements</w:t>
      </w:r>
      <w:r w:rsidRPr="00A213B8" w:rsidR="009E26C7">
        <w:rPr>
          <w:rFonts w:cs="Arial"/>
          <w:b w:val="0"/>
          <w:u w:val="none"/>
        </w:rPr>
        <w:t>)</w:t>
      </w:r>
      <w:r w:rsidRPr="00A213B8">
        <w:rPr>
          <w:rFonts w:cs="Arial"/>
          <w:b w:val="0"/>
          <w:u w:val="none"/>
        </w:rPr>
        <w:t>.</w:t>
      </w:r>
      <w:r w:rsidRPr="00A213B8">
        <w:rPr>
          <w:rFonts w:cs="Arial"/>
        </w:rPr>
        <w:t xml:space="preserve"> </w:t>
      </w:r>
    </w:p>
    <w:p w:rsidRPr="00A213B8" w:rsidR="002D54C4" w:rsidP="00261AEB" w:rsidRDefault="002D54C4" w14:paraId="01254B59" w14:textId="4A04843E">
      <w:pPr>
        <w:pStyle w:val="Heading3"/>
        <w:keepNext w:val="0"/>
        <w:keepLines w:val="0"/>
        <w:widowControl w:val="0"/>
        <w:spacing w:before="120"/>
        <w:rPr>
          <w:rFonts w:cs="Arial"/>
        </w:rPr>
      </w:pPr>
      <w:r w:rsidRPr="00A213B8">
        <w:rPr>
          <w:rStyle w:val="ui-provider"/>
          <w:rFonts w:cs="Arial"/>
        </w:rPr>
        <w:t>Operating Low Limit</w:t>
      </w:r>
      <w:r w:rsidRPr="00A213B8">
        <w:rPr>
          <w:rStyle w:val="ui-provider"/>
          <w:rFonts w:cs="Arial"/>
          <w:u w:val="none"/>
        </w:rPr>
        <w:t xml:space="preserve">: </w:t>
      </w:r>
      <w:r w:rsidRPr="00A213B8">
        <w:rPr>
          <w:rStyle w:val="ui-provider"/>
          <w:rFonts w:cs="Arial"/>
          <w:b w:val="0"/>
          <w:u w:val="none"/>
        </w:rPr>
        <w:t xml:space="preserve">For AGC purposes, the current minimum generating capacity of the Renewable Resource or the current maximum charging capability of the </w:t>
      </w:r>
      <w:r w:rsidRPr="00A213B8" w:rsidR="00680C34">
        <w:rPr>
          <w:rStyle w:val="ui-provider"/>
          <w:rFonts w:cs="Arial"/>
          <w:b w:val="0"/>
          <w:u w:val="none"/>
        </w:rPr>
        <w:t>B</w:t>
      </w:r>
      <w:r w:rsidRPr="00A213B8">
        <w:rPr>
          <w:rStyle w:val="ui-provider"/>
          <w:rFonts w:cs="Arial"/>
          <w:b w:val="0"/>
          <w:u w:val="none"/>
        </w:rPr>
        <w:t>ESS, adjusted for any equipment limitation or outage that could limit charging capability</w:t>
      </w:r>
      <w:r w:rsidRPr="00A213B8" w:rsidR="009E26C7">
        <w:rPr>
          <w:rFonts w:cs="Arial"/>
          <w:b w:val="0"/>
          <w:u w:val="none"/>
        </w:rPr>
        <w:t xml:space="preserve">, as further described in Exhibit </w:t>
      </w:r>
      <w:r w:rsidRPr="00A213B8" w:rsidR="002B4FC8">
        <w:rPr>
          <w:rFonts w:cs="Arial"/>
          <w:b w:val="0"/>
          <w:u w:val="none"/>
        </w:rPr>
        <w:t>G</w:t>
      </w:r>
      <w:r w:rsidRPr="00A213B8" w:rsidR="009E26C7">
        <w:rPr>
          <w:rFonts w:cs="Arial"/>
          <w:b w:val="0"/>
          <w:u w:val="none"/>
        </w:rPr>
        <w:t xml:space="preserve"> (</w:t>
      </w:r>
      <w:r w:rsidRPr="00A213B8" w:rsidR="00B36519">
        <w:rPr>
          <w:rFonts w:cs="Arial"/>
          <w:b w:val="0"/>
          <w:i/>
          <w:u w:val="none"/>
        </w:rPr>
        <w:t>AGC and Facility Minimum Data Requirements</w:t>
      </w:r>
      <w:r w:rsidRPr="00A213B8" w:rsidR="009E26C7">
        <w:rPr>
          <w:rFonts w:cs="Arial"/>
          <w:b w:val="0"/>
          <w:u w:val="none"/>
        </w:rPr>
        <w:t>)</w:t>
      </w:r>
      <w:r w:rsidRPr="00A213B8">
        <w:rPr>
          <w:rStyle w:val="ui-provider"/>
          <w:rFonts w:cs="Arial"/>
          <w:b w:val="0"/>
          <w:u w:val="none"/>
        </w:rPr>
        <w:t>. </w:t>
      </w:r>
    </w:p>
    <w:p w:rsidRPr="00A213B8" w:rsidR="002D54C4" w:rsidP="00261AEB" w:rsidRDefault="002D54C4" w14:paraId="0EC854F3" w14:textId="2FF1E44F">
      <w:pPr>
        <w:pStyle w:val="Heading3"/>
        <w:keepNext w:val="0"/>
        <w:keepLines w:val="0"/>
        <w:widowControl w:val="0"/>
        <w:spacing w:before="120"/>
        <w:rPr>
          <w:rFonts w:cs="Arial"/>
        </w:rPr>
      </w:pPr>
      <w:r w:rsidRPr="00A213B8">
        <w:rPr>
          <w:rFonts w:cs="Arial"/>
        </w:rPr>
        <w:t>Operating Procedures</w:t>
      </w:r>
      <w:r w:rsidRPr="00A213B8">
        <w:rPr>
          <w:rFonts w:cs="Arial"/>
          <w:u w:val="none"/>
        </w:rPr>
        <w:t xml:space="preserve">: </w:t>
      </w:r>
      <w:r w:rsidRPr="00A213B8">
        <w:rPr>
          <w:rFonts w:cs="Arial"/>
          <w:b w:val="0"/>
          <w:u w:val="none"/>
        </w:rPr>
        <w:t>Procedures developed by the Parties in accordance with Section 10.1.2 (</w:t>
      </w:r>
      <w:r w:rsidRPr="00A213B8" w:rsidR="00D51C25">
        <w:rPr>
          <w:rFonts w:cs="Arial"/>
          <w:b w:val="0"/>
          <w:i/>
          <w:u w:val="none"/>
        </w:rPr>
        <w:t>Written</w:t>
      </w:r>
      <w:r w:rsidRPr="00A213B8" w:rsidR="00D51C25">
        <w:rPr>
          <w:rFonts w:cs="Arial"/>
          <w:b w:val="0"/>
          <w:u w:val="none"/>
        </w:rPr>
        <w:t xml:space="preserve"> </w:t>
      </w:r>
      <w:r w:rsidRPr="00A213B8">
        <w:rPr>
          <w:rFonts w:cs="Arial"/>
          <w:b w:val="0"/>
          <w:i/>
          <w:u w:val="none"/>
        </w:rPr>
        <w:t>Operating Procedures</w:t>
      </w:r>
      <w:r w:rsidRPr="00A213B8">
        <w:rPr>
          <w:rFonts w:cs="Arial"/>
          <w:b w:val="0"/>
          <w:u w:val="none"/>
        </w:rPr>
        <w:t>).</w:t>
      </w:r>
    </w:p>
    <w:p w:rsidR="002D54C4" w:rsidP="00261AEB" w:rsidRDefault="002D54C4" w14:paraId="366FA9EC" w14:textId="77777777">
      <w:pPr>
        <w:pStyle w:val="Heading3"/>
        <w:keepNext w:val="0"/>
        <w:keepLines w:val="0"/>
        <w:widowControl w:val="0"/>
        <w:spacing w:before="120"/>
        <w:rPr>
          <w:rFonts w:cs="Arial"/>
          <w:b w:val="0"/>
          <w:u w:val="none"/>
        </w:rPr>
      </w:pPr>
      <w:r w:rsidRPr="00A213B8">
        <w:rPr>
          <w:rFonts w:cs="Arial"/>
        </w:rPr>
        <w:t>Operating Representatives</w:t>
      </w:r>
      <w:r w:rsidRPr="00A213B8">
        <w:rPr>
          <w:rFonts w:cs="Arial"/>
          <w:u w:val="none"/>
        </w:rPr>
        <w:t xml:space="preserve">: </w:t>
      </w:r>
      <w:r w:rsidRPr="00A213B8">
        <w:rPr>
          <w:rFonts w:cs="Arial"/>
          <w:b w:val="0"/>
          <w:u w:val="none"/>
        </w:rPr>
        <w:t>Those individuals appointed by each of the Parties to the Operating Committee in accordance with Section 10.7 (</w:t>
      </w:r>
      <w:r w:rsidRPr="00A213B8">
        <w:rPr>
          <w:rFonts w:cs="Arial"/>
          <w:b w:val="0"/>
          <w:i/>
          <w:u w:val="none"/>
        </w:rPr>
        <w:t>Operating Committee</w:t>
      </w:r>
      <w:r w:rsidRPr="00A213B8">
        <w:rPr>
          <w:rFonts w:cs="Arial"/>
          <w:b w:val="0"/>
          <w:u w:val="none"/>
        </w:rPr>
        <w:t>).</w:t>
      </w:r>
    </w:p>
    <w:p w:rsidRPr="003E2A99" w:rsidR="003E2A99" w:rsidP="003E2A99" w:rsidRDefault="003E2A99" w14:paraId="27323026" w14:textId="4B6DDEF2">
      <w:r w:rsidRPr="00341121">
        <w:rPr>
          <w:rFonts w:ascii="Arial" w:hAnsi="Arial" w:cs="Arial"/>
          <w:b/>
          <w:bCs/>
          <w:sz w:val="20"/>
          <w:szCs w:val="20"/>
          <w:u w:val="single"/>
        </w:rPr>
        <w:t>Operational Alternatives</w:t>
      </w:r>
      <w:r w:rsidRPr="00341121">
        <w:rPr>
          <w:rFonts w:ascii="Arial" w:hAnsi="Arial" w:cs="Arial"/>
          <w:sz w:val="20"/>
          <w:szCs w:val="20"/>
        </w:rPr>
        <w:t>: Proposed changes to the operation of the Facility that avoid or reduce Change of Law Expenditures.</w:t>
      </w:r>
    </w:p>
    <w:p w:rsidRPr="00261AEB" w:rsidR="002D54C4" w:rsidP="00261AEB" w:rsidRDefault="002D54C4" w14:paraId="74D69830" w14:textId="00717082">
      <w:pPr>
        <w:pStyle w:val="Heading3"/>
        <w:keepNext w:val="0"/>
        <w:keepLines w:val="0"/>
        <w:widowControl w:val="0"/>
        <w:spacing w:before="120"/>
        <w:rPr>
          <w:b w:val="0"/>
          <w:u w:val="none"/>
        </w:rPr>
      </w:pPr>
      <w:r w:rsidRPr="00A213B8">
        <w:rPr>
          <w:rFonts w:cs="Arial"/>
        </w:rPr>
        <w:t>Party or Parties</w:t>
      </w:r>
      <w:r w:rsidRPr="00A213B8">
        <w:rPr>
          <w:rFonts w:cs="Arial"/>
          <w:u w:val="none"/>
        </w:rPr>
        <w:t xml:space="preserve">: </w:t>
      </w:r>
      <w:r w:rsidRPr="00A213B8">
        <w:rPr>
          <w:rFonts w:cs="Arial"/>
          <w:b w:val="0"/>
          <w:u w:val="none"/>
        </w:rPr>
        <w:t>Either GPC</w:t>
      </w:r>
      <w:r w:rsidRPr="00A213B8" w:rsidDel="005A2092">
        <w:rPr>
          <w:rFonts w:cs="Arial"/>
          <w:b w:val="0"/>
          <w:u w:val="none"/>
        </w:rPr>
        <w:t xml:space="preserve"> </w:t>
      </w:r>
      <w:r w:rsidRPr="00A213B8">
        <w:rPr>
          <w:rFonts w:cs="Arial"/>
          <w:b w:val="0"/>
          <w:u w:val="none"/>
        </w:rPr>
        <w:t>or Seller or both</w:t>
      </w:r>
      <w:r w:rsidRPr="00A213B8" w:rsidR="00D255B5">
        <w:rPr>
          <w:rFonts w:cs="Arial"/>
          <w:b w:val="0"/>
          <w:u w:val="none"/>
        </w:rPr>
        <w:t>, as applicable</w:t>
      </w:r>
      <w:r w:rsidRPr="00A213B8">
        <w:rPr>
          <w:rFonts w:cs="Arial"/>
          <w:b w:val="0"/>
          <w:u w:val="none"/>
        </w:rPr>
        <w:t>.</w:t>
      </w:r>
    </w:p>
    <w:p w:rsidRPr="00A213B8" w:rsidR="00E2267D" w:rsidP="000432D0" w:rsidRDefault="00E2267D" w14:paraId="3AB2F669" w14:textId="7B9FD17C">
      <w:pPr>
        <w:spacing w:before="120" w:after="120" w:line="240" w:lineRule="auto"/>
        <w:rPr>
          <w:rFonts w:ascii="Arial" w:hAnsi="Arial" w:cs="Arial"/>
          <w:sz w:val="20"/>
          <w:szCs w:val="20"/>
        </w:rPr>
      </w:pPr>
      <w:r w:rsidRPr="00A213B8">
        <w:rPr>
          <w:rFonts w:ascii="Arial" w:hAnsi="Arial" w:cs="Arial"/>
          <w:b/>
          <w:bCs/>
          <w:sz w:val="20"/>
          <w:szCs w:val="20"/>
          <w:u w:val="single"/>
        </w:rPr>
        <w:t>Party</w:t>
      </w:r>
      <w:r w:rsidRPr="00A213B8" w:rsidR="006A140E">
        <w:rPr>
          <w:rFonts w:ascii="Arial" w:hAnsi="Arial" w:cs="Arial"/>
          <w:b/>
          <w:bCs/>
          <w:sz w:val="20"/>
          <w:szCs w:val="20"/>
          <w:u w:val="single"/>
        </w:rPr>
        <w:t>-Appointed Arbitrators</w:t>
      </w:r>
      <w:r w:rsidRPr="000432D0" w:rsidR="006A140E">
        <w:rPr>
          <w:rFonts w:ascii="Arial" w:hAnsi="Arial" w:cs="Arial"/>
          <w:b/>
          <w:bCs/>
          <w:sz w:val="20"/>
          <w:szCs w:val="20"/>
        </w:rPr>
        <w:t>:</w:t>
      </w:r>
      <w:r w:rsidRPr="00A213B8" w:rsidR="006A140E">
        <w:rPr>
          <w:rFonts w:ascii="Arial" w:hAnsi="Arial" w:cs="Arial"/>
          <w:sz w:val="20"/>
          <w:szCs w:val="20"/>
        </w:rPr>
        <w:t xml:space="preserve"> </w:t>
      </w:r>
      <w:r w:rsidRPr="00A213B8" w:rsidR="00A14A29">
        <w:rPr>
          <w:rFonts w:ascii="Arial" w:hAnsi="Arial" w:cs="Arial"/>
          <w:sz w:val="20"/>
          <w:szCs w:val="20"/>
        </w:rPr>
        <w:t>As defined in Section 19.3.2</w:t>
      </w:r>
      <w:r w:rsidRPr="00A213B8" w:rsidR="003047C1">
        <w:rPr>
          <w:rFonts w:ascii="Arial" w:hAnsi="Arial" w:cs="Arial"/>
          <w:sz w:val="20"/>
          <w:szCs w:val="20"/>
        </w:rPr>
        <w:t>(i)</w:t>
      </w:r>
      <w:r w:rsidRPr="00A213B8" w:rsidR="00A14A29">
        <w:rPr>
          <w:rFonts w:ascii="Arial" w:hAnsi="Arial" w:cs="Arial"/>
          <w:sz w:val="20"/>
          <w:szCs w:val="20"/>
        </w:rPr>
        <w:t xml:space="preserve"> (</w:t>
      </w:r>
      <w:r w:rsidRPr="00A213B8" w:rsidR="00A14A29">
        <w:rPr>
          <w:rFonts w:ascii="Arial" w:hAnsi="Arial" w:cs="Arial"/>
          <w:i/>
          <w:iCs/>
          <w:sz w:val="20"/>
          <w:szCs w:val="20"/>
        </w:rPr>
        <w:t xml:space="preserve">Initiation of Arbitration; Selection of </w:t>
      </w:r>
      <w:r w:rsidRPr="00A213B8" w:rsidR="003047C1">
        <w:rPr>
          <w:rFonts w:ascii="Arial" w:hAnsi="Arial" w:cs="Arial"/>
          <w:i/>
          <w:iCs/>
          <w:sz w:val="20"/>
          <w:szCs w:val="20"/>
        </w:rPr>
        <w:t xml:space="preserve">Party-Appointed </w:t>
      </w:r>
      <w:r w:rsidRPr="00A213B8" w:rsidR="00A14A29">
        <w:rPr>
          <w:rFonts w:ascii="Arial" w:hAnsi="Arial" w:cs="Arial"/>
          <w:i/>
          <w:iCs/>
          <w:sz w:val="20"/>
          <w:szCs w:val="20"/>
        </w:rPr>
        <w:t>Arbitrators</w:t>
      </w:r>
      <w:r w:rsidRPr="00A213B8" w:rsidR="00A14A29">
        <w:rPr>
          <w:rFonts w:ascii="Arial" w:hAnsi="Arial" w:cs="Arial"/>
          <w:sz w:val="20"/>
          <w:szCs w:val="20"/>
        </w:rPr>
        <w:t>).</w:t>
      </w:r>
    </w:p>
    <w:p w:rsidRPr="00A213B8" w:rsidR="002D54C4" w:rsidP="00261AEB" w:rsidRDefault="002D54C4" w14:paraId="018540C7" w14:textId="6996C7C1">
      <w:pPr>
        <w:pStyle w:val="Heading3"/>
        <w:keepNext w:val="0"/>
        <w:keepLines w:val="0"/>
        <w:widowControl w:val="0"/>
        <w:spacing w:before="120"/>
        <w:rPr>
          <w:rFonts w:cs="Arial"/>
          <w:b w:val="0"/>
          <w:u w:val="none"/>
        </w:rPr>
      </w:pPr>
      <w:r w:rsidRPr="00A213B8">
        <w:rPr>
          <w:rFonts w:cs="Arial"/>
        </w:rPr>
        <w:t xml:space="preserve">Performance </w:t>
      </w:r>
      <w:r w:rsidRPr="00A213B8" w:rsidR="003624B7">
        <w:rPr>
          <w:rFonts w:cs="Arial"/>
        </w:rPr>
        <w:t>Guarantees</w:t>
      </w:r>
      <w:r w:rsidRPr="00A213B8">
        <w:rPr>
          <w:rFonts w:cs="Arial"/>
          <w:u w:val="none"/>
        </w:rPr>
        <w:t xml:space="preserve">: </w:t>
      </w:r>
      <w:r w:rsidRPr="00A213B8" w:rsidR="00B859B7">
        <w:rPr>
          <w:rFonts w:cs="Arial"/>
          <w:b w:val="0"/>
          <w:u w:val="none"/>
        </w:rPr>
        <w:t>Each of the</w:t>
      </w:r>
      <w:r w:rsidRPr="00A213B8">
        <w:rPr>
          <w:rFonts w:cs="Arial"/>
          <w:b w:val="0"/>
          <w:u w:val="none"/>
        </w:rPr>
        <w:t xml:space="preserve"> </w:t>
      </w:r>
      <w:r w:rsidRPr="00A213B8" w:rsidR="00680C34">
        <w:rPr>
          <w:rFonts w:cs="Arial"/>
          <w:b w:val="0"/>
          <w:u w:val="none"/>
        </w:rPr>
        <w:t>B</w:t>
      </w:r>
      <w:r w:rsidRPr="00A213B8">
        <w:rPr>
          <w:rFonts w:cs="Arial"/>
          <w:b w:val="0"/>
          <w:u w:val="none"/>
        </w:rPr>
        <w:t xml:space="preserve">ESS </w:t>
      </w:r>
      <w:r w:rsidRPr="00A213B8" w:rsidR="00E15FB2">
        <w:rPr>
          <w:rFonts w:cs="Arial"/>
          <w:b w:val="0"/>
          <w:u w:val="none"/>
        </w:rPr>
        <w:t xml:space="preserve">and Renewable Resource </w:t>
      </w:r>
      <w:r w:rsidRPr="00A213B8" w:rsidR="00B859B7">
        <w:rPr>
          <w:rFonts w:cs="Arial"/>
          <w:b w:val="0"/>
          <w:u w:val="none"/>
        </w:rPr>
        <w:t>p</w:t>
      </w:r>
      <w:r w:rsidRPr="00A213B8">
        <w:rPr>
          <w:rFonts w:cs="Arial"/>
          <w:b w:val="0"/>
          <w:u w:val="none"/>
        </w:rPr>
        <w:t xml:space="preserve">erformance </w:t>
      </w:r>
      <w:r w:rsidRPr="00A213B8" w:rsidR="00B859B7">
        <w:rPr>
          <w:rFonts w:cs="Arial"/>
          <w:b w:val="0"/>
          <w:u w:val="none"/>
        </w:rPr>
        <w:t>g</w:t>
      </w:r>
      <w:r w:rsidRPr="00A213B8" w:rsidR="00940A29">
        <w:rPr>
          <w:rFonts w:cs="Arial"/>
          <w:b w:val="0"/>
          <w:u w:val="none"/>
        </w:rPr>
        <w:t>uarantees</w:t>
      </w:r>
      <w:r w:rsidRPr="00A213B8">
        <w:rPr>
          <w:rFonts w:cs="Arial"/>
          <w:b w:val="0"/>
          <w:u w:val="none"/>
        </w:rPr>
        <w:t xml:space="preserve"> </w:t>
      </w:r>
      <w:r w:rsidRPr="00A213B8" w:rsidR="00B859B7">
        <w:rPr>
          <w:rFonts w:cs="Arial"/>
          <w:b w:val="0"/>
          <w:u w:val="none"/>
        </w:rPr>
        <w:t>identified</w:t>
      </w:r>
      <w:r w:rsidRPr="00A213B8" w:rsidR="00CA1B6A">
        <w:rPr>
          <w:rFonts w:cs="Arial"/>
          <w:b w:val="0"/>
          <w:u w:val="none"/>
        </w:rPr>
        <w:t xml:space="preserve"> as item</w:t>
      </w:r>
      <w:r w:rsidRPr="00A213B8" w:rsidR="008806AF">
        <w:rPr>
          <w:rFonts w:cs="Arial"/>
          <w:b w:val="0"/>
          <w:u w:val="none"/>
        </w:rPr>
        <w:t>s</w:t>
      </w:r>
      <w:r w:rsidRPr="00A213B8" w:rsidR="00CA1B6A">
        <w:rPr>
          <w:rFonts w:cs="Arial"/>
          <w:b w:val="0"/>
          <w:u w:val="none"/>
        </w:rPr>
        <w:t xml:space="preserve"> A </w:t>
      </w:r>
      <w:r w:rsidRPr="00A213B8" w:rsidR="008806AF">
        <w:rPr>
          <w:rFonts w:cs="Arial"/>
          <w:b w:val="0"/>
          <w:u w:val="none"/>
        </w:rPr>
        <w:t>through</w:t>
      </w:r>
      <w:r w:rsidRPr="00A213B8" w:rsidR="00CA1B6A">
        <w:rPr>
          <w:rFonts w:cs="Arial"/>
          <w:b w:val="0"/>
          <w:u w:val="none"/>
        </w:rPr>
        <w:t xml:space="preserve"> </w:t>
      </w:r>
      <w:r w:rsidRPr="00A213B8" w:rsidR="003E39C5">
        <w:rPr>
          <w:rFonts w:cs="Arial"/>
          <w:b w:val="0"/>
          <w:u w:val="none"/>
        </w:rPr>
        <w:t>E</w:t>
      </w:r>
      <w:r w:rsidRPr="00A213B8">
        <w:rPr>
          <w:rFonts w:cs="Arial"/>
          <w:b w:val="0"/>
          <w:u w:val="none"/>
        </w:rPr>
        <w:t xml:space="preserve"> in </w:t>
      </w:r>
      <w:r w:rsidRPr="00A213B8" w:rsidR="009C4E12">
        <w:rPr>
          <w:rFonts w:cs="Arial"/>
          <w:b w:val="0"/>
          <w:u w:val="none"/>
        </w:rPr>
        <w:t>Table A-</w:t>
      </w:r>
      <w:r w:rsidRPr="00A213B8" w:rsidR="00A6426B">
        <w:rPr>
          <w:rFonts w:cs="Arial"/>
          <w:b w:val="0"/>
          <w:u w:val="none"/>
        </w:rPr>
        <w:t>3</w:t>
      </w:r>
      <w:r w:rsidRPr="00A213B8" w:rsidR="009C4E12">
        <w:rPr>
          <w:rFonts w:cs="Arial"/>
          <w:b w:val="0"/>
          <w:u w:val="none"/>
        </w:rPr>
        <w:t xml:space="preserve"> </w:t>
      </w:r>
      <w:r w:rsidRPr="00A213B8" w:rsidR="006A50D2">
        <w:rPr>
          <w:rFonts w:cs="Arial"/>
          <w:b w:val="0"/>
          <w:u w:val="none"/>
        </w:rPr>
        <w:t>(</w:t>
      </w:r>
      <w:r w:rsidRPr="00A213B8" w:rsidR="006A50D2">
        <w:rPr>
          <w:rFonts w:cs="Arial"/>
          <w:b w:val="0"/>
          <w:i/>
          <w:iCs/>
          <w:u w:val="none"/>
        </w:rPr>
        <w:t>Additional Facility and Operating Information</w:t>
      </w:r>
      <w:r w:rsidRPr="00A213B8" w:rsidR="006A50D2">
        <w:rPr>
          <w:rFonts w:cs="Arial"/>
          <w:b w:val="0"/>
          <w:u w:val="none"/>
        </w:rPr>
        <w:t xml:space="preserve">) </w:t>
      </w:r>
      <w:r w:rsidRPr="00A213B8" w:rsidR="009C4E12">
        <w:rPr>
          <w:rFonts w:cs="Arial"/>
          <w:b w:val="0"/>
          <w:u w:val="none"/>
        </w:rPr>
        <w:t xml:space="preserve">of </w:t>
      </w:r>
      <w:r w:rsidRPr="00A213B8">
        <w:rPr>
          <w:rFonts w:cs="Arial"/>
          <w:b w:val="0"/>
          <w:u w:val="none"/>
        </w:rPr>
        <w:t xml:space="preserve">Exhibit </w:t>
      </w:r>
      <w:r w:rsidRPr="00A213B8" w:rsidR="009C4E12">
        <w:rPr>
          <w:rFonts w:cs="Arial"/>
          <w:b w:val="0"/>
          <w:u w:val="none"/>
        </w:rPr>
        <w:t xml:space="preserve">A </w:t>
      </w:r>
      <w:r w:rsidRPr="00A213B8" w:rsidR="00E15FB2">
        <w:rPr>
          <w:rFonts w:cs="Arial"/>
          <w:b w:val="0"/>
          <w:u w:val="none"/>
        </w:rPr>
        <w:t>(</w:t>
      </w:r>
      <w:r w:rsidRPr="00A213B8" w:rsidR="009C4E12">
        <w:rPr>
          <w:rFonts w:cs="Arial"/>
          <w:b w:val="0"/>
          <w:i/>
          <w:u w:val="none"/>
        </w:rPr>
        <w:t xml:space="preserve">Facility Description and </w:t>
      </w:r>
      <w:r w:rsidRPr="00A213B8" w:rsidR="00511066">
        <w:rPr>
          <w:rFonts w:cs="Arial"/>
          <w:b w:val="0"/>
          <w:i/>
          <w:u w:val="none"/>
        </w:rPr>
        <w:t>Additional Details</w:t>
      </w:r>
      <w:r w:rsidRPr="00A213B8" w:rsidR="00E15FB2">
        <w:rPr>
          <w:rFonts w:cs="Arial"/>
          <w:b w:val="0"/>
          <w:u w:val="none"/>
        </w:rPr>
        <w:t xml:space="preserve">) </w:t>
      </w:r>
      <w:r w:rsidRPr="00A213B8" w:rsidR="009E5311">
        <w:rPr>
          <w:rFonts w:cs="Arial"/>
          <w:b w:val="0"/>
          <w:u w:val="none"/>
        </w:rPr>
        <w:t xml:space="preserve">or </w:t>
      </w:r>
      <w:r w:rsidRPr="00A213B8" w:rsidR="00E15FB2">
        <w:rPr>
          <w:rFonts w:cs="Arial"/>
          <w:b w:val="0"/>
          <w:u w:val="none"/>
        </w:rPr>
        <w:t xml:space="preserve">Exhibit </w:t>
      </w:r>
      <w:r w:rsidRPr="00A213B8" w:rsidR="001E1B74">
        <w:rPr>
          <w:rFonts w:cs="Arial"/>
          <w:b w:val="0"/>
          <w:u w:val="none"/>
        </w:rPr>
        <w:t>D</w:t>
      </w:r>
      <w:r w:rsidRPr="00A213B8" w:rsidR="00E15FB2">
        <w:rPr>
          <w:rFonts w:cs="Arial"/>
          <w:b w:val="0"/>
          <w:u w:val="none"/>
        </w:rPr>
        <w:t xml:space="preserve"> (</w:t>
      </w:r>
      <w:r w:rsidRPr="00A213B8" w:rsidR="001E1B74">
        <w:rPr>
          <w:rFonts w:cs="Arial"/>
          <w:b w:val="0"/>
          <w:i/>
          <w:u w:val="none"/>
        </w:rPr>
        <w:t>Annual Renewable Energy Forecast</w:t>
      </w:r>
      <w:r w:rsidRPr="00A213B8" w:rsidR="00E15FB2">
        <w:rPr>
          <w:rFonts w:cs="Arial"/>
          <w:b w:val="0"/>
          <w:u w:val="none"/>
        </w:rPr>
        <w:t>)</w:t>
      </w:r>
      <w:r w:rsidRPr="00A213B8">
        <w:rPr>
          <w:rFonts w:cs="Arial"/>
          <w:b w:val="0"/>
          <w:u w:val="none"/>
        </w:rPr>
        <w:t xml:space="preserve">. </w:t>
      </w:r>
    </w:p>
    <w:p w:rsidRPr="00A213B8" w:rsidR="002E56DC" w:rsidP="00261AEB" w:rsidRDefault="003C10DE" w14:paraId="4C84C743" w14:textId="1742C048">
      <w:pPr>
        <w:pStyle w:val="Heading3"/>
        <w:keepNext w:val="0"/>
        <w:keepLines w:val="0"/>
        <w:spacing w:before="120"/>
        <w:rPr>
          <w:rFonts w:cs="Arial"/>
          <w:b w:val="0"/>
          <w:u w:val="none"/>
        </w:rPr>
      </w:pPr>
      <w:r w:rsidRPr="00A213B8">
        <w:rPr>
          <w:rFonts w:cs="Arial"/>
        </w:rPr>
        <w:t>Performance Metrics</w:t>
      </w:r>
      <w:r w:rsidRPr="00261AEB">
        <w:rPr>
          <w:u w:val="none"/>
        </w:rPr>
        <w:t>:</w:t>
      </w:r>
      <w:r w:rsidRPr="00261AEB" w:rsidR="00BF7B3C">
        <w:rPr>
          <w:u w:val="none"/>
        </w:rPr>
        <w:t xml:space="preserve"> </w:t>
      </w:r>
      <w:r w:rsidRPr="00A213B8" w:rsidR="00BF7B3C">
        <w:rPr>
          <w:rFonts w:cs="Arial"/>
          <w:b w:val="0"/>
          <w:bCs w:val="0"/>
          <w:u w:val="none"/>
        </w:rPr>
        <w:t xml:space="preserve">Each of the </w:t>
      </w:r>
      <w:r w:rsidRPr="00A213B8" w:rsidR="00CE6F64">
        <w:rPr>
          <w:rFonts w:cs="Arial"/>
          <w:b w:val="0"/>
          <w:bCs w:val="0"/>
          <w:u w:val="none"/>
        </w:rPr>
        <w:t xml:space="preserve">performance metrics </w:t>
      </w:r>
      <w:r w:rsidRPr="00A213B8" w:rsidR="005669BC">
        <w:rPr>
          <w:rFonts w:cs="Arial"/>
          <w:b w:val="0"/>
          <w:bCs w:val="0"/>
          <w:u w:val="none"/>
        </w:rPr>
        <w:t xml:space="preserve">described </w:t>
      </w:r>
      <w:r w:rsidRPr="00A213B8" w:rsidR="00A25B0B">
        <w:rPr>
          <w:rFonts w:cs="Arial"/>
          <w:b w:val="0"/>
          <w:bCs w:val="0"/>
          <w:u w:val="none"/>
        </w:rPr>
        <w:t xml:space="preserve">in </w:t>
      </w:r>
      <w:r w:rsidRPr="00A213B8" w:rsidR="005669BC">
        <w:rPr>
          <w:rFonts w:cs="Arial"/>
          <w:b w:val="0"/>
          <w:u w:val="none"/>
        </w:rPr>
        <w:t>Exhibit C (</w:t>
      </w:r>
      <w:r w:rsidRPr="00A213B8" w:rsidR="00EE6553">
        <w:rPr>
          <w:rFonts w:cs="Arial"/>
          <w:b w:val="0"/>
          <w:i/>
          <w:u w:val="none"/>
        </w:rPr>
        <w:t>Monthly Capacity Payments; Monthly Capacity Reductions; AGC Performance</w:t>
      </w:r>
      <w:r w:rsidRPr="00A213B8" w:rsidR="004C6ED4">
        <w:rPr>
          <w:rFonts w:cs="Arial"/>
          <w:b w:val="0"/>
          <w:i/>
          <w:u w:val="none"/>
        </w:rPr>
        <w:t xml:space="preserve"> Metrics and</w:t>
      </w:r>
      <w:r w:rsidRPr="00A213B8" w:rsidR="00EE6553">
        <w:rPr>
          <w:rFonts w:cs="Arial"/>
          <w:b w:val="0"/>
          <w:i/>
          <w:u w:val="none"/>
        </w:rPr>
        <w:t xml:space="preserve"> Requirements</w:t>
      </w:r>
      <w:r w:rsidRPr="00A213B8" w:rsidR="00143F08">
        <w:rPr>
          <w:rFonts w:cs="Arial"/>
          <w:b w:val="0"/>
          <w:bCs w:val="0"/>
          <w:u w:val="none"/>
        </w:rPr>
        <w:t>).</w:t>
      </w:r>
      <w:r w:rsidRPr="00A213B8" w:rsidR="00554CBD">
        <w:rPr>
          <w:rFonts w:cs="Arial"/>
          <w:b w:val="0"/>
          <w:u w:val="none"/>
        </w:rPr>
        <w:t xml:space="preserve"> </w:t>
      </w:r>
    </w:p>
    <w:p w:rsidRPr="00A213B8" w:rsidR="002D54C4" w:rsidP="00261AEB" w:rsidRDefault="002D54C4" w14:paraId="7012C34B" w14:textId="36A075C1">
      <w:pPr>
        <w:pStyle w:val="Heading3"/>
        <w:keepNext w:val="0"/>
        <w:keepLines w:val="0"/>
        <w:spacing w:before="120"/>
        <w:rPr>
          <w:rFonts w:cs="Arial"/>
        </w:rPr>
      </w:pPr>
      <w:r w:rsidRPr="00A213B8">
        <w:rPr>
          <w:rFonts w:cs="Arial"/>
          <w:bCs w:val="0"/>
        </w:rPr>
        <w:t>Performance Security</w:t>
      </w:r>
      <w:r w:rsidRPr="00A213B8">
        <w:rPr>
          <w:rFonts w:cs="Arial"/>
          <w:u w:val="none"/>
        </w:rPr>
        <w:t>:</w:t>
      </w:r>
      <w:r w:rsidRPr="00A213B8">
        <w:rPr>
          <w:rFonts w:cs="Arial"/>
          <w:b w:val="0"/>
          <w:u w:val="none"/>
        </w:rPr>
        <w:t xml:space="preserve"> </w:t>
      </w:r>
      <w:r w:rsidRPr="00A213B8" w:rsidDel="00B47B53">
        <w:rPr>
          <w:rFonts w:cs="Arial"/>
          <w:b w:val="0"/>
          <w:bCs w:val="0"/>
          <w:u w:val="none"/>
        </w:rPr>
        <w:t xml:space="preserve">Security in the form of </w:t>
      </w:r>
      <w:r w:rsidRPr="00A213B8">
        <w:rPr>
          <w:rFonts w:cs="Arial"/>
          <w:b w:val="0"/>
          <w:bCs w:val="0"/>
          <w:u w:val="none"/>
        </w:rPr>
        <w:t xml:space="preserve">Eligible Collateral </w:t>
      </w:r>
      <w:r w:rsidRPr="00A213B8" w:rsidDel="00B47B53">
        <w:rPr>
          <w:rFonts w:cs="Arial"/>
          <w:b w:val="0"/>
          <w:bCs w:val="0"/>
          <w:u w:val="none"/>
        </w:rPr>
        <w:t xml:space="preserve">that Seller must </w:t>
      </w:r>
      <w:r w:rsidRPr="00A213B8">
        <w:rPr>
          <w:rFonts w:cs="Arial"/>
          <w:b w:val="0"/>
          <w:bCs w:val="0"/>
          <w:u w:val="none"/>
        </w:rPr>
        <w:t xml:space="preserve">deliver to GPC to secure Seller’s due performance of Seller’s PPA obligations, as required under </w:t>
      </w:r>
      <w:r w:rsidRPr="00A213B8">
        <w:rPr>
          <w:rFonts w:cs="Arial"/>
          <w:b w:val="0"/>
          <w:u w:val="none"/>
        </w:rPr>
        <w:t>Section 6.1 (</w:t>
      </w:r>
      <w:r w:rsidRPr="00A213B8">
        <w:rPr>
          <w:rFonts w:cs="Arial"/>
          <w:b w:val="0"/>
          <w:i/>
          <w:u w:val="none"/>
        </w:rPr>
        <w:t>Performance Security</w:t>
      </w:r>
      <w:r w:rsidRPr="00A213B8">
        <w:rPr>
          <w:rFonts w:cs="Arial"/>
          <w:b w:val="0"/>
          <w:u w:val="none"/>
        </w:rPr>
        <w:t>)</w:t>
      </w:r>
      <w:r w:rsidRPr="00A213B8" w:rsidR="00F54244">
        <w:rPr>
          <w:rFonts w:cs="Arial"/>
          <w:b w:val="0"/>
          <w:u w:val="none"/>
        </w:rPr>
        <w:t xml:space="preserve"> and Part 1 </w:t>
      </w:r>
      <w:r w:rsidRPr="00A213B8" w:rsidR="009D5C13">
        <w:rPr>
          <w:rFonts w:cs="Arial"/>
          <w:b w:val="0"/>
          <w:u w:val="none"/>
        </w:rPr>
        <w:t>(</w:t>
      </w:r>
      <w:r w:rsidRPr="00A213B8" w:rsidR="009D5C13">
        <w:rPr>
          <w:rFonts w:cs="Arial"/>
          <w:b w:val="0"/>
          <w:i/>
          <w:u w:val="none"/>
        </w:rPr>
        <w:t>Performance Security</w:t>
      </w:r>
      <w:r w:rsidRPr="00A213B8" w:rsidR="009D5C13">
        <w:rPr>
          <w:rFonts w:cs="Arial"/>
          <w:b w:val="0"/>
          <w:u w:val="none"/>
        </w:rPr>
        <w:t xml:space="preserve">) </w:t>
      </w:r>
      <w:r w:rsidRPr="00A213B8" w:rsidR="00F54244">
        <w:rPr>
          <w:rFonts w:cs="Arial"/>
          <w:b w:val="0"/>
          <w:u w:val="none"/>
        </w:rPr>
        <w:t>of Exhibit A-2 (</w:t>
      </w:r>
      <w:r w:rsidRPr="00A213B8" w:rsidR="00F54244">
        <w:rPr>
          <w:rFonts w:cs="Arial"/>
          <w:b w:val="0"/>
          <w:i/>
          <w:u w:val="none"/>
        </w:rPr>
        <w:t>Performance Security and Liquidated Damages</w:t>
      </w:r>
      <w:r w:rsidRPr="00A213B8">
        <w:rPr>
          <w:rFonts w:cs="Arial"/>
          <w:b w:val="0"/>
          <w:u w:val="none"/>
        </w:rPr>
        <w:t>).</w:t>
      </w:r>
    </w:p>
    <w:p w:rsidRPr="00A213B8" w:rsidR="002D54C4" w:rsidP="00261AEB" w:rsidRDefault="002D54C4" w14:paraId="1ADB0C83" w14:textId="214DC111">
      <w:pPr>
        <w:pStyle w:val="Heading3"/>
        <w:keepNext w:val="0"/>
        <w:keepLines w:val="0"/>
        <w:widowControl w:val="0"/>
        <w:spacing w:before="120"/>
        <w:rPr>
          <w:rFonts w:cs="Arial"/>
        </w:rPr>
      </w:pPr>
      <w:r w:rsidRPr="00A213B8">
        <w:rPr>
          <w:rFonts w:cs="Arial"/>
        </w:rPr>
        <w:t>Performance Test</w:t>
      </w:r>
      <w:r w:rsidRPr="00A213B8">
        <w:rPr>
          <w:rFonts w:cs="Arial"/>
          <w:u w:val="none"/>
        </w:rPr>
        <w:t xml:space="preserve">: </w:t>
      </w:r>
      <w:r w:rsidRPr="00A213B8">
        <w:rPr>
          <w:rFonts w:cs="Arial"/>
          <w:b w:val="0"/>
          <w:bCs w:val="0"/>
          <w:u w:val="none"/>
        </w:rPr>
        <w:t xml:space="preserve">A performance test conducted in accordance with the procedures set forth in </w:t>
      </w:r>
      <w:r w:rsidRPr="00A213B8">
        <w:rPr>
          <w:rFonts w:cs="Arial"/>
          <w:b w:val="0"/>
          <w:u w:val="none"/>
        </w:rPr>
        <w:t xml:space="preserve">Exhibit </w:t>
      </w:r>
      <w:r w:rsidRPr="00A213B8" w:rsidR="00B42E98">
        <w:rPr>
          <w:rFonts w:cs="Arial"/>
          <w:b w:val="0"/>
          <w:u w:val="none"/>
        </w:rPr>
        <w:t xml:space="preserve">E </w:t>
      </w:r>
      <w:r w:rsidRPr="00A213B8">
        <w:rPr>
          <w:rFonts w:cs="Arial"/>
          <w:b w:val="0"/>
          <w:u w:val="none"/>
        </w:rPr>
        <w:t>(</w:t>
      </w:r>
      <w:r w:rsidRPr="00A213B8">
        <w:rPr>
          <w:rFonts w:cs="Arial"/>
          <w:b w:val="0"/>
          <w:i/>
          <w:u w:val="none"/>
        </w:rPr>
        <w:t>Performance Testing Procedures</w:t>
      </w:r>
      <w:r w:rsidRPr="00A213B8">
        <w:rPr>
          <w:rFonts w:cs="Arial"/>
          <w:b w:val="0"/>
          <w:u w:val="none"/>
        </w:rPr>
        <w:t>).</w:t>
      </w:r>
      <w:r w:rsidRPr="00A213B8">
        <w:rPr>
          <w:rFonts w:cs="Arial"/>
          <w:b w:val="0"/>
          <w:bCs w:val="0"/>
          <w:u w:val="none"/>
        </w:rPr>
        <w:t xml:space="preserve"> Performance Testing has a meaning correlative to that of Performance Test.</w:t>
      </w:r>
      <w:r w:rsidRPr="00A213B8">
        <w:rPr>
          <w:rFonts w:cs="Arial"/>
        </w:rPr>
        <w:t xml:space="preserve"> </w:t>
      </w:r>
    </w:p>
    <w:p w:rsidRPr="00A213B8" w:rsidR="002D54C4" w:rsidP="00261AEB" w:rsidRDefault="002D54C4" w14:paraId="607BAAC5" w14:textId="1E7A59D6">
      <w:pPr>
        <w:pStyle w:val="Heading3"/>
        <w:keepNext w:val="0"/>
        <w:keepLines w:val="0"/>
        <w:widowControl w:val="0"/>
        <w:spacing w:before="120"/>
        <w:rPr>
          <w:rFonts w:cs="Arial"/>
        </w:rPr>
      </w:pPr>
      <w:r w:rsidRPr="00A213B8">
        <w:rPr>
          <w:rFonts w:cs="Arial"/>
        </w:rPr>
        <w:t>Person</w:t>
      </w:r>
      <w:r w:rsidRPr="00A213B8">
        <w:rPr>
          <w:rFonts w:cs="Arial"/>
          <w:u w:val="none"/>
        </w:rPr>
        <w:t xml:space="preserve">: </w:t>
      </w:r>
      <w:r w:rsidRPr="00A213B8">
        <w:rPr>
          <w:rFonts w:cs="Arial"/>
          <w:b w:val="0"/>
          <w:bCs w:val="0"/>
          <w:u w:val="none"/>
        </w:rPr>
        <w:t>Any natural person, corporation, limited liability company, general partnership, limited partnership, proprietorship, other business organization, trust, union, association, or Governmental Authority.</w:t>
      </w:r>
    </w:p>
    <w:p w:rsidRPr="00A213B8" w:rsidR="00676FB1" w:rsidP="00261AEB" w:rsidRDefault="00DA119D" w14:paraId="05836662" w14:textId="587A16F2">
      <w:pPr>
        <w:pStyle w:val="Heading3"/>
        <w:keepNext w:val="0"/>
        <w:keepLines w:val="0"/>
        <w:widowControl w:val="0"/>
        <w:spacing w:before="120"/>
        <w:rPr>
          <w:rFonts w:cs="Arial" w:eastAsiaTheme="minorEastAsia"/>
          <w:b w:val="0"/>
          <w:bCs w:val="0"/>
          <w:u w:val="none"/>
        </w:rPr>
      </w:pPr>
      <w:r w:rsidRPr="00A213B8">
        <w:rPr>
          <w:rFonts w:cs="Arial"/>
        </w:rPr>
        <w:t>Point of Interconnection (POI)</w:t>
      </w:r>
      <w:r w:rsidRPr="00A213B8">
        <w:rPr>
          <w:rFonts w:cs="Arial"/>
          <w:u w:val="none"/>
        </w:rPr>
        <w:t xml:space="preserve">: </w:t>
      </w:r>
      <w:r w:rsidRPr="00A213B8">
        <w:rPr>
          <w:rFonts w:cs="Arial" w:eastAsiaTheme="minorEastAsia"/>
          <w:b w:val="0"/>
          <w:bCs w:val="0"/>
          <w:u w:val="none"/>
        </w:rPr>
        <w:t xml:space="preserve">The point of connection between the </w:t>
      </w:r>
      <w:r w:rsidRPr="00A213B8" w:rsidR="00897716">
        <w:rPr>
          <w:rFonts w:cs="Arial" w:eastAsiaTheme="minorEastAsia"/>
          <w:b w:val="0"/>
          <w:bCs w:val="0"/>
          <w:u w:val="none"/>
        </w:rPr>
        <w:t>Southern Company Transmission System</w:t>
      </w:r>
      <w:r w:rsidRPr="00A213B8">
        <w:rPr>
          <w:rFonts w:cs="Arial" w:eastAsiaTheme="minorEastAsia"/>
          <w:b w:val="0"/>
          <w:bCs w:val="0"/>
          <w:u w:val="none"/>
        </w:rPr>
        <w:t xml:space="preserve"> and the</w:t>
      </w:r>
      <w:r w:rsidRPr="00A213B8" w:rsidR="00B624E9">
        <w:rPr>
          <w:rFonts w:cs="Arial" w:eastAsiaTheme="minorEastAsia"/>
          <w:b w:val="0"/>
          <w:bCs w:val="0"/>
          <w:u w:val="none"/>
        </w:rPr>
        <w:t xml:space="preserve"> Facility</w:t>
      </w:r>
      <w:r w:rsidRPr="00A213B8" w:rsidR="0014106C">
        <w:rPr>
          <w:rFonts w:cs="Arial" w:eastAsiaTheme="minorHAnsi"/>
          <w:b w:val="0"/>
          <w:bCs w:val="0"/>
          <w:u w:val="none"/>
        </w:rPr>
        <w:t xml:space="preserve">, as identified in </w:t>
      </w:r>
      <w:r w:rsidRPr="00A213B8" w:rsidR="0062733D">
        <w:rPr>
          <w:rFonts w:cs="Arial" w:eastAsiaTheme="minorHAnsi"/>
          <w:b w:val="0"/>
          <w:u w:val="none"/>
        </w:rPr>
        <w:t xml:space="preserve">Table A-1 of </w:t>
      </w:r>
      <w:r w:rsidRPr="00A213B8" w:rsidR="0014106C">
        <w:rPr>
          <w:rFonts w:cs="Arial" w:eastAsiaTheme="minorHAnsi"/>
          <w:b w:val="0"/>
          <w:u w:val="none"/>
        </w:rPr>
        <w:t>Exhibit A (</w:t>
      </w:r>
      <w:r w:rsidRPr="00A213B8" w:rsidR="0014106C">
        <w:rPr>
          <w:rFonts w:cs="Arial" w:eastAsiaTheme="minorHAnsi"/>
          <w:b w:val="0"/>
          <w:i/>
          <w:u w:val="none"/>
        </w:rPr>
        <w:t xml:space="preserve">Facility Description and </w:t>
      </w:r>
      <w:r w:rsidRPr="00A213B8" w:rsidR="00511066">
        <w:rPr>
          <w:rFonts w:cs="Arial" w:eastAsiaTheme="minorHAnsi"/>
          <w:b w:val="0"/>
          <w:i/>
          <w:u w:val="none"/>
        </w:rPr>
        <w:t>Additional Details</w:t>
      </w:r>
      <w:r w:rsidRPr="00A213B8" w:rsidR="0014106C">
        <w:rPr>
          <w:rFonts w:cs="Arial" w:eastAsiaTheme="minorHAnsi"/>
          <w:b w:val="0"/>
          <w:u w:val="none"/>
        </w:rPr>
        <w:t>)</w:t>
      </w:r>
      <w:r w:rsidRPr="00A213B8" w:rsidR="0014106C">
        <w:rPr>
          <w:rFonts w:cs="Arial" w:eastAsiaTheme="minorHAnsi"/>
          <w:b w:val="0"/>
          <w:bCs w:val="0"/>
          <w:u w:val="none"/>
        </w:rPr>
        <w:t xml:space="preserve"> and </w:t>
      </w:r>
      <w:r w:rsidRPr="00A213B8" w:rsidR="0062733D">
        <w:rPr>
          <w:rFonts w:cs="Arial" w:eastAsiaTheme="minorHAnsi"/>
          <w:b w:val="0"/>
          <w:bCs w:val="0"/>
          <w:u w:val="none"/>
        </w:rPr>
        <w:t xml:space="preserve">further </w:t>
      </w:r>
      <w:r w:rsidRPr="00A213B8">
        <w:rPr>
          <w:rFonts w:cs="Arial" w:eastAsiaTheme="minorEastAsia"/>
          <w:b w:val="0"/>
          <w:bCs w:val="0"/>
          <w:u w:val="none"/>
        </w:rPr>
        <w:t xml:space="preserve">described in the </w:t>
      </w:r>
      <w:r w:rsidRPr="00A213B8" w:rsidR="004878ED">
        <w:rPr>
          <w:rFonts w:cs="Arial" w:eastAsiaTheme="minorEastAsia"/>
          <w:b w:val="0"/>
          <w:bCs w:val="0"/>
          <w:u w:val="none"/>
        </w:rPr>
        <w:t>IA</w:t>
      </w:r>
      <w:r w:rsidRPr="00A213B8">
        <w:rPr>
          <w:rFonts w:cs="Arial" w:eastAsiaTheme="minorEastAsia"/>
          <w:b w:val="0"/>
          <w:bCs w:val="0"/>
          <w:u w:val="none"/>
        </w:rPr>
        <w:t>.</w:t>
      </w:r>
    </w:p>
    <w:p w:rsidRPr="00A213B8" w:rsidR="002D54C4" w:rsidP="00261AEB" w:rsidRDefault="002D54C4" w14:paraId="2A406168" w14:textId="60ED4F2C">
      <w:pPr>
        <w:pStyle w:val="Heading3"/>
        <w:keepNext w:val="0"/>
        <w:keepLines w:val="0"/>
        <w:widowControl w:val="0"/>
        <w:spacing w:before="120"/>
        <w:rPr>
          <w:rFonts w:cs="Arial"/>
        </w:rPr>
      </w:pPr>
      <w:r w:rsidRPr="00A213B8">
        <w:rPr>
          <w:rFonts w:cs="Arial"/>
        </w:rPr>
        <w:t xml:space="preserve">Potential High Limit </w:t>
      </w:r>
      <w:r w:rsidR="000432D0">
        <w:rPr>
          <w:rFonts w:cs="Arial"/>
        </w:rPr>
        <w:t>(</w:t>
      </w:r>
      <w:r w:rsidRPr="00A213B8">
        <w:rPr>
          <w:rFonts w:cs="Arial"/>
        </w:rPr>
        <w:t>PHL</w:t>
      </w:r>
      <w:r w:rsidR="000432D0">
        <w:rPr>
          <w:rFonts w:cs="Arial"/>
        </w:rPr>
        <w:t>)</w:t>
      </w:r>
      <w:r w:rsidRPr="00A213B8">
        <w:rPr>
          <w:rFonts w:cs="Arial"/>
          <w:u w:val="none"/>
        </w:rPr>
        <w:t xml:space="preserve">: </w:t>
      </w:r>
      <w:r w:rsidRPr="00A213B8">
        <w:rPr>
          <w:rFonts w:cs="Arial"/>
          <w:b w:val="0"/>
          <w:u w:val="none"/>
        </w:rPr>
        <w:t>The estimated value of the potential instantaneous power output (MW) of the Renewable Resource</w:t>
      </w:r>
      <w:r w:rsidRPr="00A213B8" w:rsidR="00CA2D4F">
        <w:rPr>
          <w:rFonts w:cs="Arial"/>
          <w:b w:val="0"/>
          <w:u w:val="none"/>
        </w:rPr>
        <w:t xml:space="preserve"> as if the Renewable Resource is not in a period of Curtailment</w:t>
      </w:r>
      <w:r w:rsidRPr="00A213B8" w:rsidR="00D44FA3">
        <w:rPr>
          <w:rFonts w:cs="Arial"/>
          <w:b w:val="0"/>
          <w:u w:val="none"/>
        </w:rPr>
        <w:t xml:space="preserve">, as further described in Exhibit </w:t>
      </w:r>
      <w:r w:rsidRPr="00A213B8" w:rsidR="00932C4D">
        <w:rPr>
          <w:rFonts w:cs="Arial"/>
          <w:b w:val="0"/>
          <w:u w:val="none"/>
        </w:rPr>
        <w:t>G</w:t>
      </w:r>
      <w:r w:rsidRPr="00A213B8" w:rsidR="00D44FA3">
        <w:rPr>
          <w:rFonts w:cs="Arial"/>
          <w:b w:val="0"/>
          <w:u w:val="none"/>
        </w:rPr>
        <w:t xml:space="preserve"> </w:t>
      </w:r>
      <w:r w:rsidRPr="00A213B8" w:rsidR="003F072F">
        <w:rPr>
          <w:rFonts w:cs="Arial"/>
          <w:b w:val="0"/>
          <w:u w:val="none"/>
        </w:rPr>
        <w:t>(</w:t>
      </w:r>
      <w:r w:rsidRPr="00A213B8" w:rsidR="003F072F">
        <w:rPr>
          <w:rFonts w:cs="Arial"/>
          <w:b w:val="0"/>
          <w:i/>
          <w:u w:val="none"/>
        </w:rPr>
        <w:t>AGC and Facility Minimum Data Requirements</w:t>
      </w:r>
      <w:r w:rsidRPr="00A213B8" w:rsidR="00D44FA3">
        <w:rPr>
          <w:rFonts w:cs="Arial"/>
          <w:b w:val="0"/>
          <w:u w:val="none"/>
        </w:rPr>
        <w:t>)</w:t>
      </w:r>
      <w:r w:rsidRPr="00A213B8">
        <w:rPr>
          <w:rFonts w:cs="Arial"/>
          <w:b w:val="0"/>
          <w:u w:val="none"/>
        </w:rPr>
        <w:t>.</w:t>
      </w:r>
    </w:p>
    <w:p w:rsidRPr="00A213B8" w:rsidR="002D54C4" w:rsidP="00261AEB" w:rsidRDefault="002D54C4" w14:paraId="02E5A7E8" w14:textId="1DA74EF0">
      <w:pPr>
        <w:pStyle w:val="Heading3"/>
        <w:keepNext w:val="0"/>
        <w:keepLines w:val="0"/>
        <w:widowControl w:val="0"/>
        <w:spacing w:before="120"/>
        <w:rPr>
          <w:rFonts w:cs="Arial"/>
          <w:b w:val="0"/>
        </w:rPr>
      </w:pPr>
      <w:r w:rsidRPr="00A213B8">
        <w:rPr>
          <w:rFonts w:cs="Arial"/>
        </w:rPr>
        <w:t>PPA</w:t>
      </w:r>
      <w:r w:rsidRPr="00A213B8">
        <w:rPr>
          <w:rFonts w:cs="Arial"/>
          <w:u w:val="none"/>
        </w:rPr>
        <w:t>:</w:t>
      </w:r>
      <w:r w:rsidRPr="00A213B8">
        <w:rPr>
          <w:rFonts w:cs="Arial"/>
          <w:b w:val="0"/>
          <w:u w:val="none"/>
        </w:rPr>
        <w:t xml:space="preserve"> This </w:t>
      </w:r>
      <w:r w:rsidRPr="00B37E16" w:rsidR="000B29D6">
        <w:rPr>
          <w:rStyle w:val="normaltextrun"/>
          <w:rFonts w:cs="Arial"/>
          <w:bCs w:val="0"/>
          <w:i/>
          <w:iCs/>
          <w:u w:val="none"/>
          <w:shd w:val="clear" w:color="auto" w:fill="FFFFFF"/>
        </w:rPr>
        <w:t>Power Purchase Agreement for Firm Capacity, Associated Energy, and Ancillary Services from a</w:t>
      </w:r>
      <w:r w:rsidRPr="00B37E16" w:rsidR="004B20B7">
        <w:rPr>
          <w:rStyle w:val="normaltextrun"/>
          <w:rFonts w:cs="Arial"/>
          <w:bCs w:val="0"/>
          <w:i/>
          <w:iCs/>
          <w:u w:val="none"/>
          <w:shd w:val="clear" w:color="auto" w:fill="FFFFFF"/>
        </w:rPr>
        <w:t xml:space="preserve"> Battery</w:t>
      </w:r>
      <w:r w:rsidRPr="00B37E16" w:rsidR="000B29D6">
        <w:rPr>
          <w:rStyle w:val="normaltextrun"/>
          <w:rFonts w:cs="Arial"/>
          <w:bCs w:val="0"/>
          <w:i/>
          <w:iCs/>
          <w:u w:val="none"/>
          <w:shd w:val="clear" w:color="auto" w:fill="FFFFFF"/>
        </w:rPr>
        <w:t xml:space="preserve"> Energy Storage System with a Renewable Resource</w:t>
      </w:r>
      <w:r w:rsidRPr="00B37E16" w:rsidDel="000B29D6" w:rsidR="000B29D6">
        <w:rPr>
          <w:rFonts w:cs="Arial"/>
          <w:bCs w:val="0"/>
          <w:i/>
          <w:iCs/>
          <w:u w:val="none"/>
        </w:rPr>
        <w:t xml:space="preserve"> </w:t>
      </w:r>
      <w:r w:rsidRPr="00B37E16" w:rsidR="00DD252F">
        <w:rPr>
          <w:rFonts w:cs="Arial"/>
          <w:bCs w:val="0"/>
          <w:i/>
          <w:iCs/>
          <w:u w:val="none"/>
        </w:rPr>
        <w:t xml:space="preserve">for </w:t>
      </w:r>
      <w:r w:rsidRPr="00B37E16" w:rsidR="000D54D9">
        <w:rPr>
          <w:rFonts w:cs="Arial"/>
          <w:bCs w:val="0"/>
          <w:i/>
          <w:iCs/>
          <w:u w:val="none"/>
        </w:rPr>
        <w:t xml:space="preserve">2026 All-Source Capacity </w:t>
      </w:r>
      <w:r w:rsidRPr="00B37E16" w:rsidR="000D54D9">
        <w:rPr>
          <w:rFonts w:cs="Arial"/>
          <w:bCs w:val="0"/>
          <w:i/>
          <w:iCs/>
          <w:u w:val="none"/>
        </w:rPr>
        <w:lastRenderedPageBreak/>
        <w:t>Request for Proposals for Need Years 2032</w:t>
      </w:r>
      <w:r w:rsidR="00A11E48">
        <w:rPr>
          <w:rFonts w:cs="Arial"/>
          <w:bCs w:val="0"/>
          <w:i/>
          <w:iCs/>
          <w:u w:val="none"/>
        </w:rPr>
        <w:t>-</w:t>
      </w:r>
      <w:r w:rsidRPr="00B37E16" w:rsidR="000D54D9">
        <w:rPr>
          <w:rFonts w:cs="Arial"/>
          <w:bCs w:val="0"/>
          <w:i/>
          <w:iCs/>
          <w:u w:val="none"/>
        </w:rPr>
        <w:t>2033</w:t>
      </w:r>
      <w:r w:rsidRPr="00B37E16" w:rsidR="00EE3CF5">
        <w:rPr>
          <w:rFonts w:cs="Arial"/>
          <w:bCs w:val="0"/>
          <w:i/>
          <w:iCs/>
          <w:u w:val="none"/>
        </w:rPr>
        <w:t xml:space="preserve"> </w:t>
      </w:r>
      <w:r w:rsidRPr="00B37E16" w:rsidR="00DD252F">
        <w:rPr>
          <w:rFonts w:cs="Arial"/>
          <w:bCs w:val="0"/>
          <w:i/>
          <w:iCs/>
          <w:u w:val="none"/>
        </w:rPr>
        <w:t xml:space="preserve">at </w:t>
      </w:r>
      <w:r w:rsidRPr="00B37E16" w:rsidR="00DD252F">
        <w:rPr>
          <w:rFonts w:cs="Arial"/>
          <w:bCs w:val="0"/>
          <w:i/>
          <w:iCs/>
          <w:highlight w:val="yellow"/>
          <w:u w:val="none"/>
        </w:rPr>
        <w:t>#FacilityName#</w:t>
      </w:r>
      <w:r w:rsidRPr="00A213B8" w:rsidR="00DD252F">
        <w:rPr>
          <w:rFonts w:cs="Arial"/>
          <w:b w:val="0"/>
          <w:u w:val="none"/>
        </w:rPr>
        <w:t xml:space="preserve"> </w:t>
      </w:r>
      <w:r w:rsidRPr="00A213B8">
        <w:rPr>
          <w:rFonts w:cs="Arial"/>
          <w:b w:val="0"/>
          <w:u w:val="none"/>
        </w:rPr>
        <w:t>between GPC and Seller.</w:t>
      </w:r>
    </w:p>
    <w:p w:rsidRPr="00A213B8" w:rsidR="002D54C4" w:rsidP="00261AEB" w:rsidRDefault="002D54C4" w14:paraId="080BDBE2" w14:textId="77777777">
      <w:pPr>
        <w:pStyle w:val="Heading3"/>
        <w:keepNext w:val="0"/>
        <w:keepLines w:val="0"/>
        <w:widowControl w:val="0"/>
        <w:spacing w:before="120"/>
        <w:rPr>
          <w:rFonts w:cs="Arial"/>
        </w:rPr>
      </w:pPr>
      <w:r w:rsidRPr="00A213B8">
        <w:rPr>
          <w:rFonts w:cs="Arial"/>
        </w:rPr>
        <w:t>Primary Beneficiary</w:t>
      </w:r>
      <w:r w:rsidRPr="00A213B8">
        <w:rPr>
          <w:rFonts w:cs="Arial"/>
          <w:u w:val="none"/>
        </w:rPr>
        <w:t xml:space="preserve">: </w:t>
      </w:r>
      <w:r w:rsidRPr="00A213B8">
        <w:rPr>
          <w:rFonts w:cs="Arial"/>
          <w:b w:val="0"/>
          <w:bCs w:val="0"/>
          <w:u w:val="none"/>
        </w:rPr>
        <w:t>As defined in FASB ASC Topic 810 (</w:t>
      </w:r>
      <w:r w:rsidRPr="00A213B8">
        <w:rPr>
          <w:rFonts w:cs="Arial"/>
          <w:b w:val="0"/>
          <w:bCs w:val="0"/>
          <w:i/>
          <w:u w:val="none"/>
        </w:rPr>
        <w:t>Consolidation</w:t>
      </w:r>
      <w:r w:rsidRPr="00A213B8">
        <w:rPr>
          <w:rFonts w:cs="Arial"/>
          <w:b w:val="0"/>
          <w:bCs w:val="0"/>
          <w:u w:val="none"/>
        </w:rPr>
        <w:t>), as issued and modified from time to time by FASB.</w:t>
      </w:r>
      <w:r w:rsidRPr="00A213B8">
        <w:rPr>
          <w:rFonts w:cs="Arial"/>
        </w:rPr>
        <w:t xml:space="preserve">  </w:t>
      </w:r>
    </w:p>
    <w:p w:rsidRPr="00A213B8" w:rsidR="002D54C4" w:rsidP="00261AEB" w:rsidRDefault="002D54C4" w14:paraId="5E717E54" w14:textId="77777777">
      <w:pPr>
        <w:pStyle w:val="Heading3"/>
        <w:keepNext w:val="0"/>
        <w:keepLines w:val="0"/>
        <w:widowControl w:val="0"/>
        <w:spacing w:before="120"/>
        <w:rPr>
          <w:rFonts w:cs="Arial"/>
        </w:rPr>
      </w:pPr>
      <w:r w:rsidRPr="00A213B8">
        <w:rPr>
          <w:rFonts w:cs="Arial"/>
        </w:rPr>
        <w:t>Project</w:t>
      </w:r>
      <w:r w:rsidRPr="00A213B8">
        <w:rPr>
          <w:rFonts w:cs="Arial"/>
          <w:u w:val="none"/>
        </w:rPr>
        <w:t xml:space="preserve">: </w:t>
      </w:r>
      <w:r w:rsidRPr="00A213B8">
        <w:rPr>
          <w:rFonts w:cs="Arial"/>
          <w:b w:val="0"/>
          <w:bCs w:val="0"/>
          <w:u w:val="none"/>
        </w:rPr>
        <w:t>The design, engineering, construction, testing, and commissioning of the Facility and, as applicable, the ownership, operation, management, and maintenance of the Facility, all of which being reasonably expected to enable Seller to fulfill its obligations under this PPA.</w:t>
      </w:r>
    </w:p>
    <w:p w:rsidRPr="00A213B8" w:rsidR="002D54C4" w:rsidP="00261AEB" w:rsidRDefault="002D54C4" w14:paraId="43084916" w14:textId="7BAACB84">
      <w:pPr>
        <w:pStyle w:val="Heading3"/>
        <w:keepNext w:val="0"/>
        <w:keepLines w:val="0"/>
        <w:widowControl w:val="0"/>
        <w:spacing w:before="120"/>
        <w:rPr>
          <w:rFonts w:cs="Arial"/>
        </w:rPr>
      </w:pPr>
      <w:bookmarkStart w:name="_Hlk37504624" w:id="31"/>
      <w:r w:rsidRPr="00A213B8">
        <w:rPr>
          <w:rFonts w:cs="Arial"/>
        </w:rPr>
        <w:t>Proposed Resolutions</w:t>
      </w:r>
      <w:r w:rsidRPr="00A213B8">
        <w:rPr>
          <w:rFonts w:cs="Arial"/>
          <w:u w:val="none"/>
        </w:rPr>
        <w:t xml:space="preserve">: </w:t>
      </w:r>
      <w:bookmarkEnd w:id="31"/>
      <w:r w:rsidRPr="00A213B8" w:rsidR="00BD42C6">
        <w:rPr>
          <w:rFonts w:cs="Arial"/>
          <w:b w:val="0"/>
          <w:u w:val="none"/>
        </w:rPr>
        <w:t>As defined</w:t>
      </w:r>
      <w:r w:rsidRPr="00A213B8">
        <w:rPr>
          <w:rFonts w:cs="Arial"/>
          <w:b w:val="0"/>
          <w:bCs w:val="0"/>
          <w:u w:val="none"/>
        </w:rPr>
        <w:t xml:space="preserve"> in </w:t>
      </w:r>
      <w:r w:rsidRPr="00A213B8">
        <w:rPr>
          <w:rFonts w:cs="Arial"/>
          <w:b w:val="0"/>
          <w:u w:val="none"/>
        </w:rPr>
        <w:t>Section 19.3.3</w:t>
      </w:r>
      <w:r w:rsidRPr="00A213B8" w:rsidR="00FA782A">
        <w:rPr>
          <w:rFonts w:cs="Arial"/>
          <w:b w:val="0"/>
          <w:u w:val="none"/>
        </w:rPr>
        <w:t xml:space="preserve"> (</w:t>
      </w:r>
      <w:r w:rsidRPr="00A213B8" w:rsidR="00907819">
        <w:rPr>
          <w:rFonts w:cs="Arial"/>
          <w:b w:val="0"/>
          <w:i/>
          <w:u w:val="none"/>
        </w:rPr>
        <w:t>Discovery; Hearing</w:t>
      </w:r>
      <w:r w:rsidRPr="00A213B8" w:rsidR="00907819">
        <w:rPr>
          <w:rFonts w:cs="Arial"/>
          <w:b w:val="0"/>
          <w:u w:val="none"/>
        </w:rPr>
        <w:t>)</w:t>
      </w:r>
      <w:r w:rsidRPr="00A213B8">
        <w:rPr>
          <w:rFonts w:cs="Arial"/>
          <w:b w:val="0"/>
          <w:u w:val="none"/>
        </w:rPr>
        <w:t>.</w:t>
      </w:r>
    </w:p>
    <w:p w:rsidRPr="00A213B8" w:rsidR="002D54C4" w:rsidP="00261AEB" w:rsidRDefault="002D54C4" w14:paraId="2FE8B266" w14:textId="5FB7892B">
      <w:pPr>
        <w:pStyle w:val="Heading3"/>
        <w:keepNext w:val="0"/>
        <w:keepLines w:val="0"/>
        <w:widowControl w:val="0"/>
        <w:spacing w:before="120"/>
        <w:rPr>
          <w:rFonts w:cs="Arial"/>
        </w:rPr>
      </w:pPr>
      <w:r w:rsidRPr="00A213B8">
        <w:rPr>
          <w:rFonts w:cs="Arial"/>
        </w:rPr>
        <w:t>Prudent Industry Practices</w:t>
      </w:r>
      <w:r w:rsidRPr="00A213B8">
        <w:rPr>
          <w:rFonts w:cs="Arial"/>
          <w:u w:val="none"/>
        </w:rPr>
        <w:t xml:space="preserve">: </w:t>
      </w:r>
      <w:r w:rsidRPr="00A213B8">
        <w:rPr>
          <w:rFonts w:cs="Arial"/>
          <w:b w:val="0"/>
          <w:u w:val="none"/>
        </w:rPr>
        <w:t>Any of the practices, methods, standards, or acts engaged in or approved by a significant portion of the electric power industry in the United States that, at a particular time, in the exercise of reasonable judgment in light of the facts known or that should reasonably have been known when a decision was made, could have been expected to accomplish the desired result, consistent with good business practices, reliability, economy, safety, and expedition. Prudent Industry Practices are not intended to be limited to the optimum practices, methods, or acts to the exclusion of all others, but rather to be acceptable practices, methods, or acts generally accepted in the United States electric power industry having due regard for, among other things, manufacturers’ warranties, applicable law, and, as applicable, requirements of this PPA.</w:t>
      </w:r>
    </w:p>
    <w:p w:rsidRPr="00A213B8" w:rsidR="002D54C4" w:rsidP="00261AEB" w:rsidRDefault="002D54C4" w14:paraId="0D10D1FE" w14:textId="77777777">
      <w:pPr>
        <w:pStyle w:val="Heading3"/>
        <w:keepNext w:val="0"/>
        <w:keepLines w:val="0"/>
        <w:widowControl w:val="0"/>
        <w:spacing w:before="120"/>
        <w:rPr>
          <w:rFonts w:cs="Arial"/>
        </w:rPr>
      </w:pPr>
      <w:r w:rsidRPr="00A213B8">
        <w:rPr>
          <w:rFonts w:cs="Arial"/>
        </w:rPr>
        <w:t>Rating Agency</w:t>
      </w:r>
      <w:r w:rsidRPr="00A213B8">
        <w:rPr>
          <w:rFonts w:cs="Arial"/>
          <w:u w:val="none"/>
        </w:rPr>
        <w:t xml:space="preserve">: </w:t>
      </w:r>
      <w:r w:rsidRPr="00A213B8">
        <w:rPr>
          <w:rFonts w:cs="Arial"/>
          <w:b w:val="0"/>
          <w:u w:val="none"/>
        </w:rPr>
        <w:t>The rating entities of S&amp;P, Moody’s, or Fitch. If any Rating Agency ceases to exist or publish ratings, the Rating Agency will be replaced under this PPA with a nationally recognized rating agency mutually agreed upon by the Parties.</w:t>
      </w:r>
    </w:p>
    <w:p w:rsidRPr="00A213B8" w:rsidR="002D54C4" w:rsidP="00261AEB" w:rsidRDefault="002D54C4" w14:paraId="5954B611" w14:textId="77777777">
      <w:pPr>
        <w:pStyle w:val="Heading3"/>
        <w:keepNext w:val="0"/>
        <w:keepLines w:val="0"/>
        <w:widowControl w:val="0"/>
        <w:spacing w:before="120"/>
        <w:rPr>
          <w:rFonts w:cs="Arial"/>
          <w:u w:val="none"/>
        </w:rPr>
      </w:pPr>
      <w:r w:rsidRPr="00A213B8">
        <w:rPr>
          <w:rFonts w:cs="Arial"/>
        </w:rPr>
        <w:t>RCOD</w:t>
      </w:r>
      <w:r w:rsidRPr="00A213B8">
        <w:rPr>
          <w:rFonts w:cs="Arial"/>
          <w:u w:val="none"/>
        </w:rPr>
        <w:t xml:space="preserve">: </w:t>
      </w:r>
      <w:r w:rsidRPr="00A213B8">
        <w:rPr>
          <w:rFonts w:cs="Arial"/>
          <w:b w:val="0"/>
          <w:u w:val="none"/>
        </w:rPr>
        <w:t xml:space="preserve">See </w:t>
      </w:r>
      <w:r w:rsidRPr="00A213B8">
        <w:rPr>
          <w:rFonts w:cs="Arial"/>
          <w:b w:val="0"/>
          <w:i/>
          <w:u w:val="none"/>
        </w:rPr>
        <w:t>Required Commercial Operation Date</w:t>
      </w:r>
      <w:r w:rsidRPr="00A213B8">
        <w:rPr>
          <w:rFonts w:cs="Arial"/>
          <w:b w:val="0"/>
          <w:u w:val="none"/>
        </w:rPr>
        <w:t>.</w:t>
      </w:r>
    </w:p>
    <w:p w:rsidRPr="00261AEB" w:rsidR="002D54C4" w:rsidP="00261AEB" w:rsidRDefault="002D54C4" w14:paraId="21D99E3E" w14:textId="77777777">
      <w:pPr>
        <w:pStyle w:val="Heading3"/>
        <w:keepNext w:val="0"/>
        <w:keepLines w:val="0"/>
        <w:widowControl w:val="0"/>
        <w:spacing w:before="120"/>
        <w:rPr>
          <w:b w:val="0"/>
          <w:u w:val="none"/>
        </w:rPr>
      </w:pPr>
      <w:r w:rsidRPr="00A213B8">
        <w:rPr>
          <w:rFonts w:eastAsia="PMingLiU" w:cs="Arial"/>
        </w:rPr>
        <w:t>RECs</w:t>
      </w:r>
      <w:r w:rsidRPr="00A213B8">
        <w:rPr>
          <w:rFonts w:eastAsia="PMingLiU" w:cs="Arial"/>
          <w:u w:val="none"/>
        </w:rPr>
        <w:t xml:space="preserve">: </w:t>
      </w:r>
      <w:r w:rsidRPr="00A213B8">
        <w:rPr>
          <w:rFonts w:eastAsia="PMingLiU" w:cs="Arial"/>
          <w:b w:val="0"/>
          <w:u w:val="none"/>
        </w:rPr>
        <w:t xml:space="preserve">See </w:t>
      </w:r>
      <w:r w:rsidRPr="00A213B8">
        <w:rPr>
          <w:rFonts w:eastAsia="PMingLiU" w:cs="Arial"/>
          <w:b w:val="0"/>
          <w:i/>
          <w:u w:val="none"/>
        </w:rPr>
        <w:t>Renewable Energy Credits</w:t>
      </w:r>
      <w:r w:rsidRPr="00A213B8">
        <w:rPr>
          <w:rFonts w:eastAsia="PMingLiU" w:cs="Arial"/>
          <w:b w:val="0"/>
          <w:u w:val="none"/>
        </w:rPr>
        <w:t>.</w:t>
      </w:r>
    </w:p>
    <w:p w:rsidRPr="00A213B8" w:rsidR="00323565" w:rsidP="000432D0" w:rsidRDefault="00323565" w14:paraId="58C7BC1C" w14:textId="249B0259">
      <w:pPr>
        <w:spacing w:before="120" w:after="120" w:line="240" w:lineRule="auto"/>
        <w:rPr>
          <w:rFonts w:ascii="Arial" w:hAnsi="Arial" w:cs="Arial"/>
          <w:sz w:val="20"/>
          <w:szCs w:val="20"/>
        </w:rPr>
      </w:pPr>
      <w:r w:rsidRPr="00A213B8">
        <w:rPr>
          <w:rFonts w:ascii="Arial" w:hAnsi="Arial" w:cs="Arial"/>
          <w:b/>
          <w:bCs/>
          <w:sz w:val="20"/>
          <w:szCs w:val="20"/>
          <w:u w:val="single"/>
        </w:rPr>
        <w:t>Recommended Best Practices</w:t>
      </w:r>
      <w:r w:rsidRPr="000432D0">
        <w:rPr>
          <w:rFonts w:ascii="Arial" w:hAnsi="Arial" w:cs="Arial"/>
          <w:b/>
          <w:bCs/>
          <w:sz w:val="20"/>
          <w:szCs w:val="20"/>
        </w:rPr>
        <w:t>:</w:t>
      </w:r>
      <w:r w:rsidRPr="00A213B8">
        <w:rPr>
          <w:rFonts w:ascii="Arial" w:hAnsi="Arial" w:cs="Arial"/>
          <w:sz w:val="20"/>
          <w:szCs w:val="20"/>
        </w:rPr>
        <w:t xml:space="preserve"> As defined in Section 17.4</w:t>
      </w:r>
      <w:r w:rsidR="005E24E4">
        <w:rPr>
          <w:rFonts w:ascii="Arial" w:hAnsi="Arial" w:cs="Arial"/>
          <w:sz w:val="20"/>
          <w:szCs w:val="20"/>
        </w:rPr>
        <w:t>.2</w:t>
      </w:r>
      <w:r w:rsidRPr="00A213B8">
        <w:rPr>
          <w:rFonts w:ascii="Arial" w:hAnsi="Arial" w:cs="Arial"/>
          <w:sz w:val="20"/>
          <w:szCs w:val="20"/>
        </w:rPr>
        <w:t xml:space="preserve"> (</w:t>
      </w:r>
      <w:r w:rsidRPr="005E24E4" w:rsidR="005E24E4">
        <w:rPr>
          <w:rFonts w:ascii="Arial" w:hAnsi="Arial" w:cs="Arial"/>
          <w:i/>
          <w:iCs/>
          <w:sz w:val="20"/>
          <w:szCs w:val="20"/>
        </w:rPr>
        <w:t>Environmental</w:t>
      </w:r>
      <w:r w:rsidR="005E24E4">
        <w:rPr>
          <w:rFonts w:ascii="Arial" w:hAnsi="Arial" w:cs="Arial"/>
          <w:sz w:val="20"/>
          <w:szCs w:val="20"/>
        </w:rPr>
        <w:t xml:space="preserve"> </w:t>
      </w:r>
      <w:r w:rsidRPr="00A213B8">
        <w:rPr>
          <w:rFonts w:ascii="Arial" w:hAnsi="Arial" w:cs="Arial"/>
          <w:i/>
          <w:iCs/>
          <w:sz w:val="20"/>
          <w:szCs w:val="20"/>
        </w:rPr>
        <w:t>Compliance</w:t>
      </w:r>
      <w:r w:rsidRPr="00A213B8">
        <w:rPr>
          <w:rFonts w:ascii="Arial" w:hAnsi="Arial" w:cs="Arial"/>
          <w:sz w:val="20"/>
          <w:szCs w:val="20"/>
        </w:rPr>
        <w:t>).</w:t>
      </w:r>
    </w:p>
    <w:p w:rsidRPr="00A213B8" w:rsidR="002D54C4" w:rsidP="00261AEB" w:rsidRDefault="002D54C4" w14:paraId="703196A5" w14:textId="2372BC34">
      <w:pPr>
        <w:pStyle w:val="Heading3"/>
        <w:keepNext w:val="0"/>
        <w:keepLines w:val="0"/>
        <w:widowControl w:val="0"/>
        <w:spacing w:before="120"/>
        <w:rPr>
          <w:rFonts w:cs="Arial"/>
        </w:rPr>
      </w:pPr>
      <w:r w:rsidRPr="00A213B8">
        <w:rPr>
          <w:rFonts w:cs="Arial"/>
        </w:rPr>
        <w:t>Renewable Energy</w:t>
      </w:r>
      <w:r w:rsidRPr="00A213B8" w:rsidR="002F2479">
        <w:rPr>
          <w:rFonts w:cs="Arial"/>
          <w:u w:val="none"/>
        </w:rPr>
        <w:t xml:space="preserve">: </w:t>
      </w:r>
      <w:r w:rsidRPr="00A213B8" w:rsidR="002F2479">
        <w:rPr>
          <w:rFonts w:cs="Arial"/>
          <w:b w:val="0"/>
          <w:u w:val="none"/>
        </w:rPr>
        <w:t>Energy</w:t>
      </w:r>
      <w:r w:rsidRPr="00A213B8">
        <w:rPr>
          <w:rFonts w:cs="Arial"/>
          <w:b w:val="0"/>
          <w:u w:val="none"/>
        </w:rPr>
        <w:t xml:space="preserve"> and all associated Environmental Attributes, Electrical Products, and capacity generated by the Renewable Resource and discharged by the Renewable Resource or the </w:t>
      </w:r>
      <w:r w:rsidRPr="00A213B8" w:rsidR="00680C34">
        <w:rPr>
          <w:rFonts w:cs="Arial"/>
          <w:b w:val="0"/>
          <w:u w:val="none"/>
        </w:rPr>
        <w:t>B</w:t>
      </w:r>
      <w:r w:rsidRPr="00A213B8">
        <w:rPr>
          <w:rFonts w:cs="Arial"/>
          <w:b w:val="0"/>
          <w:u w:val="none"/>
        </w:rPr>
        <w:t>ESS.</w:t>
      </w:r>
    </w:p>
    <w:p w:rsidRPr="00A213B8" w:rsidR="002D54C4" w:rsidP="00261AEB" w:rsidRDefault="002D54C4" w14:paraId="396D251D" w14:textId="77777777">
      <w:pPr>
        <w:pStyle w:val="Heading3"/>
        <w:keepNext w:val="0"/>
        <w:keepLines w:val="0"/>
        <w:widowControl w:val="0"/>
        <w:spacing w:before="120"/>
        <w:rPr>
          <w:rFonts w:cs="Arial"/>
        </w:rPr>
      </w:pPr>
      <w:r w:rsidRPr="00A213B8">
        <w:rPr>
          <w:rFonts w:cs="Arial"/>
        </w:rPr>
        <w:t>Renewable Energy Credits (RECs)</w:t>
      </w:r>
      <w:r w:rsidRPr="00A213B8">
        <w:rPr>
          <w:rFonts w:cs="Arial"/>
          <w:u w:val="none"/>
        </w:rPr>
        <w:t xml:space="preserve">: </w:t>
      </w:r>
      <w:r w:rsidRPr="00A213B8">
        <w:rPr>
          <w:rFonts w:cs="Arial"/>
          <w:b w:val="0"/>
          <w:u w:val="none"/>
        </w:rPr>
        <w:t>Any</w:t>
      </w:r>
      <w:r w:rsidRPr="00A213B8" w:rsidDel="006F5808">
        <w:rPr>
          <w:rFonts w:cs="Arial"/>
          <w:b w:val="0"/>
          <w:u w:val="none"/>
        </w:rPr>
        <w:t xml:space="preserve"> </w:t>
      </w:r>
      <w:r w:rsidRPr="00A213B8">
        <w:rPr>
          <w:rFonts w:cs="Arial"/>
          <w:b w:val="0"/>
          <w:u w:val="none"/>
        </w:rPr>
        <w:t>credits, including any emissions reduction credits, such as CO2 emission reduction credits, for renewable energy that could qualify or do qualify for application toward compliance with any local, state, federal or international renewable energy portfolio standard, green pricing program or other renewable energy or environmental mandate or objective, whether at the Effective Date or at any time during the Term.</w:t>
      </w:r>
    </w:p>
    <w:p w:rsidRPr="00A213B8" w:rsidR="002D54C4" w:rsidP="00261AEB" w:rsidRDefault="002D54C4" w14:paraId="2B35960A" w14:textId="03AADE9A">
      <w:pPr>
        <w:pStyle w:val="Heading3"/>
        <w:keepNext w:val="0"/>
        <w:keepLines w:val="0"/>
        <w:widowControl w:val="0"/>
        <w:spacing w:before="120"/>
        <w:rPr>
          <w:rFonts w:cs="Arial"/>
        </w:rPr>
      </w:pPr>
      <w:r w:rsidRPr="00A213B8">
        <w:rPr>
          <w:rFonts w:cs="Arial"/>
        </w:rPr>
        <w:t>Renewable Resource</w:t>
      </w:r>
      <w:r w:rsidRPr="00A213B8">
        <w:rPr>
          <w:rFonts w:cs="Arial"/>
          <w:u w:val="none"/>
        </w:rPr>
        <w:t xml:space="preserve">: </w:t>
      </w:r>
      <w:bookmarkStart w:name="_Hlk30150725" w:id="32"/>
      <w:r w:rsidRPr="00A213B8">
        <w:rPr>
          <w:rFonts w:cs="Arial"/>
          <w:b w:val="0"/>
          <w:u w:val="none"/>
        </w:rPr>
        <w:t>The renewable energy generating facility</w:t>
      </w:r>
      <w:bookmarkEnd w:id="32"/>
      <w:r w:rsidRPr="00A213B8">
        <w:rPr>
          <w:rFonts w:cs="Arial"/>
          <w:b w:val="0"/>
          <w:u w:val="none"/>
        </w:rPr>
        <w:t xml:space="preserve"> at the Site, as further described in Exhibit </w:t>
      </w:r>
      <w:r w:rsidRPr="00A213B8" w:rsidR="00E87278">
        <w:rPr>
          <w:rFonts w:cs="Arial"/>
          <w:b w:val="0"/>
          <w:u w:val="none"/>
        </w:rPr>
        <w:t>A</w:t>
      </w:r>
      <w:r w:rsidRPr="00A213B8">
        <w:rPr>
          <w:rFonts w:cs="Arial"/>
          <w:b w:val="0"/>
          <w:u w:val="none"/>
        </w:rPr>
        <w:t xml:space="preserve"> (</w:t>
      </w:r>
      <w:r w:rsidRPr="00A213B8" w:rsidR="00E87278">
        <w:rPr>
          <w:rFonts w:cs="Arial"/>
          <w:b w:val="0"/>
          <w:i/>
          <w:u w:val="none"/>
        </w:rPr>
        <w:t xml:space="preserve">Facility Description and </w:t>
      </w:r>
      <w:r w:rsidRPr="00A213B8" w:rsidR="0062733D">
        <w:rPr>
          <w:rFonts w:cs="Arial"/>
          <w:b w:val="0"/>
          <w:i/>
          <w:u w:val="none"/>
        </w:rPr>
        <w:t>Additional Details</w:t>
      </w:r>
      <w:r w:rsidRPr="00A213B8">
        <w:rPr>
          <w:rFonts w:cs="Arial"/>
          <w:b w:val="0"/>
          <w:u w:val="none"/>
        </w:rPr>
        <w:t xml:space="preserve">), that </w:t>
      </w:r>
      <w:r w:rsidRPr="00A213B8" w:rsidR="002A48C4">
        <w:rPr>
          <w:rFonts w:cs="Arial"/>
          <w:b w:val="0"/>
          <w:u w:val="none"/>
        </w:rPr>
        <w:t>connects or will connect</w:t>
      </w:r>
      <w:r w:rsidRPr="00A213B8">
        <w:rPr>
          <w:rFonts w:cs="Arial"/>
          <w:b w:val="0"/>
          <w:u w:val="none"/>
        </w:rPr>
        <w:t xml:space="preserve"> to the </w:t>
      </w:r>
      <w:r w:rsidRPr="00A213B8" w:rsidR="00B46E81">
        <w:rPr>
          <w:rFonts w:cs="Arial"/>
          <w:b w:val="0"/>
          <w:u w:val="none"/>
        </w:rPr>
        <w:t>Southern Company Transmission System</w:t>
      </w:r>
      <w:r w:rsidRPr="00A213B8">
        <w:rPr>
          <w:rFonts w:cs="Arial"/>
          <w:b w:val="0"/>
          <w:u w:val="none"/>
        </w:rPr>
        <w:t xml:space="preserve"> at the </w:t>
      </w:r>
      <w:r w:rsidRPr="00A213B8" w:rsidR="00800034">
        <w:rPr>
          <w:rFonts w:cs="Arial"/>
          <w:b w:val="0"/>
          <w:u w:val="none"/>
        </w:rPr>
        <w:t>POI</w:t>
      </w:r>
      <w:r w:rsidRPr="00A213B8">
        <w:rPr>
          <w:rFonts w:cs="Arial"/>
          <w:b w:val="0"/>
          <w:u w:val="none"/>
        </w:rPr>
        <w:t>.</w:t>
      </w:r>
    </w:p>
    <w:p w:rsidRPr="00A213B8" w:rsidR="00AD1443" w:rsidP="000432D0" w:rsidRDefault="00AD1443" w14:paraId="79E4ECF0" w14:textId="6EBA8528">
      <w:pPr>
        <w:pStyle w:val="Heading3"/>
        <w:keepNext w:val="0"/>
        <w:keepLines w:val="0"/>
        <w:widowControl w:val="0"/>
        <w:spacing w:before="120"/>
        <w:rPr>
          <w:rFonts w:cs="Arial"/>
          <w:b w:val="0"/>
          <w:u w:val="none"/>
        </w:rPr>
      </w:pPr>
      <w:r w:rsidRPr="00A213B8">
        <w:rPr>
          <w:rFonts w:cs="Arial"/>
        </w:rPr>
        <w:t>Renewable Resource Capacity</w:t>
      </w:r>
      <w:r w:rsidRPr="00A213B8">
        <w:rPr>
          <w:rFonts w:cs="Arial"/>
          <w:u w:val="none"/>
        </w:rPr>
        <w:t xml:space="preserve">: </w:t>
      </w:r>
      <w:r w:rsidRPr="00A213B8">
        <w:rPr>
          <w:rFonts w:cs="Arial"/>
          <w:b w:val="0"/>
          <w:u w:val="none"/>
        </w:rPr>
        <w:t xml:space="preserve">The generating capability of the Renewable Resource on its own, without the </w:t>
      </w:r>
      <w:r w:rsidRPr="00A213B8" w:rsidR="00680C34">
        <w:rPr>
          <w:rFonts w:cs="Arial"/>
          <w:b w:val="0"/>
          <w:u w:val="none"/>
        </w:rPr>
        <w:t>B</w:t>
      </w:r>
      <w:r w:rsidRPr="00A213B8">
        <w:rPr>
          <w:rFonts w:cs="Arial"/>
          <w:b w:val="0"/>
          <w:u w:val="none"/>
        </w:rPr>
        <w:t>ESS.</w:t>
      </w:r>
    </w:p>
    <w:p w:rsidRPr="00A213B8" w:rsidR="00741FF1" w:rsidP="000432D0" w:rsidRDefault="00741FF1" w14:paraId="0D7F1055" w14:textId="7EA58091">
      <w:pPr>
        <w:spacing w:before="120" w:after="120" w:line="240" w:lineRule="auto"/>
        <w:rPr>
          <w:rFonts w:ascii="Arial" w:hAnsi="Arial" w:cs="Arial"/>
          <w:sz w:val="20"/>
          <w:szCs w:val="20"/>
        </w:rPr>
      </w:pPr>
      <w:r w:rsidRPr="00A213B8">
        <w:rPr>
          <w:rFonts w:ascii="Arial" w:hAnsi="Arial" w:cs="Arial"/>
          <w:b/>
          <w:bCs/>
          <w:sz w:val="20"/>
          <w:szCs w:val="20"/>
          <w:u w:val="single"/>
        </w:rPr>
        <w:t>Renewable Resource Charging</w:t>
      </w:r>
      <w:r w:rsidRPr="000432D0">
        <w:rPr>
          <w:rFonts w:ascii="Arial" w:hAnsi="Arial" w:cs="Arial"/>
          <w:b/>
          <w:bCs/>
          <w:sz w:val="20"/>
          <w:szCs w:val="20"/>
        </w:rPr>
        <w:t>:</w:t>
      </w:r>
      <w:r w:rsidRPr="00A213B8">
        <w:rPr>
          <w:rFonts w:ascii="Arial" w:hAnsi="Arial" w:cs="Arial"/>
          <w:sz w:val="20"/>
          <w:szCs w:val="20"/>
        </w:rPr>
        <w:t xml:space="preserve"> Charging the BESS from the Renewable Resource.</w:t>
      </w:r>
    </w:p>
    <w:p w:rsidRPr="00A213B8" w:rsidR="00741FF1" w:rsidP="000432D0" w:rsidRDefault="00BB5B85" w14:paraId="59C1D389" w14:textId="4AEC00BE">
      <w:pPr>
        <w:spacing w:before="120" w:after="120" w:line="240" w:lineRule="auto"/>
        <w:rPr>
          <w:rFonts w:ascii="Arial" w:hAnsi="Arial" w:cs="Arial"/>
          <w:sz w:val="20"/>
          <w:szCs w:val="20"/>
        </w:rPr>
      </w:pPr>
      <w:r w:rsidRPr="00A213B8">
        <w:rPr>
          <w:rFonts w:ascii="Arial" w:hAnsi="Arial" w:cs="Arial"/>
          <w:b/>
          <w:bCs/>
          <w:sz w:val="20"/>
          <w:szCs w:val="20"/>
          <w:u w:val="single"/>
        </w:rPr>
        <w:t>Renewable Resource Charging Energy</w:t>
      </w:r>
      <w:r w:rsidRPr="000432D0">
        <w:rPr>
          <w:rFonts w:ascii="Arial" w:hAnsi="Arial" w:cs="Arial"/>
          <w:b/>
          <w:bCs/>
          <w:sz w:val="20"/>
          <w:szCs w:val="20"/>
        </w:rPr>
        <w:t>:</w:t>
      </w:r>
      <w:r w:rsidRPr="000432D0">
        <w:rPr>
          <w:rFonts w:ascii="Arial" w:hAnsi="Arial" w:cs="Arial"/>
          <w:sz w:val="20"/>
          <w:szCs w:val="20"/>
        </w:rPr>
        <w:t xml:space="preserve"> </w:t>
      </w:r>
      <w:r w:rsidRPr="00A213B8">
        <w:rPr>
          <w:rFonts w:ascii="Arial" w:hAnsi="Arial" w:cs="Arial"/>
          <w:sz w:val="20"/>
          <w:szCs w:val="20"/>
        </w:rPr>
        <w:t>Charging Energy delivered to the BESS from the Renewable Resource.</w:t>
      </w:r>
    </w:p>
    <w:p w:rsidRPr="0097562D" w:rsidR="00287F50" w:rsidP="00261AEB" w:rsidRDefault="00287F50" w14:paraId="1583B688" w14:textId="0ADD4E7B">
      <w:pPr>
        <w:spacing w:before="120" w:after="120" w:line="240" w:lineRule="auto"/>
      </w:pPr>
      <w:r w:rsidRPr="000432D0">
        <w:rPr>
          <w:rFonts w:ascii="Arial" w:hAnsi="Arial" w:cs="Arial"/>
          <w:b/>
          <w:bCs/>
          <w:sz w:val="20"/>
          <w:szCs w:val="20"/>
          <w:u w:val="single"/>
        </w:rPr>
        <w:t>Reorganization Transaction</w:t>
      </w:r>
      <w:r w:rsidRPr="00A213B8">
        <w:rPr>
          <w:rFonts w:ascii="Arial" w:hAnsi="Arial" w:cs="Arial"/>
          <w:b/>
          <w:bCs/>
          <w:sz w:val="20"/>
          <w:szCs w:val="20"/>
        </w:rPr>
        <w:t>:</w:t>
      </w:r>
      <w:r w:rsidRPr="00A213B8">
        <w:rPr>
          <w:rFonts w:ascii="Arial" w:hAnsi="Arial" w:cs="Arial"/>
          <w:sz w:val="20"/>
          <w:szCs w:val="20"/>
        </w:rPr>
        <w:t xml:space="preserve"> A transaction or series of transactions that, if consummated, would result in a change to the interest, or the addition, of a parent of Seller, but that does not change Seller nor its Ultimate Parent Entity</w:t>
      </w:r>
      <w:r w:rsidRPr="00261AEB">
        <w:rPr>
          <w:rFonts w:ascii="Arial" w:hAnsi="Arial"/>
          <w:sz w:val="20"/>
        </w:rPr>
        <w:t>.</w:t>
      </w:r>
    </w:p>
    <w:p w:rsidRPr="00A213B8" w:rsidR="00713F5A" w:rsidP="00261AEB" w:rsidRDefault="002D54C4" w14:paraId="4EA7EB69" w14:textId="6C19E1AB">
      <w:pPr>
        <w:pStyle w:val="Heading3"/>
        <w:keepNext w:val="0"/>
        <w:keepLines w:val="0"/>
        <w:widowControl w:val="0"/>
        <w:spacing w:before="120"/>
        <w:rPr>
          <w:rFonts w:cs="Arial"/>
        </w:rPr>
      </w:pPr>
      <w:r w:rsidRPr="00A213B8">
        <w:rPr>
          <w:rFonts w:cs="Arial"/>
        </w:rPr>
        <w:t>Representative</w:t>
      </w:r>
      <w:r w:rsidRPr="00A213B8">
        <w:rPr>
          <w:rFonts w:cs="Arial"/>
          <w:u w:val="none"/>
        </w:rPr>
        <w:t xml:space="preserve">: </w:t>
      </w:r>
      <w:r w:rsidRPr="00A213B8">
        <w:rPr>
          <w:rFonts w:cs="Arial"/>
          <w:b w:val="0"/>
          <w:u w:val="none"/>
        </w:rPr>
        <w:t>When used regarding a Person, collectively or individually (as the context indicates), the Person, its Affiliates, and any permitted successor or assign, and the directors, officers, employees, representatives, consultants, attorneys, agents, bankers, insurers, financiers, accountants, contractors, or subcontractors of each of them.</w:t>
      </w:r>
      <w:r w:rsidRPr="00A213B8">
        <w:rPr>
          <w:rFonts w:cs="Arial"/>
        </w:rPr>
        <w:t xml:space="preserve"> </w:t>
      </w:r>
    </w:p>
    <w:p w:rsidRPr="00A213B8" w:rsidR="00BF6231" w:rsidP="000432D0" w:rsidRDefault="00BF6231" w14:paraId="36BD1E4B" w14:textId="01F6D665">
      <w:pPr>
        <w:spacing w:before="120" w:after="120" w:line="240" w:lineRule="auto"/>
        <w:rPr>
          <w:rFonts w:ascii="Arial" w:hAnsi="Arial" w:cs="Arial"/>
          <w:sz w:val="20"/>
          <w:szCs w:val="20"/>
        </w:rPr>
      </w:pPr>
      <w:r w:rsidRPr="00A213B8">
        <w:rPr>
          <w:rFonts w:ascii="Arial" w:hAnsi="Arial" w:cs="Arial"/>
          <w:b/>
          <w:bCs/>
          <w:sz w:val="20"/>
          <w:szCs w:val="20"/>
          <w:u w:val="single"/>
        </w:rPr>
        <w:t>Required BMPs</w:t>
      </w:r>
      <w:r w:rsidRPr="000432D0">
        <w:rPr>
          <w:rFonts w:ascii="Arial" w:hAnsi="Arial" w:cs="Arial"/>
          <w:b/>
          <w:bCs/>
          <w:sz w:val="20"/>
          <w:szCs w:val="20"/>
        </w:rPr>
        <w:t>:</w:t>
      </w:r>
      <w:r w:rsidRPr="00A213B8">
        <w:rPr>
          <w:rFonts w:ascii="Arial" w:hAnsi="Arial" w:cs="Arial"/>
          <w:sz w:val="20"/>
          <w:szCs w:val="20"/>
        </w:rPr>
        <w:t xml:space="preserve"> As defined in Section 17.4</w:t>
      </w:r>
      <w:r w:rsidR="000E674D">
        <w:rPr>
          <w:rFonts w:ascii="Arial" w:hAnsi="Arial" w:cs="Arial"/>
          <w:sz w:val="20"/>
          <w:szCs w:val="20"/>
        </w:rPr>
        <w:t>.1</w:t>
      </w:r>
      <w:r w:rsidRPr="00A213B8">
        <w:rPr>
          <w:rFonts w:ascii="Arial" w:hAnsi="Arial" w:cs="Arial"/>
          <w:sz w:val="20"/>
          <w:szCs w:val="20"/>
        </w:rPr>
        <w:t xml:space="preserve"> (</w:t>
      </w:r>
      <w:r w:rsidRPr="00A213B8">
        <w:rPr>
          <w:rFonts w:ascii="Arial" w:hAnsi="Arial" w:cs="Arial"/>
          <w:i/>
          <w:iCs/>
          <w:sz w:val="20"/>
          <w:szCs w:val="20"/>
        </w:rPr>
        <w:t>Required BMPs</w:t>
      </w:r>
      <w:r w:rsidRPr="00A213B8">
        <w:rPr>
          <w:rFonts w:ascii="Arial" w:hAnsi="Arial" w:cs="Arial"/>
          <w:sz w:val="20"/>
          <w:szCs w:val="20"/>
        </w:rPr>
        <w:t>).</w:t>
      </w:r>
    </w:p>
    <w:p w:rsidRPr="00A213B8" w:rsidR="00E51601" w:rsidP="00261AEB" w:rsidRDefault="002D54C4" w14:paraId="19BB9339" w14:textId="4A960B27">
      <w:pPr>
        <w:pStyle w:val="Heading3"/>
        <w:keepNext w:val="0"/>
        <w:keepLines w:val="0"/>
        <w:widowControl w:val="0"/>
        <w:spacing w:before="120"/>
        <w:rPr>
          <w:rFonts w:cs="Arial"/>
          <w:b w:val="0"/>
          <w:u w:val="none"/>
        </w:rPr>
      </w:pPr>
      <w:r w:rsidRPr="00A213B8">
        <w:rPr>
          <w:rFonts w:cs="Arial"/>
        </w:rPr>
        <w:t>Required Commercial Operation Date (RCOD)</w:t>
      </w:r>
      <w:r w:rsidRPr="00A213B8">
        <w:rPr>
          <w:rFonts w:cs="Arial"/>
          <w:u w:val="none"/>
        </w:rPr>
        <w:t xml:space="preserve">: </w:t>
      </w:r>
      <w:r w:rsidRPr="00A213B8">
        <w:rPr>
          <w:rFonts w:cs="Arial"/>
          <w:b w:val="0"/>
          <w:u w:val="none"/>
        </w:rPr>
        <w:t xml:space="preserve">The date by which the Facility must obtain Commercial </w:t>
      </w:r>
      <w:r w:rsidRPr="00A213B8">
        <w:rPr>
          <w:rFonts w:cs="Arial"/>
          <w:b w:val="0"/>
          <w:u w:val="none"/>
        </w:rPr>
        <w:lastRenderedPageBreak/>
        <w:t xml:space="preserve">Operation, </w:t>
      </w:r>
      <w:r w:rsidR="00F17E8C">
        <w:rPr>
          <w:b w:val="0"/>
          <w:u w:val="none"/>
        </w:rPr>
        <w:t xml:space="preserve">as </w:t>
      </w:r>
      <w:r w:rsidR="00A64896">
        <w:rPr>
          <w:b w:val="0"/>
          <w:u w:val="none"/>
        </w:rPr>
        <w:t>stated</w:t>
      </w:r>
      <w:r w:rsidR="00F17E8C">
        <w:rPr>
          <w:b w:val="0"/>
          <w:u w:val="none"/>
        </w:rPr>
        <w:t xml:space="preserve"> in </w:t>
      </w:r>
      <w:r w:rsidRPr="00534192" w:rsidR="00A64896">
        <w:rPr>
          <w:b w:val="0"/>
          <w:u w:val="none"/>
        </w:rPr>
        <w:t xml:space="preserve">Table A-2 </w:t>
      </w:r>
      <w:r w:rsidR="007D0495">
        <w:rPr>
          <w:b w:val="0"/>
          <w:u w:val="none"/>
        </w:rPr>
        <w:t>(</w:t>
      </w:r>
      <w:r w:rsidRPr="007D0495" w:rsidR="007D0495">
        <w:rPr>
          <w:b w:val="0"/>
          <w:i/>
          <w:u w:val="none"/>
        </w:rPr>
        <w:t>Term; RCOD</w:t>
      </w:r>
      <w:r w:rsidR="007D0495">
        <w:rPr>
          <w:b w:val="0"/>
          <w:u w:val="none"/>
        </w:rPr>
        <w:t xml:space="preserve">) </w:t>
      </w:r>
      <w:r w:rsidRPr="00534192" w:rsidR="003D2E71">
        <w:rPr>
          <w:b w:val="0"/>
          <w:u w:val="none"/>
        </w:rPr>
        <w:t>of</w:t>
      </w:r>
      <w:r w:rsidRPr="00534192" w:rsidR="00F17E8C">
        <w:rPr>
          <w:b w:val="0"/>
          <w:u w:val="none"/>
        </w:rPr>
        <w:t xml:space="preserve"> Exhibit A (</w:t>
      </w:r>
      <w:r w:rsidRPr="00534192" w:rsidR="00F17E8C">
        <w:rPr>
          <w:b w:val="0"/>
          <w:i/>
          <w:u w:val="none"/>
        </w:rPr>
        <w:t xml:space="preserve">Facility Description and </w:t>
      </w:r>
      <w:r w:rsidRPr="00534192" w:rsidR="0062733D">
        <w:rPr>
          <w:b w:val="0"/>
          <w:i/>
          <w:u w:val="none"/>
        </w:rPr>
        <w:t>Additional Details</w:t>
      </w:r>
      <w:r w:rsidRPr="00534192" w:rsidR="00F17E8C">
        <w:rPr>
          <w:b w:val="0"/>
          <w:u w:val="none"/>
        </w:rPr>
        <w:t>)</w:t>
      </w:r>
      <w:r w:rsidR="00F17E8C">
        <w:rPr>
          <w:b w:val="0"/>
          <w:u w:val="none"/>
        </w:rPr>
        <w:t>,</w:t>
      </w:r>
      <w:r w:rsidR="00EC0FDE">
        <w:rPr>
          <w:b w:val="0"/>
          <w:u w:val="none"/>
        </w:rPr>
        <w:t xml:space="preserve"> </w:t>
      </w:r>
      <w:r w:rsidRPr="00A213B8">
        <w:rPr>
          <w:rFonts w:cs="Arial"/>
          <w:b w:val="0"/>
          <w:u w:val="none"/>
        </w:rPr>
        <w:t xml:space="preserve">subject to any extension of </w:t>
      </w:r>
      <w:r w:rsidRPr="00A213B8" w:rsidR="00CD757A">
        <w:rPr>
          <w:rFonts w:cs="Arial"/>
          <w:b w:val="0"/>
          <w:u w:val="none"/>
        </w:rPr>
        <w:t>this</w:t>
      </w:r>
      <w:r w:rsidRPr="00A213B8">
        <w:rPr>
          <w:rFonts w:cs="Arial"/>
          <w:b w:val="0"/>
          <w:u w:val="none"/>
        </w:rPr>
        <w:t xml:space="preserve"> date in accordance with Section </w:t>
      </w:r>
      <w:r w:rsidRPr="00A213B8" w:rsidR="0050554C">
        <w:rPr>
          <w:rFonts w:cs="Arial"/>
          <w:b w:val="0"/>
          <w:u w:val="none"/>
        </w:rPr>
        <w:t>7.3.6</w:t>
      </w:r>
      <w:r w:rsidRPr="00A213B8">
        <w:rPr>
          <w:rFonts w:cs="Arial"/>
          <w:b w:val="0"/>
          <w:u w:val="none"/>
        </w:rPr>
        <w:t xml:space="preserve"> (</w:t>
      </w:r>
      <w:r w:rsidRPr="00A213B8">
        <w:rPr>
          <w:rFonts w:cs="Arial"/>
          <w:b w:val="0"/>
          <w:i/>
          <w:u w:val="none"/>
        </w:rPr>
        <w:t xml:space="preserve">Commercial Operation Delay Caused by </w:t>
      </w:r>
      <w:r w:rsidRPr="00A213B8" w:rsidR="00CE583F">
        <w:rPr>
          <w:rFonts w:cs="Arial"/>
          <w:b w:val="0"/>
          <w:i/>
          <w:u w:val="none"/>
        </w:rPr>
        <w:t>Southern Company Transmission System Capability</w:t>
      </w:r>
      <w:r w:rsidRPr="00A213B8">
        <w:rPr>
          <w:rFonts w:cs="Arial"/>
          <w:b w:val="0"/>
          <w:u w:val="none"/>
        </w:rPr>
        <w:t xml:space="preserve">) or Section </w:t>
      </w:r>
      <w:r w:rsidRPr="00A213B8" w:rsidR="00065849">
        <w:rPr>
          <w:rFonts w:cs="Arial"/>
          <w:b w:val="0"/>
          <w:u w:val="none"/>
        </w:rPr>
        <w:t>15.3.2</w:t>
      </w:r>
      <w:r w:rsidRPr="00A213B8">
        <w:rPr>
          <w:rFonts w:cs="Arial"/>
          <w:b w:val="0"/>
          <w:u w:val="none"/>
        </w:rPr>
        <w:t xml:space="preserve"> (</w:t>
      </w:r>
      <w:r w:rsidRPr="00A213B8">
        <w:rPr>
          <w:rFonts w:cs="Arial"/>
          <w:b w:val="0"/>
          <w:i/>
          <w:u w:val="none"/>
        </w:rPr>
        <w:t>Extension of RCOD</w:t>
      </w:r>
      <w:r w:rsidRPr="00A213B8">
        <w:rPr>
          <w:rFonts w:cs="Arial"/>
          <w:b w:val="0"/>
          <w:u w:val="none"/>
        </w:rPr>
        <w:t>).</w:t>
      </w:r>
      <w:bookmarkStart w:name="_Hlk37504706" w:id="33"/>
    </w:p>
    <w:p w:rsidRPr="00A213B8" w:rsidR="00253F06" w:rsidP="000432D0" w:rsidRDefault="00253F06" w14:paraId="32C9EEB4" w14:textId="3DC5C9E0">
      <w:pPr>
        <w:spacing w:before="120" w:after="120" w:line="240" w:lineRule="auto"/>
        <w:rPr>
          <w:rFonts w:ascii="Arial" w:hAnsi="Arial" w:cs="Arial"/>
          <w:sz w:val="20"/>
          <w:szCs w:val="20"/>
        </w:rPr>
      </w:pPr>
      <w:r w:rsidRPr="00A213B8">
        <w:rPr>
          <w:rFonts w:ascii="Arial" w:hAnsi="Arial" w:cs="Arial"/>
          <w:b/>
          <w:bCs/>
          <w:sz w:val="20"/>
          <w:szCs w:val="20"/>
          <w:u w:val="single"/>
        </w:rPr>
        <w:t>Responding Party</w:t>
      </w:r>
      <w:r w:rsidRPr="000432D0">
        <w:rPr>
          <w:rFonts w:ascii="Arial" w:hAnsi="Arial" w:cs="Arial"/>
          <w:b/>
          <w:bCs/>
          <w:sz w:val="20"/>
          <w:szCs w:val="20"/>
        </w:rPr>
        <w:t>:</w:t>
      </w:r>
      <w:r w:rsidRPr="000432D0">
        <w:rPr>
          <w:rFonts w:ascii="Arial" w:hAnsi="Arial" w:cs="Arial"/>
          <w:sz w:val="20"/>
          <w:szCs w:val="20"/>
        </w:rPr>
        <w:t xml:space="preserve"> </w:t>
      </w:r>
      <w:r w:rsidRPr="00A213B8">
        <w:rPr>
          <w:rFonts w:ascii="Arial" w:hAnsi="Arial" w:cs="Arial"/>
          <w:sz w:val="20"/>
          <w:szCs w:val="20"/>
        </w:rPr>
        <w:t>As defined in Section 19.1 (</w:t>
      </w:r>
      <w:r w:rsidRPr="00A213B8">
        <w:rPr>
          <w:rFonts w:ascii="Arial" w:hAnsi="Arial" w:cs="Arial"/>
          <w:i/>
          <w:iCs/>
          <w:sz w:val="20"/>
          <w:szCs w:val="20"/>
        </w:rPr>
        <w:t>Notice of Dispute; Dispute Resolution Process</w:t>
      </w:r>
      <w:r w:rsidRPr="00A213B8">
        <w:rPr>
          <w:rFonts w:ascii="Arial" w:hAnsi="Arial" w:cs="Arial"/>
          <w:sz w:val="20"/>
          <w:szCs w:val="20"/>
        </w:rPr>
        <w:t>).</w:t>
      </w:r>
    </w:p>
    <w:bookmarkEnd w:id="33"/>
    <w:p w:rsidRPr="00A213B8" w:rsidR="000C0788" w:rsidP="000432D0" w:rsidRDefault="000C0788" w14:paraId="6D39C6B4" w14:textId="2E5112A8">
      <w:pPr>
        <w:spacing w:before="120" w:after="120" w:line="240" w:lineRule="auto"/>
        <w:rPr>
          <w:rFonts w:ascii="Arial" w:hAnsi="Arial" w:cs="Arial"/>
          <w:sz w:val="20"/>
          <w:szCs w:val="20"/>
        </w:rPr>
      </w:pPr>
      <w:r w:rsidRPr="00A213B8">
        <w:rPr>
          <w:rFonts w:ascii="Arial" w:hAnsi="Arial" w:cs="Arial"/>
          <w:b/>
          <w:bCs/>
          <w:sz w:val="20"/>
          <w:szCs w:val="20"/>
          <w:u w:val="single"/>
        </w:rPr>
        <w:t>ROC</w:t>
      </w:r>
      <w:r w:rsidRPr="00A213B8">
        <w:rPr>
          <w:rFonts w:ascii="Arial" w:hAnsi="Arial" w:cs="Arial"/>
          <w:sz w:val="20"/>
          <w:szCs w:val="20"/>
        </w:rPr>
        <w:t xml:space="preserve">: See </w:t>
      </w:r>
      <w:r w:rsidRPr="00A213B8">
        <w:rPr>
          <w:rFonts w:ascii="Arial" w:hAnsi="Arial" w:cs="Arial"/>
          <w:i/>
          <w:iCs/>
          <w:sz w:val="20"/>
          <w:szCs w:val="20"/>
        </w:rPr>
        <w:t>Maximum Rate of Charge</w:t>
      </w:r>
      <w:r w:rsidRPr="00A213B8">
        <w:rPr>
          <w:rFonts w:ascii="Arial" w:hAnsi="Arial" w:cs="Arial"/>
          <w:sz w:val="20"/>
          <w:szCs w:val="20"/>
        </w:rPr>
        <w:t>.</w:t>
      </w:r>
    </w:p>
    <w:p w:rsidRPr="00261AEB" w:rsidR="002D54C4" w:rsidP="00261AEB" w:rsidRDefault="002D54C4" w14:paraId="72ECA861" w14:textId="3BDEF795">
      <w:pPr>
        <w:pStyle w:val="Heading3"/>
        <w:keepNext w:val="0"/>
        <w:keepLines w:val="0"/>
        <w:widowControl w:val="0"/>
        <w:spacing w:before="120"/>
        <w:rPr>
          <w:b w:val="0"/>
          <w:color w:val="000000"/>
          <w:u w:val="none"/>
        </w:rPr>
      </w:pPr>
      <w:r w:rsidRPr="00A213B8">
        <w:rPr>
          <w:rFonts w:cs="Arial"/>
          <w:color w:val="000000"/>
        </w:rPr>
        <w:t>Round-Trip Efficiency (RTE)</w:t>
      </w:r>
      <w:r w:rsidRPr="00A213B8">
        <w:rPr>
          <w:rFonts w:cs="Arial"/>
          <w:color w:val="000000"/>
          <w:u w:val="none"/>
        </w:rPr>
        <w:t xml:space="preserve">: </w:t>
      </w:r>
      <w:r w:rsidRPr="00A213B8">
        <w:rPr>
          <w:rFonts w:cs="Arial"/>
          <w:b w:val="0"/>
          <w:color w:val="000000"/>
          <w:u w:val="none"/>
        </w:rPr>
        <w:t xml:space="preserve">The amount of energy </w:t>
      </w:r>
      <w:r w:rsidRPr="00A213B8" w:rsidR="00897716">
        <w:rPr>
          <w:rFonts w:cs="Arial"/>
          <w:b w:val="0"/>
          <w:color w:val="000000" w:themeColor="text1"/>
          <w:u w:val="none"/>
        </w:rPr>
        <w:t>discharged</w:t>
      </w:r>
      <w:r w:rsidRPr="00261AEB" w:rsidR="00897716">
        <w:rPr>
          <w:b w:val="0"/>
          <w:color w:val="000000" w:themeColor="text1"/>
          <w:u w:val="none"/>
        </w:rPr>
        <w:t xml:space="preserve"> from the</w:t>
      </w:r>
      <w:r w:rsidRPr="00261AEB" w:rsidR="00897716">
        <w:rPr>
          <w:b w:val="0"/>
          <w:u w:val="none"/>
        </w:rPr>
        <w:t xml:space="preserve"> </w:t>
      </w:r>
      <w:r w:rsidR="00897716">
        <w:rPr>
          <w:b w:val="0"/>
          <w:u w:val="none"/>
        </w:rPr>
        <w:t>BESS</w:t>
      </w:r>
      <w:r w:rsidRPr="00261AEB" w:rsidR="00897716">
        <w:rPr>
          <w:b w:val="0"/>
          <w:color w:val="000000" w:themeColor="text1"/>
          <w:u w:val="none"/>
        </w:rPr>
        <w:t xml:space="preserve"> at the </w:t>
      </w:r>
      <w:r w:rsidRPr="00A213B8" w:rsidR="00897716">
        <w:rPr>
          <w:rFonts w:cs="Arial"/>
          <w:b w:val="0"/>
          <w:color w:val="000000" w:themeColor="text1"/>
          <w:u w:val="none"/>
        </w:rPr>
        <w:t>low voltage AC side of the main power transformer(s) (exclusive of the Auxiliary Operational Load)</w:t>
      </w:r>
      <w:r w:rsidRPr="00261AEB" w:rsidR="00897716">
        <w:rPr>
          <w:b w:val="0"/>
          <w:color w:val="000000" w:themeColor="text1"/>
          <w:u w:val="none"/>
        </w:rPr>
        <w:t xml:space="preserve"> </w:t>
      </w:r>
      <w:r w:rsidRPr="00A213B8">
        <w:rPr>
          <w:rFonts w:cs="Arial"/>
          <w:b w:val="0"/>
          <w:color w:val="000000"/>
          <w:u w:val="none"/>
        </w:rPr>
        <w:t xml:space="preserve">divided by the original amount of energy that was used to charge the </w:t>
      </w:r>
      <w:r w:rsidR="00897716">
        <w:rPr>
          <w:b w:val="0"/>
          <w:u w:val="none"/>
        </w:rPr>
        <w:t>BESS</w:t>
      </w:r>
      <w:r w:rsidRPr="00261AEB" w:rsidR="00897716">
        <w:rPr>
          <w:b w:val="0"/>
          <w:color w:val="000000" w:themeColor="text1"/>
          <w:u w:val="none"/>
        </w:rPr>
        <w:t xml:space="preserve"> at </w:t>
      </w:r>
      <w:r w:rsidRPr="00261AEB" w:rsidR="00C94D79">
        <w:rPr>
          <w:b w:val="0"/>
          <w:color w:val="000000" w:themeColor="text1"/>
          <w:u w:val="none"/>
        </w:rPr>
        <w:t xml:space="preserve">the </w:t>
      </w:r>
      <w:r w:rsidRPr="00A213B8" w:rsidR="00897716">
        <w:rPr>
          <w:rFonts w:cs="Arial"/>
          <w:b w:val="0"/>
          <w:color w:val="000000" w:themeColor="text1"/>
          <w:u w:val="none"/>
        </w:rPr>
        <w:t>low voltage AC side of the main power transformer(s) (exclusive of the Auxiliary Operational Load)</w:t>
      </w:r>
      <w:r w:rsidRPr="00A213B8">
        <w:rPr>
          <w:rFonts w:cs="Arial"/>
          <w:b w:val="0"/>
          <w:color w:val="000000"/>
          <w:u w:val="none"/>
        </w:rPr>
        <w:t xml:space="preserve">. </w:t>
      </w:r>
    </w:p>
    <w:p w:rsidRPr="00A213B8" w:rsidR="0076358B" w:rsidP="000432D0" w:rsidRDefault="0076358B" w14:paraId="0B3C21AF" w14:textId="5A527EAF">
      <w:pPr>
        <w:spacing w:before="120" w:after="120" w:line="240" w:lineRule="auto"/>
        <w:rPr>
          <w:rFonts w:ascii="Arial" w:hAnsi="Arial" w:cs="Arial"/>
          <w:sz w:val="20"/>
          <w:szCs w:val="20"/>
        </w:rPr>
      </w:pPr>
      <w:r w:rsidRPr="00A213B8">
        <w:rPr>
          <w:rFonts w:ascii="Arial" w:hAnsi="Arial" w:cs="Arial"/>
          <w:b/>
          <w:bCs/>
          <w:sz w:val="20"/>
          <w:szCs w:val="20"/>
          <w:u w:val="single"/>
        </w:rPr>
        <w:t>Rules</w:t>
      </w:r>
      <w:r w:rsidRPr="000432D0">
        <w:rPr>
          <w:rFonts w:ascii="Arial" w:hAnsi="Arial" w:cs="Arial"/>
          <w:b/>
          <w:bCs/>
          <w:sz w:val="20"/>
          <w:szCs w:val="20"/>
        </w:rPr>
        <w:t>:</w:t>
      </w:r>
      <w:r w:rsidRPr="00A213B8">
        <w:rPr>
          <w:rFonts w:ascii="Arial" w:hAnsi="Arial" w:cs="Arial"/>
          <w:sz w:val="20"/>
          <w:szCs w:val="20"/>
        </w:rPr>
        <w:t xml:space="preserve"> As defined in Section 19.3.1 (</w:t>
      </w:r>
      <w:r w:rsidRPr="00A213B8">
        <w:rPr>
          <w:rFonts w:ascii="Arial" w:hAnsi="Arial" w:cs="Arial"/>
          <w:i/>
          <w:iCs/>
          <w:sz w:val="20"/>
          <w:szCs w:val="20"/>
        </w:rPr>
        <w:t>JAMS</w:t>
      </w:r>
      <w:r w:rsidRPr="00A213B8">
        <w:rPr>
          <w:rFonts w:ascii="Arial" w:hAnsi="Arial" w:cs="Arial"/>
          <w:sz w:val="20"/>
          <w:szCs w:val="20"/>
        </w:rPr>
        <w:t>).</w:t>
      </w:r>
    </w:p>
    <w:p w:rsidRPr="00A213B8" w:rsidR="002D54C4" w:rsidP="00261AEB" w:rsidRDefault="002D54C4" w14:paraId="21D014DB" w14:textId="11D800B1">
      <w:pPr>
        <w:pStyle w:val="Heading3"/>
        <w:keepNext w:val="0"/>
        <w:keepLines w:val="0"/>
        <w:widowControl w:val="0"/>
        <w:spacing w:before="120"/>
        <w:rPr>
          <w:rFonts w:cs="Arial"/>
        </w:rPr>
      </w:pPr>
      <w:r w:rsidRPr="00A213B8">
        <w:rPr>
          <w:rFonts w:cs="Arial"/>
        </w:rPr>
        <w:t>S&amp;P</w:t>
      </w:r>
      <w:r w:rsidRPr="00A213B8">
        <w:rPr>
          <w:rFonts w:cs="Arial"/>
          <w:u w:val="none"/>
        </w:rPr>
        <w:t xml:space="preserve">: </w:t>
      </w:r>
      <w:r w:rsidRPr="00A213B8" w:rsidR="00711D63">
        <w:rPr>
          <w:rFonts w:cs="Arial"/>
          <w:b w:val="0"/>
          <w:u w:val="none"/>
        </w:rPr>
        <w:t xml:space="preserve">S&amp;P Global Ratings, a division of S&amp;P Global Inc., </w:t>
      </w:r>
      <w:r w:rsidRPr="00A213B8" w:rsidR="00B91FE8">
        <w:rPr>
          <w:rFonts w:cs="Arial"/>
          <w:b w:val="0"/>
          <w:u w:val="none"/>
        </w:rPr>
        <w:t>or its successor</w:t>
      </w:r>
      <w:r w:rsidRPr="00A213B8">
        <w:rPr>
          <w:rFonts w:cs="Arial"/>
          <w:b w:val="0"/>
          <w:u w:val="none"/>
        </w:rPr>
        <w:t>. If S&amp;P ceases to exist or publish ratings, S&amp;P will mean a nationally recognized rating agency mutually agreed upon by the Parties.</w:t>
      </w:r>
    </w:p>
    <w:p w:rsidRPr="00A213B8" w:rsidR="002D54C4" w:rsidP="00261AEB" w:rsidRDefault="002D54C4" w14:paraId="46BCE223" w14:textId="79B179F0">
      <w:pPr>
        <w:pStyle w:val="Heading3"/>
        <w:keepNext w:val="0"/>
        <w:keepLines w:val="0"/>
        <w:widowControl w:val="0"/>
        <w:spacing w:before="120"/>
        <w:rPr>
          <w:rFonts w:cs="Arial"/>
          <w:b w:val="0"/>
          <w:u w:val="none"/>
        </w:rPr>
      </w:pPr>
      <w:r w:rsidRPr="00A213B8">
        <w:rPr>
          <w:rFonts w:cs="Arial"/>
        </w:rPr>
        <w:t>Scheduled Outage</w:t>
      </w:r>
      <w:r w:rsidRPr="00A213B8">
        <w:rPr>
          <w:rFonts w:cs="Arial"/>
          <w:u w:val="none"/>
        </w:rPr>
        <w:t xml:space="preserve">: </w:t>
      </w:r>
      <w:r w:rsidRPr="00A213B8" w:rsidR="008439ED">
        <w:rPr>
          <w:rFonts w:cs="Arial"/>
          <w:b w:val="0"/>
          <w:u w:val="none"/>
        </w:rPr>
        <w:t>Any Facility</w:t>
      </w:r>
      <w:r w:rsidRPr="00A213B8">
        <w:rPr>
          <w:rFonts w:cs="Arial"/>
          <w:b w:val="0"/>
          <w:u w:val="none"/>
        </w:rPr>
        <w:t xml:space="preserve"> outage </w:t>
      </w:r>
      <w:r w:rsidRPr="00A213B8" w:rsidR="00043658">
        <w:rPr>
          <w:rFonts w:cs="Arial"/>
          <w:b w:val="0"/>
          <w:u w:val="none"/>
        </w:rPr>
        <w:t>(whole or partial)</w:t>
      </w:r>
      <w:r w:rsidRPr="00A213B8">
        <w:rPr>
          <w:rFonts w:cs="Arial"/>
          <w:b w:val="0"/>
          <w:u w:val="none"/>
        </w:rPr>
        <w:t xml:space="preserve"> scheduled in the final, approved Maintenance Schedule</w:t>
      </w:r>
      <w:r w:rsidRPr="00A213B8" w:rsidR="00403369">
        <w:rPr>
          <w:rFonts w:cs="Arial"/>
          <w:b w:val="0"/>
          <w:u w:val="none"/>
        </w:rPr>
        <w:t>.</w:t>
      </w:r>
    </w:p>
    <w:p w:rsidRPr="00A213B8" w:rsidR="00147BD3" w:rsidP="00261AEB" w:rsidRDefault="00147BD3" w14:paraId="2CF23C7B" w14:textId="73CCEC69">
      <w:pPr>
        <w:pStyle w:val="Heading3"/>
        <w:keepNext w:val="0"/>
        <w:keepLines w:val="0"/>
        <w:widowControl w:val="0"/>
        <w:spacing w:before="120"/>
        <w:rPr>
          <w:rFonts w:cs="Arial"/>
        </w:rPr>
      </w:pPr>
      <w:r w:rsidRPr="00A213B8">
        <w:rPr>
          <w:rStyle w:val="normaltextrun"/>
          <w:rFonts w:cs="Arial"/>
        </w:rPr>
        <w:t>SCS</w:t>
      </w:r>
      <w:r w:rsidRPr="00A213B8">
        <w:rPr>
          <w:rStyle w:val="normaltextrun"/>
          <w:rFonts w:cs="Arial"/>
          <w:u w:val="none"/>
          <w:shd w:val="clear" w:color="auto" w:fill="FFFFFF"/>
        </w:rPr>
        <w:t xml:space="preserve">: </w:t>
      </w:r>
      <w:r w:rsidRPr="00CC7BD4" w:rsidR="00CC7BD4">
        <w:rPr>
          <w:rStyle w:val="normaltextrun"/>
          <w:rFonts w:cs="Arial"/>
          <w:b w:val="0"/>
          <w:bCs w:val="0"/>
          <w:u w:val="none"/>
          <w:shd w:val="clear" w:color="auto" w:fill="FFFFFF"/>
        </w:rPr>
        <w:t>See</w:t>
      </w:r>
      <w:r w:rsidR="00CC7BD4">
        <w:rPr>
          <w:rStyle w:val="normaltextrun"/>
          <w:rFonts w:cs="Arial"/>
          <w:u w:val="none"/>
          <w:shd w:val="clear" w:color="auto" w:fill="FFFFFF"/>
        </w:rPr>
        <w:t xml:space="preserve"> </w:t>
      </w:r>
      <w:r w:rsidRPr="00CC7BD4">
        <w:rPr>
          <w:rStyle w:val="normaltextrun"/>
          <w:rFonts w:cs="Arial"/>
          <w:b w:val="0"/>
          <w:bCs w:val="0"/>
          <w:i/>
          <w:iCs/>
          <w:u w:val="none"/>
          <w:shd w:val="clear" w:color="auto" w:fill="FFFFFF"/>
        </w:rPr>
        <w:t>Southern Company Services</w:t>
      </w:r>
      <w:r w:rsidRPr="00A213B8">
        <w:rPr>
          <w:rStyle w:val="normaltextrun"/>
          <w:rFonts w:cs="Arial"/>
          <w:b w:val="0"/>
          <w:bCs w:val="0"/>
          <w:u w:val="none"/>
          <w:shd w:val="clear" w:color="auto" w:fill="FFFFFF"/>
        </w:rPr>
        <w:t>.</w:t>
      </w:r>
      <w:r w:rsidRPr="00A213B8" w:rsidDel="00FB33DB" w:rsidR="00FB33DB">
        <w:rPr>
          <w:rStyle w:val="eop"/>
          <w:rFonts w:cs="Arial"/>
          <w:shd w:val="clear" w:color="auto" w:fill="FFFFFF"/>
        </w:rPr>
        <w:t xml:space="preserve"> </w:t>
      </w:r>
    </w:p>
    <w:p w:rsidRPr="00A213B8" w:rsidR="002D54C4" w:rsidP="00261AEB" w:rsidRDefault="002D54C4" w14:paraId="573C249E" w14:textId="0DDC800C">
      <w:pPr>
        <w:pStyle w:val="Heading3"/>
        <w:keepNext w:val="0"/>
        <w:keepLines w:val="0"/>
        <w:widowControl w:val="0"/>
        <w:spacing w:before="120"/>
        <w:rPr>
          <w:rFonts w:cs="Arial"/>
        </w:rPr>
      </w:pPr>
      <w:r w:rsidRPr="00A213B8">
        <w:rPr>
          <w:rFonts w:cs="Arial"/>
        </w:rPr>
        <w:t>SDDC</w:t>
      </w:r>
      <w:r w:rsidRPr="00A213B8">
        <w:rPr>
          <w:rFonts w:cs="Arial"/>
          <w:u w:val="none"/>
        </w:rPr>
        <w:t xml:space="preserve">: </w:t>
      </w:r>
      <w:r w:rsidRPr="00A213B8">
        <w:rPr>
          <w:rFonts w:cs="Arial"/>
          <w:b w:val="0"/>
          <w:u w:val="none"/>
        </w:rPr>
        <w:t xml:space="preserve">See </w:t>
      </w:r>
      <w:r w:rsidRPr="00A213B8">
        <w:rPr>
          <w:rFonts w:cs="Arial"/>
          <w:b w:val="0"/>
          <w:i/>
          <w:u w:val="none"/>
        </w:rPr>
        <w:t>Storage Device Design Capacity</w:t>
      </w:r>
      <w:r w:rsidRPr="00A213B8">
        <w:rPr>
          <w:rFonts w:cs="Arial"/>
          <w:b w:val="0"/>
          <w:u w:val="none"/>
        </w:rPr>
        <w:t>.</w:t>
      </w:r>
    </w:p>
    <w:p w:rsidRPr="00A213B8" w:rsidR="002D54C4" w:rsidP="00261AEB" w:rsidRDefault="002D54C4" w14:paraId="39559B50" w14:textId="77777777">
      <w:pPr>
        <w:pStyle w:val="Heading3"/>
        <w:keepNext w:val="0"/>
        <w:keepLines w:val="0"/>
        <w:widowControl w:val="0"/>
        <w:spacing w:before="120"/>
        <w:rPr>
          <w:rFonts w:cs="Arial"/>
        </w:rPr>
      </w:pPr>
      <w:r w:rsidRPr="00A213B8">
        <w:rPr>
          <w:rFonts w:cs="Arial"/>
        </w:rPr>
        <w:t>SDDD</w:t>
      </w:r>
      <w:r w:rsidRPr="00A213B8">
        <w:rPr>
          <w:rFonts w:cs="Arial"/>
          <w:u w:val="none"/>
        </w:rPr>
        <w:t xml:space="preserve">: </w:t>
      </w:r>
      <w:r w:rsidRPr="00A213B8">
        <w:rPr>
          <w:rFonts w:cs="Arial"/>
          <w:b w:val="0"/>
          <w:u w:val="none"/>
        </w:rPr>
        <w:t xml:space="preserve">See </w:t>
      </w:r>
      <w:r w:rsidRPr="00A213B8">
        <w:rPr>
          <w:rFonts w:cs="Arial"/>
          <w:b w:val="0"/>
          <w:i/>
          <w:u w:val="none"/>
        </w:rPr>
        <w:t>Storage Device Discharge Duration</w:t>
      </w:r>
      <w:r w:rsidRPr="00A213B8">
        <w:rPr>
          <w:rFonts w:cs="Arial"/>
          <w:b w:val="0"/>
          <w:u w:val="none"/>
        </w:rPr>
        <w:t>.</w:t>
      </w:r>
      <w:r w:rsidRPr="00A213B8">
        <w:rPr>
          <w:rFonts w:cs="Arial"/>
        </w:rPr>
        <w:t xml:space="preserve"> </w:t>
      </w:r>
    </w:p>
    <w:p w:rsidRPr="00A213B8" w:rsidR="002D54C4" w:rsidP="00261AEB" w:rsidRDefault="002D54C4" w14:paraId="243424B4" w14:textId="77777777">
      <w:pPr>
        <w:pStyle w:val="Heading3"/>
        <w:keepNext w:val="0"/>
        <w:keepLines w:val="0"/>
        <w:widowControl w:val="0"/>
        <w:spacing w:before="120"/>
        <w:rPr>
          <w:rFonts w:cs="Arial"/>
        </w:rPr>
      </w:pPr>
      <w:r w:rsidRPr="00A213B8">
        <w:rPr>
          <w:rFonts w:cs="Arial"/>
        </w:rPr>
        <w:t>SDOE</w:t>
      </w:r>
      <w:r w:rsidRPr="00A213B8">
        <w:rPr>
          <w:rFonts w:cs="Arial"/>
          <w:u w:val="none"/>
        </w:rPr>
        <w:t xml:space="preserve">: </w:t>
      </w:r>
      <w:r w:rsidRPr="00A213B8">
        <w:rPr>
          <w:rFonts w:cs="Arial"/>
          <w:b w:val="0"/>
          <w:u w:val="none"/>
        </w:rPr>
        <w:t xml:space="preserve">See </w:t>
      </w:r>
      <w:r w:rsidRPr="00A213B8">
        <w:rPr>
          <w:rFonts w:cs="Arial"/>
          <w:b w:val="0"/>
          <w:i/>
          <w:u w:val="none"/>
        </w:rPr>
        <w:t>Storage Device Operating Energy</w:t>
      </w:r>
      <w:r w:rsidRPr="00A213B8">
        <w:rPr>
          <w:rFonts w:cs="Arial"/>
          <w:b w:val="0"/>
          <w:u w:val="none"/>
        </w:rPr>
        <w:t>.</w:t>
      </w:r>
    </w:p>
    <w:p w:rsidRPr="00A213B8" w:rsidR="002D54C4" w:rsidP="00261AEB" w:rsidRDefault="002D54C4" w14:paraId="7F70E2A8" w14:textId="7F1F3E52">
      <w:pPr>
        <w:pStyle w:val="Heading3"/>
        <w:keepNext w:val="0"/>
        <w:keepLines w:val="0"/>
        <w:widowControl w:val="0"/>
        <w:spacing w:before="120"/>
        <w:rPr>
          <w:rFonts w:cs="Arial"/>
        </w:rPr>
      </w:pPr>
      <w:r w:rsidRPr="00A213B8">
        <w:rPr>
          <w:rFonts w:cs="Arial"/>
        </w:rPr>
        <w:t>Seller</w:t>
      </w:r>
      <w:r w:rsidRPr="00A213B8">
        <w:rPr>
          <w:rFonts w:cs="Arial"/>
          <w:u w:val="none"/>
        </w:rPr>
        <w:t xml:space="preserve">: </w:t>
      </w:r>
      <w:r w:rsidRPr="00A213B8">
        <w:rPr>
          <w:rFonts w:cs="Arial"/>
          <w:b w:val="0"/>
          <w:u w:val="none"/>
        </w:rPr>
        <w:t>The counterparty to GPC in this PPA, as specified in the preamble.</w:t>
      </w:r>
      <w:r w:rsidRPr="00A213B8">
        <w:rPr>
          <w:rFonts w:cs="Arial"/>
        </w:rPr>
        <w:t xml:space="preserve">  </w:t>
      </w:r>
    </w:p>
    <w:p w:rsidRPr="00A213B8" w:rsidR="00B561AC" w:rsidP="00261AEB" w:rsidRDefault="00CA4BBF" w14:paraId="7A89AC5D" w14:textId="4E3F218C">
      <w:pPr>
        <w:pStyle w:val="Heading3"/>
        <w:keepNext w:val="0"/>
        <w:keepLines w:val="0"/>
        <w:widowControl w:val="0"/>
        <w:spacing w:before="120"/>
        <w:rPr>
          <w:rFonts w:cs="Arial"/>
        </w:rPr>
      </w:pPr>
      <w:r w:rsidRPr="00A213B8">
        <w:rPr>
          <w:rFonts w:cs="Arial"/>
        </w:rPr>
        <w:t>Seller Entity</w:t>
      </w:r>
      <w:r w:rsidRPr="00A213B8">
        <w:rPr>
          <w:rFonts w:cs="Arial"/>
          <w:b w:val="0"/>
          <w:bCs w:val="0"/>
          <w:u w:val="none"/>
        </w:rPr>
        <w:t>: Each of Seller or any Affiliate, contractor, supplier, contractual party, or customer, or an officer, director, employee, representative, or agent of one of them.</w:t>
      </w:r>
    </w:p>
    <w:p w:rsidRPr="00A213B8" w:rsidR="00AB673D" w:rsidP="00261AEB" w:rsidRDefault="00AB673D" w14:paraId="712A55E6" w14:textId="487BF6A1">
      <w:pPr>
        <w:pStyle w:val="Heading3"/>
        <w:keepNext w:val="0"/>
        <w:keepLines w:val="0"/>
        <w:widowControl w:val="0"/>
        <w:spacing w:before="120"/>
        <w:rPr>
          <w:rFonts w:cs="Arial"/>
        </w:rPr>
      </w:pPr>
      <w:r w:rsidRPr="00A213B8">
        <w:rPr>
          <w:rFonts w:cs="Arial"/>
        </w:rPr>
        <w:t>Seller Guarantor</w:t>
      </w:r>
      <w:r w:rsidRPr="00A213B8">
        <w:rPr>
          <w:rFonts w:cs="Arial"/>
          <w:b w:val="0"/>
          <w:bCs w:val="0"/>
          <w:u w:val="none"/>
        </w:rPr>
        <w:t xml:space="preserve">: A Person </w:t>
      </w:r>
      <w:r w:rsidRPr="00A213B8" w:rsidR="000B7CFC">
        <w:rPr>
          <w:rFonts w:cs="Arial"/>
          <w:b w:val="0"/>
          <w:bCs w:val="0"/>
          <w:u w:val="none"/>
        </w:rPr>
        <w:t>who</w:t>
      </w:r>
      <w:r w:rsidRPr="00A213B8">
        <w:rPr>
          <w:rFonts w:cs="Arial"/>
          <w:b w:val="0"/>
          <w:bCs w:val="0"/>
          <w:u w:val="none"/>
        </w:rPr>
        <w:t xml:space="preserve">, at the time of execution and delivery of its </w:t>
      </w:r>
      <w:r w:rsidRPr="00A213B8" w:rsidR="00737AD4">
        <w:rPr>
          <w:rFonts w:cs="Arial"/>
          <w:b w:val="0"/>
          <w:bCs w:val="0"/>
          <w:u w:val="none"/>
        </w:rPr>
        <w:t xml:space="preserve">Seller </w:t>
      </w:r>
      <w:r w:rsidRPr="00A213B8">
        <w:rPr>
          <w:rFonts w:cs="Arial"/>
          <w:b w:val="0"/>
          <w:bCs w:val="0"/>
          <w:u w:val="none"/>
        </w:rPr>
        <w:t>Guaranty: (i) is either: (a) an Affiliate of Seller; or (b) otherwise an entity acceptable to GPC; and (ii) is Creditworthy.</w:t>
      </w:r>
    </w:p>
    <w:p w:rsidRPr="00261AEB" w:rsidR="002D54C4" w:rsidP="00261AEB" w:rsidRDefault="002D54C4" w14:paraId="256E6DF2" w14:textId="567A8C46">
      <w:pPr>
        <w:pStyle w:val="Heading3"/>
        <w:keepNext w:val="0"/>
        <w:keepLines w:val="0"/>
        <w:widowControl w:val="0"/>
        <w:spacing w:before="120"/>
        <w:rPr>
          <w:b w:val="0"/>
          <w:u w:val="none"/>
        </w:rPr>
      </w:pPr>
      <w:r w:rsidRPr="00A213B8">
        <w:rPr>
          <w:rFonts w:cs="Arial"/>
        </w:rPr>
        <w:t>Seller Guaranty</w:t>
      </w:r>
      <w:r w:rsidRPr="00A213B8">
        <w:rPr>
          <w:rFonts w:cs="Arial"/>
          <w:u w:val="none"/>
        </w:rPr>
        <w:t xml:space="preserve">: </w:t>
      </w:r>
      <w:r w:rsidRPr="00A213B8">
        <w:rPr>
          <w:rFonts w:cs="Arial"/>
          <w:b w:val="0"/>
          <w:u w:val="none"/>
        </w:rPr>
        <w:t xml:space="preserve">A guaranty provided by the Seller Guarantor that is substantially in the form of the guaranty attached as Exhibit </w:t>
      </w:r>
      <w:r w:rsidRPr="00A213B8" w:rsidR="00EF1832">
        <w:rPr>
          <w:rFonts w:cs="Arial"/>
          <w:b w:val="0"/>
          <w:u w:val="none"/>
        </w:rPr>
        <w:t>L</w:t>
      </w:r>
      <w:r w:rsidRPr="00A213B8" w:rsidR="002C0183">
        <w:rPr>
          <w:rFonts w:cs="Arial"/>
          <w:b w:val="0"/>
          <w:u w:val="none"/>
        </w:rPr>
        <w:t xml:space="preserve"> </w:t>
      </w:r>
      <w:r w:rsidRPr="00A213B8">
        <w:rPr>
          <w:rFonts w:cs="Arial"/>
          <w:b w:val="0"/>
          <w:u w:val="none"/>
        </w:rPr>
        <w:t>(</w:t>
      </w:r>
      <w:r w:rsidRPr="00A213B8" w:rsidR="003B7F28">
        <w:rPr>
          <w:rFonts w:cs="Arial"/>
          <w:b w:val="0"/>
          <w:i/>
          <w:u w:val="none"/>
        </w:rPr>
        <w:t>Form of Guaranty</w:t>
      </w:r>
      <w:r w:rsidRPr="00A213B8">
        <w:rPr>
          <w:rFonts w:cs="Arial"/>
          <w:b w:val="0"/>
          <w:u w:val="none"/>
        </w:rPr>
        <w:t>).</w:t>
      </w:r>
    </w:p>
    <w:p w:rsidRPr="00A213B8" w:rsidR="00AE74E0" w:rsidP="000432D0" w:rsidRDefault="00AE74E0" w14:paraId="3B902AEA" w14:textId="7FBFA27F">
      <w:pPr>
        <w:pStyle w:val="Heading3"/>
        <w:spacing w:before="120"/>
        <w:rPr>
          <w:rFonts w:cs="Arial"/>
          <w:u w:val="none"/>
        </w:rPr>
      </w:pPr>
      <w:r w:rsidRPr="00A213B8">
        <w:rPr>
          <w:rFonts w:cs="Arial"/>
        </w:rPr>
        <w:t>Seller Response Notice</w:t>
      </w:r>
      <w:r w:rsidRPr="00A213B8">
        <w:rPr>
          <w:rFonts w:cs="Arial"/>
          <w:u w:val="none"/>
        </w:rPr>
        <w:t>:</w:t>
      </w:r>
      <w:r w:rsidRPr="00A213B8">
        <w:rPr>
          <w:rFonts w:cs="Arial"/>
          <w:b w:val="0"/>
          <w:u w:val="none"/>
        </w:rPr>
        <w:t xml:space="preserve"> As defined in Section 17.1.4 (</w:t>
      </w:r>
      <w:r w:rsidRPr="00A213B8">
        <w:rPr>
          <w:rFonts w:cs="Arial"/>
          <w:b w:val="0"/>
          <w:i/>
          <w:iCs/>
          <w:u w:val="none"/>
        </w:rPr>
        <w:t>Seller Response Notice</w:t>
      </w:r>
      <w:r w:rsidRPr="00A213B8" w:rsidR="008D7CC2">
        <w:rPr>
          <w:rFonts w:cs="Arial"/>
          <w:b w:val="0"/>
          <w:i/>
          <w:iCs/>
          <w:u w:val="none"/>
        </w:rPr>
        <w:t>; GPC Response</w:t>
      </w:r>
      <w:r w:rsidRPr="00A213B8">
        <w:rPr>
          <w:rFonts w:cs="Arial"/>
          <w:b w:val="0"/>
          <w:u w:val="none"/>
        </w:rPr>
        <w:t>).</w:t>
      </w:r>
    </w:p>
    <w:p w:rsidRPr="00A213B8" w:rsidR="00AE74E0" w:rsidP="000432D0" w:rsidRDefault="00AE74E0" w14:paraId="2899847B" w14:textId="072998F2">
      <w:pPr>
        <w:pStyle w:val="Heading3"/>
        <w:spacing w:before="120"/>
        <w:rPr>
          <w:rFonts w:cs="Arial"/>
          <w:u w:val="none"/>
        </w:rPr>
      </w:pPr>
      <w:r w:rsidRPr="00A213B8">
        <w:rPr>
          <w:rFonts w:cs="Arial"/>
        </w:rPr>
        <w:t>Seller Response Deadline</w:t>
      </w:r>
      <w:r w:rsidRPr="00A213B8">
        <w:rPr>
          <w:rFonts w:cs="Arial"/>
          <w:u w:val="none"/>
        </w:rPr>
        <w:t xml:space="preserve">: </w:t>
      </w:r>
      <w:r w:rsidRPr="00A213B8">
        <w:rPr>
          <w:rFonts w:cs="Arial"/>
          <w:b w:val="0"/>
          <w:bCs w:val="0"/>
          <w:u w:val="none"/>
        </w:rPr>
        <w:t>As</w:t>
      </w:r>
      <w:r w:rsidRPr="00A213B8">
        <w:rPr>
          <w:rFonts w:cs="Arial"/>
          <w:b w:val="0"/>
          <w:u w:val="none"/>
        </w:rPr>
        <w:t xml:space="preserve"> defined in Section 17.1.4 (</w:t>
      </w:r>
      <w:r w:rsidRPr="00A213B8">
        <w:rPr>
          <w:rFonts w:cs="Arial"/>
          <w:b w:val="0"/>
          <w:i/>
          <w:iCs/>
          <w:u w:val="none"/>
        </w:rPr>
        <w:t>Seller Response Notice</w:t>
      </w:r>
      <w:r w:rsidRPr="00A213B8" w:rsidR="008D7CC2">
        <w:rPr>
          <w:rFonts w:cs="Arial"/>
          <w:b w:val="0"/>
          <w:i/>
          <w:iCs/>
          <w:u w:val="none"/>
        </w:rPr>
        <w:t>; GPC Response</w:t>
      </w:r>
      <w:r w:rsidRPr="00A213B8">
        <w:rPr>
          <w:rFonts w:cs="Arial"/>
          <w:b w:val="0"/>
          <w:u w:val="none"/>
        </w:rPr>
        <w:t>).</w:t>
      </w:r>
    </w:p>
    <w:p w:rsidRPr="00A213B8" w:rsidR="002D54C4" w:rsidP="00261AEB" w:rsidRDefault="002D54C4" w14:paraId="187C9B42" w14:textId="77777777">
      <w:pPr>
        <w:pStyle w:val="Heading3"/>
        <w:keepNext w:val="0"/>
        <w:keepLines w:val="0"/>
        <w:widowControl w:val="0"/>
        <w:spacing w:before="120"/>
        <w:rPr>
          <w:rFonts w:cs="Arial"/>
        </w:rPr>
      </w:pPr>
      <w:r w:rsidRPr="00A213B8">
        <w:rPr>
          <w:rFonts w:cs="Arial"/>
        </w:rPr>
        <w:t>SERC</w:t>
      </w:r>
      <w:r w:rsidRPr="00A213B8">
        <w:rPr>
          <w:rFonts w:cs="Arial"/>
          <w:u w:val="none"/>
        </w:rPr>
        <w:t xml:space="preserve">: </w:t>
      </w:r>
      <w:r w:rsidRPr="00A213B8">
        <w:rPr>
          <w:rFonts w:cs="Arial"/>
          <w:b w:val="0"/>
          <w:u w:val="none"/>
        </w:rPr>
        <w:t>The Southeastern Electric Reliability Corporation, including any successor.</w:t>
      </w:r>
    </w:p>
    <w:p w:rsidRPr="00A213B8" w:rsidR="002D54C4" w:rsidP="00261AEB" w:rsidRDefault="002D54C4" w14:paraId="7F5CEB3F" w14:textId="41B3CC33">
      <w:pPr>
        <w:pStyle w:val="Heading3"/>
        <w:keepNext w:val="0"/>
        <w:keepLines w:val="0"/>
        <w:widowControl w:val="0"/>
        <w:spacing w:before="120"/>
        <w:rPr>
          <w:rFonts w:cs="Arial"/>
          <w:b w:val="0"/>
          <w:u w:val="none"/>
        </w:rPr>
      </w:pPr>
      <w:r w:rsidRPr="00A213B8">
        <w:rPr>
          <w:rFonts w:cs="Arial"/>
        </w:rPr>
        <w:t>Site</w:t>
      </w:r>
      <w:r w:rsidRPr="00A213B8">
        <w:rPr>
          <w:rFonts w:cs="Arial"/>
          <w:u w:val="none"/>
        </w:rPr>
        <w:t xml:space="preserve">: </w:t>
      </w:r>
      <w:r w:rsidRPr="00A213B8">
        <w:rPr>
          <w:rFonts w:cs="Arial"/>
          <w:b w:val="0"/>
          <w:u w:val="none"/>
        </w:rPr>
        <w:t xml:space="preserve">The physical location </w:t>
      </w:r>
      <w:r w:rsidRPr="00A213B8" w:rsidR="0048697B">
        <w:rPr>
          <w:rFonts w:cs="Arial"/>
          <w:b w:val="0"/>
          <w:u w:val="none"/>
        </w:rPr>
        <w:t xml:space="preserve">(i.e., real property) </w:t>
      </w:r>
      <w:r w:rsidRPr="00A213B8">
        <w:rPr>
          <w:rFonts w:cs="Arial"/>
          <w:b w:val="0"/>
          <w:u w:val="none"/>
        </w:rPr>
        <w:t>where the Facility is or will be located, as described in</w:t>
      </w:r>
      <w:r w:rsidRPr="00A213B8" w:rsidDel="004975A0">
        <w:rPr>
          <w:rFonts w:cs="Arial"/>
          <w:b w:val="0"/>
          <w:u w:val="none"/>
        </w:rPr>
        <w:t xml:space="preserve"> </w:t>
      </w:r>
      <w:r w:rsidRPr="00A213B8">
        <w:rPr>
          <w:rFonts w:cs="Arial"/>
          <w:b w:val="0"/>
          <w:u w:val="none"/>
        </w:rPr>
        <w:t xml:space="preserve">Exhibit </w:t>
      </w:r>
      <w:r w:rsidRPr="00A213B8" w:rsidR="00403369">
        <w:rPr>
          <w:rFonts w:cs="Arial"/>
          <w:b w:val="0"/>
          <w:u w:val="none"/>
        </w:rPr>
        <w:t>A</w:t>
      </w:r>
      <w:r w:rsidRPr="00A213B8">
        <w:rPr>
          <w:rFonts w:cs="Arial"/>
          <w:b w:val="0"/>
          <w:u w:val="none"/>
        </w:rPr>
        <w:t xml:space="preserve"> (</w:t>
      </w:r>
      <w:r w:rsidRPr="00A213B8" w:rsidR="003B7F28">
        <w:rPr>
          <w:rFonts w:cs="Arial"/>
          <w:b w:val="0"/>
          <w:i/>
          <w:u w:val="none"/>
        </w:rPr>
        <w:t xml:space="preserve">Facility Description and </w:t>
      </w:r>
      <w:r w:rsidRPr="00A213B8" w:rsidR="0062733D">
        <w:rPr>
          <w:rFonts w:cs="Arial"/>
          <w:b w:val="0"/>
          <w:i/>
          <w:u w:val="none"/>
        </w:rPr>
        <w:t>Additional Details</w:t>
      </w:r>
      <w:r w:rsidRPr="00A213B8">
        <w:rPr>
          <w:rFonts w:cs="Arial"/>
          <w:b w:val="0"/>
          <w:u w:val="none"/>
        </w:rPr>
        <w:t>).</w:t>
      </w:r>
    </w:p>
    <w:p w:rsidRPr="00A213B8" w:rsidR="00331B88" w:rsidP="00261AEB" w:rsidRDefault="00331B88" w14:paraId="3161AE2B" w14:textId="66D9E7A0">
      <w:pPr>
        <w:spacing w:before="120" w:after="120" w:line="240" w:lineRule="auto"/>
        <w:rPr>
          <w:rFonts w:ascii="Arial" w:hAnsi="Arial" w:cs="Arial"/>
          <w:sz w:val="20"/>
          <w:szCs w:val="20"/>
        </w:rPr>
      </w:pPr>
      <w:r w:rsidRPr="00A213B8">
        <w:rPr>
          <w:rFonts w:ascii="Arial" w:hAnsi="Arial" w:cs="Arial"/>
          <w:b/>
          <w:bCs/>
          <w:sz w:val="20"/>
          <w:szCs w:val="20"/>
          <w:u w:val="single"/>
        </w:rPr>
        <w:t>Site Controller</w:t>
      </w:r>
      <w:r w:rsidRPr="00A213B8">
        <w:rPr>
          <w:rFonts w:ascii="Arial" w:hAnsi="Arial" w:cs="Arial"/>
          <w:b/>
          <w:bCs/>
          <w:sz w:val="20"/>
          <w:szCs w:val="20"/>
        </w:rPr>
        <w:t xml:space="preserve">: </w:t>
      </w:r>
      <w:r w:rsidRPr="00A213B8">
        <w:rPr>
          <w:rFonts w:ascii="Arial" w:hAnsi="Arial" w:cs="Arial"/>
          <w:sz w:val="20"/>
          <w:szCs w:val="20"/>
        </w:rPr>
        <w:t>As defined in Section 10.13.1 (</w:t>
      </w:r>
      <w:r w:rsidRPr="00A213B8">
        <w:rPr>
          <w:rFonts w:ascii="Arial" w:hAnsi="Arial" w:cs="Arial"/>
          <w:i/>
          <w:iCs/>
          <w:sz w:val="20"/>
          <w:szCs w:val="20"/>
        </w:rPr>
        <w:t>Sourcing Restrictions</w:t>
      </w:r>
      <w:r w:rsidRPr="00A213B8">
        <w:rPr>
          <w:rFonts w:ascii="Arial" w:hAnsi="Arial" w:cs="Arial"/>
          <w:sz w:val="20"/>
          <w:szCs w:val="20"/>
        </w:rPr>
        <w:t>).</w:t>
      </w:r>
    </w:p>
    <w:p w:rsidRPr="00A213B8" w:rsidR="002D54C4" w:rsidP="00261AEB" w:rsidRDefault="002D54C4" w14:paraId="2AB9B98A" w14:textId="1CDB510F">
      <w:pPr>
        <w:pStyle w:val="Heading3"/>
        <w:keepNext w:val="0"/>
        <w:keepLines w:val="0"/>
        <w:widowControl w:val="0"/>
        <w:spacing w:before="120"/>
        <w:rPr>
          <w:rFonts w:cs="Arial"/>
        </w:rPr>
      </w:pPr>
      <w:r w:rsidRPr="00A213B8">
        <w:rPr>
          <w:rFonts w:cs="Arial"/>
        </w:rPr>
        <w:t>Southern Balancing Authority Area (SBAA)</w:t>
      </w:r>
      <w:r w:rsidRPr="00A213B8">
        <w:rPr>
          <w:rFonts w:cs="Arial"/>
          <w:u w:val="none"/>
        </w:rPr>
        <w:t xml:space="preserve">: </w:t>
      </w:r>
      <w:r w:rsidRPr="00A213B8">
        <w:rPr>
          <w:rFonts w:cs="Arial"/>
          <w:b w:val="0"/>
          <w:u w:val="none"/>
        </w:rPr>
        <w:t>The NERC- and SERC- recognized balancing authority area that includes the Southern Company Transmission System.</w:t>
      </w:r>
    </w:p>
    <w:p w:rsidRPr="00A213B8" w:rsidR="002D54C4" w:rsidP="00261AEB" w:rsidRDefault="002D54C4" w14:paraId="320F9B1B" w14:textId="77777777">
      <w:pPr>
        <w:pStyle w:val="Heading3"/>
        <w:keepNext w:val="0"/>
        <w:keepLines w:val="0"/>
        <w:widowControl w:val="0"/>
        <w:spacing w:before="120"/>
        <w:rPr>
          <w:rFonts w:cs="Arial"/>
        </w:rPr>
      </w:pPr>
      <w:r w:rsidRPr="00A213B8">
        <w:rPr>
          <w:rFonts w:cs="Arial"/>
        </w:rPr>
        <w:t>Southern Companies</w:t>
      </w:r>
      <w:r w:rsidRPr="00A213B8">
        <w:rPr>
          <w:rFonts w:cs="Arial"/>
          <w:u w:val="none"/>
        </w:rPr>
        <w:t xml:space="preserve">: </w:t>
      </w:r>
      <w:r w:rsidRPr="00A213B8">
        <w:rPr>
          <w:rFonts w:cs="Arial"/>
          <w:b w:val="0"/>
          <w:u w:val="none"/>
        </w:rPr>
        <w:t>Collectively, the regulated electric operating companies of The Southern Company (i.e., Alabama Power Company, GPC, and Mississippi Power Company).</w:t>
      </w:r>
    </w:p>
    <w:p w:rsidR="00520F24" w:rsidP="00261AEB" w:rsidRDefault="002D54C4" w14:paraId="4E8B0DD1" w14:textId="77777777">
      <w:pPr>
        <w:pStyle w:val="Heading3"/>
        <w:keepNext w:val="0"/>
        <w:keepLines w:val="0"/>
        <w:widowControl w:val="0"/>
        <w:spacing w:before="120"/>
        <w:rPr>
          <w:rFonts w:cs="Arial"/>
        </w:rPr>
      </w:pPr>
      <w:r w:rsidRPr="00A213B8">
        <w:rPr>
          <w:rFonts w:cs="Arial"/>
        </w:rPr>
        <w:t>Southern Company</w:t>
      </w:r>
      <w:r w:rsidRPr="00A213B8">
        <w:rPr>
          <w:rFonts w:cs="Arial"/>
          <w:u w:val="none"/>
        </w:rPr>
        <w:t xml:space="preserve">: </w:t>
      </w:r>
      <w:r w:rsidRPr="00A213B8">
        <w:rPr>
          <w:rFonts w:cs="Arial"/>
          <w:b w:val="0"/>
          <w:u w:val="none"/>
        </w:rPr>
        <w:t>The Southern Company, a Delaware corporation, the parent of GPC.</w:t>
      </w:r>
      <w:r w:rsidRPr="00A213B8">
        <w:rPr>
          <w:rFonts w:cs="Arial"/>
        </w:rPr>
        <w:t xml:space="preserve"> </w:t>
      </w:r>
    </w:p>
    <w:p w:rsidRPr="009824CB" w:rsidR="009824CB" w:rsidP="004C68AD" w:rsidRDefault="009824CB" w14:paraId="0A42AF5C" w14:textId="4E575F37">
      <w:pPr>
        <w:jc w:val="both"/>
        <w:rPr>
          <w:rFonts w:ascii="Arial" w:hAnsi="Arial" w:cs="Arial"/>
          <w:sz w:val="20"/>
          <w:szCs w:val="20"/>
        </w:rPr>
      </w:pPr>
      <w:r w:rsidRPr="00590033">
        <w:rPr>
          <w:rFonts w:ascii="Arial" w:hAnsi="Arial" w:cs="Arial"/>
          <w:b/>
          <w:bCs/>
          <w:sz w:val="20"/>
          <w:szCs w:val="20"/>
          <w:u w:val="single"/>
        </w:rPr>
        <w:t>Southern Company Services (SCS)</w:t>
      </w:r>
      <w:r w:rsidRPr="00590033">
        <w:rPr>
          <w:rFonts w:ascii="Arial" w:hAnsi="Arial" w:cs="Arial"/>
          <w:sz w:val="20"/>
          <w:szCs w:val="20"/>
        </w:rPr>
        <w:t>: Southern Company Services, Inc., an Affiliate of GPC that performs services as agent for GPC.</w:t>
      </w:r>
    </w:p>
    <w:p w:rsidRPr="00A213B8" w:rsidR="008865A6" w:rsidP="00261AEB" w:rsidRDefault="008865A6" w14:paraId="73063D00" w14:textId="6C9640BB">
      <w:pPr>
        <w:pStyle w:val="Heading3"/>
        <w:keepNext w:val="0"/>
        <w:keepLines w:val="0"/>
        <w:widowControl w:val="0"/>
        <w:spacing w:before="120"/>
        <w:rPr>
          <w:rFonts w:cs="Arial"/>
          <w:b w:val="0"/>
          <w:bCs w:val="0"/>
        </w:rPr>
      </w:pPr>
      <w:r w:rsidRPr="00A213B8">
        <w:rPr>
          <w:rFonts w:cs="Arial"/>
        </w:rPr>
        <w:t>Southern OATT</w:t>
      </w:r>
      <w:r w:rsidRPr="00A213B8">
        <w:rPr>
          <w:rFonts w:cs="Arial"/>
          <w:u w:val="none"/>
        </w:rPr>
        <w:t xml:space="preserve">: </w:t>
      </w:r>
      <w:r w:rsidRPr="00A213B8">
        <w:rPr>
          <w:rFonts w:cs="Arial"/>
          <w:b w:val="0"/>
          <w:bCs w:val="0"/>
          <w:u w:val="none"/>
        </w:rPr>
        <w:t>Southern Company’s Open Access Transmission Tariff.</w:t>
      </w:r>
    </w:p>
    <w:p w:rsidRPr="00A213B8" w:rsidR="0016554B" w:rsidP="00261AEB" w:rsidRDefault="0016554B" w14:paraId="6975D8F3" w14:textId="7AA54230">
      <w:pPr>
        <w:pStyle w:val="Heading3"/>
        <w:keepNext w:val="0"/>
        <w:keepLines w:val="0"/>
        <w:widowControl w:val="0"/>
        <w:spacing w:before="120"/>
        <w:rPr>
          <w:rFonts w:cs="Arial"/>
        </w:rPr>
      </w:pPr>
      <w:r w:rsidRPr="00A213B8">
        <w:rPr>
          <w:rFonts w:cs="Arial"/>
          <w:color w:val="000000" w:themeColor="text1"/>
          <w:kern w:val="20"/>
        </w:rPr>
        <w:t>Southern Company Transmission System</w:t>
      </w:r>
      <w:r w:rsidRPr="00A213B8">
        <w:rPr>
          <w:rFonts w:cs="Arial"/>
          <w:color w:val="000000" w:themeColor="text1"/>
          <w:kern w:val="20"/>
          <w:u w:val="none"/>
        </w:rPr>
        <w:t xml:space="preserve">: </w:t>
      </w:r>
      <w:r w:rsidRPr="00A213B8">
        <w:rPr>
          <w:rFonts w:cs="Arial" w:eastAsiaTheme="minorHAnsi"/>
          <w:b w:val="0"/>
          <w:u w:val="none"/>
        </w:rPr>
        <w:t xml:space="preserve">The transmission system consisting of transmission facilities (&gt;40 kV) owned by the Southern Companies, as the system may be modified or expanded from time to time, as well as any successor transmission system. </w:t>
      </w:r>
      <w:r w:rsidRPr="00A213B8" w:rsidR="00DF6D49">
        <w:rPr>
          <w:rFonts w:cs="Arial" w:eastAsiaTheme="minorHAnsi"/>
          <w:b w:val="0"/>
          <w:u w:val="none"/>
        </w:rPr>
        <w:t xml:space="preserve">For </w:t>
      </w:r>
      <w:r w:rsidRPr="00A213B8" w:rsidR="002F61FC">
        <w:rPr>
          <w:rFonts w:cs="Arial" w:eastAsiaTheme="minorHAnsi"/>
          <w:b w:val="0"/>
          <w:u w:val="none"/>
        </w:rPr>
        <w:t>the</w:t>
      </w:r>
      <w:r w:rsidRPr="00A213B8" w:rsidR="00DF6D49">
        <w:rPr>
          <w:rFonts w:cs="Arial" w:eastAsiaTheme="minorHAnsi"/>
          <w:b w:val="0"/>
          <w:u w:val="none"/>
        </w:rPr>
        <w:t xml:space="preserve"> avoidance of doubt, t</w:t>
      </w:r>
      <w:r w:rsidRPr="00A213B8">
        <w:rPr>
          <w:rFonts w:cs="Arial" w:eastAsiaTheme="minorHAnsi"/>
          <w:b w:val="0"/>
          <w:u w:val="none"/>
        </w:rPr>
        <w:t xml:space="preserve">he Southern Company </w:t>
      </w:r>
      <w:r w:rsidRPr="00A213B8">
        <w:rPr>
          <w:rFonts w:cs="Arial" w:eastAsiaTheme="minorHAnsi"/>
          <w:b w:val="0"/>
          <w:u w:val="none"/>
        </w:rPr>
        <w:lastRenderedPageBreak/>
        <w:t>Transmission System does not include the Georgia ITS facilities owned by the ITS Participants.</w:t>
      </w:r>
    </w:p>
    <w:p w:rsidRPr="00A213B8" w:rsidR="004744FA" w:rsidP="00261AEB" w:rsidRDefault="004744FA" w14:paraId="35DBE0BA" w14:textId="34926CCB">
      <w:pPr>
        <w:pStyle w:val="Heading3"/>
        <w:keepNext w:val="0"/>
        <w:keepLines w:val="0"/>
        <w:widowControl w:val="0"/>
        <w:spacing w:before="120"/>
        <w:rPr>
          <w:rFonts w:cs="Arial"/>
          <w:b w:val="0"/>
        </w:rPr>
      </w:pPr>
      <w:r w:rsidRPr="00A213B8">
        <w:rPr>
          <w:rFonts w:cs="Arial"/>
        </w:rPr>
        <w:t>State of Charge (SOC)</w:t>
      </w:r>
      <w:r w:rsidRPr="00A213B8" w:rsidR="002A54D3">
        <w:rPr>
          <w:rFonts w:cs="Arial"/>
          <w:u w:val="none"/>
        </w:rPr>
        <w:t>:</w:t>
      </w:r>
      <w:r w:rsidRPr="00A213B8">
        <w:rPr>
          <w:rFonts w:cs="Arial"/>
          <w:u w:val="none"/>
        </w:rPr>
        <w:t xml:space="preserve"> </w:t>
      </w:r>
      <w:r w:rsidRPr="00A213B8" w:rsidR="002A54D3">
        <w:rPr>
          <w:rFonts w:cs="Arial"/>
          <w:b w:val="0"/>
          <w:u w:val="none"/>
        </w:rPr>
        <w:t>T</w:t>
      </w:r>
      <w:r w:rsidRPr="00A213B8">
        <w:rPr>
          <w:rFonts w:cs="Arial"/>
          <w:b w:val="0"/>
          <w:u w:val="none"/>
        </w:rPr>
        <w:t xml:space="preserve">he amount of stored energy in the </w:t>
      </w:r>
      <w:r w:rsidRPr="00A213B8" w:rsidR="00680C34">
        <w:rPr>
          <w:rFonts w:cs="Arial"/>
          <w:b w:val="0"/>
          <w:u w:val="none"/>
        </w:rPr>
        <w:t>B</w:t>
      </w:r>
      <w:r w:rsidRPr="00A213B8">
        <w:rPr>
          <w:rFonts w:cs="Arial"/>
          <w:b w:val="0"/>
          <w:u w:val="none"/>
        </w:rPr>
        <w:t>ESS in real time, which may be expressed either as</w:t>
      </w:r>
      <w:r w:rsidRPr="00A213B8" w:rsidR="00312431">
        <w:rPr>
          <w:rFonts w:cs="Arial"/>
          <w:b w:val="0"/>
          <w:u w:val="none"/>
        </w:rPr>
        <w:t>:</w:t>
      </w:r>
      <w:r w:rsidRPr="00A213B8">
        <w:rPr>
          <w:rFonts w:cs="Arial"/>
          <w:b w:val="0"/>
          <w:u w:val="none"/>
        </w:rPr>
        <w:t xml:space="preserve"> (</w:t>
      </w:r>
      <w:r w:rsidRPr="00A213B8" w:rsidR="00D6417C">
        <w:rPr>
          <w:rFonts w:cs="Arial"/>
          <w:b w:val="0"/>
          <w:u w:val="none"/>
        </w:rPr>
        <w:t>i</w:t>
      </w:r>
      <w:r w:rsidRPr="00A213B8">
        <w:rPr>
          <w:rFonts w:cs="Arial"/>
          <w:b w:val="0"/>
          <w:u w:val="none"/>
        </w:rPr>
        <w:t xml:space="preserve">) a percentage of </w:t>
      </w:r>
      <w:r w:rsidRPr="00A213B8" w:rsidR="005C4308">
        <w:rPr>
          <w:rFonts w:cs="Arial"/>
          <w:b w:val="0"/>
          <w:u w:val="none"/>
        </w:rPr>
        <w:t>the</w:t>
      </w:r>
      <w:r w:rsidRPr="00A213B8" w:rsidR="005C4308">
        <w:rPr>
          <w:rFonts w:cs="Arial"/>
          <w:u w:val="none"/>
        </w:rPr>
        <w:t xml:space="preserve"> </w:t>
      </w:r>
      <w:r w:rsidRPr="00A213B8" w:rsidR="005C4308">
        <w:rPr>
          <w:rFonts w:cs="Arial"/>
          <w:b w:val="0"/>
          <w:u w:val="none"/>
        </w:rPr>
        <w:t>SDOE</w:t>
      </w:r>
      <w:r w:rsidRPr="00A213B8">
        <w:rPr>
          <w:rFonts w:cs="Arial"/>
          <w:b w:val="0"/>
          <w:u w:val="none"/>
        </w:rPr>
        <w:t xml:space="preserve"> (e.g., a 95% S</w:t>
      </w:r>
      <w:r w:rsidRPr="00A213B8" w:rsidR="0036550E">
        <w:rPr>
          <w:rFonts w:cs="Arial"/>
          <w:b w:val="0"/>
          <w:u w:val="none"/>
        </w:rPr>
        <w:t>OC)</w:t>
      </w:r>
      <w:r w:rsidRPr="00A213B8" w:rsidR="00D6417C">
        <w:rPr>
          <w:rFonts w:cs="Arial"/>
          <w:b w:val="0"/>
          <w:u w:val="none"/>
        </w:rPr>
        <w:t>;</w:t>
      </w:r>
      <w:r w:rsidRPr="00A213B8">
        <w:rPr>
          <w:rFonts w:cs="Arial"/>
          <w:b w:val="0"/>
          <w:u w:val="none"/>
        </w:rPr>
        <w:t xml:space="preserve"> or (</w:t>
      </w:r>
      <w:r w:rsidRPr="00A213B8" w:rsidR="00D6417C">
        <w:rPr>
          <w:rFonts w:cs="Arial"/>
          <w:b w:val="0"/>
          <w:u w:val="none"/>
        </w:rPr>
        <w:t>ii</w:t>
      </w:r>
      <w:r w:rsidRPr="00A213B8">
        <w:rPr>
          <w:rFonts w:cs="Arial"/>
          <w:b w:val="0"/>
          <w:u w:val="none"/>
        </w:rPr>
        <w:t xml:space="preserve">) </w:t>
      </w:r>
      <w:r w:rsidRPr="00A213B8" w:rsidR="00160E2C">
        <w:rPr>
          <w:rFonts w:cs="Arial"/>
          <w:b w:val="0"/>
          <w:u w:val="none"/>
        </w:rPr>
        <w:t xml:space="preserve">a quantity of energy </w:t>
      </w:r>
      <w:r w:rsidRPr="00A213B8" w:rsidR="005A32CE">
        <w:rPr>
          <w:rFonts w:cs="Arial"/>
          <w:b w:val="0"/>
          <w:u w:val="none"/>
        </w:rPr>
        <w:t>(</w:t>
      </w:r>
      <w:r w:rsidRPr="00A213B8" w:rsidR="007D770B">
        <w:rPr>
          <w:rFonts w:cs="Arial"/>
          <w:b w:val="0"/>
          <w:u w:val="none"/>
        </w:rPr>
        <w:t xml:space="preserve">e.g., </w:t>
      </w:r>
      <w:r w:rsidRPr="00A213B8" w:rsidR="004D1FDC">
        <w:rPr>
          <w:rFonts w:cs="Arial"/>
          <w:b w:val="0"/>
          <w:u w:val="none"/>
        </w:rPr>
        <w:t>400</w:t>
      </w:r>
      <w:r w:rsidRPr="00A213B8">
        <w:rPr>
          <w:rFonts w:cs="Arial"/>
          <w:b w:val="0"/>
          <w:u w:val="none"/>
        </w:rPr>
        <w:t xml:space="preserve"> MWh SOC).</w:t>
      </w:r>
      <w:r w:rsidRPr="00A213B8" w:rsidR="007721E9">
        <w:rPr>
          <w:rFonts w:cs="Arial"/>
          <w:b w:val="0"/>
          <w:u w:val="none"/>
        </w:rPr>
        <w:t xml:space="preserve"> </w:t>
      </w:r>
      <w:r w:rsidRPr="00A213B8" w:rsidR="00D6417C">
        <w:rPr>
          <w:rFonts w:cs="Arial"/>
          <w:b w:val="0"/>
          <w:u w:val="none"/>
        </w:rPr>
        <w:t xml:space="preserve">SOC </w:t>
      </w:r>
      <w:r w:rsidRPr="00A213B8" w:rsidR="007721E9">
        <w:rPr>
          <w:rFonts w:cs="Arial"/>
          <w:b w:val="0"/>
          <w:u w:val="none"/>
        </w:rPr>
        <w:t xml:space="preserve">is considered usable </w:t>
      </w:r>
      <w:r w:rsidRPr="00A213B8" w:rsidR="000D61FF">
        <w:rPr>
          <w:rFonts w:cs="Arial"/>
          <w:b w:val="0"/>
          <w:u w:val="none"/>
        </w:rPr>
        <w:t>and dispatchable</w:t>
      </w:r>
      <w:r w:rsidRPr="00A213B8" w:rsidR="007721E9">
        <w:rPr>
          <w:rFonts w:cs="Arial"/>
          <w:b w:val="0"/>
          <w:u w:val="none"/>
        </w:rPr>
        <w:t xml:space="preserve"> energy </w:t>
      </w:r>
      <w:r w:rsidRPr="00A213B8" w:rsidR="000D772D">
        <w:rPr>
          <w:rFonts w:cs="Arial"/>
          <w:b w:val="0"/>
          <w:u w:val="none"/>
        </w:rPr>
        <w:t>at the POI</w:t>
      </w:r>
      <w:r w:rsidRPr="00A213B8" w:rsidR="00D6417C">
        <w:rPr>
          <w:rFonts w:cs="Arial"/>
          <w:b w:val="0"/>
          <w:u w:val="none"/>
        </w:rPr>
        <w:t>,</w:t>
      </w:r>
      <w:r w:rsidRPr="00A213B8" w:rsidR="007721E9">
        <w:rPr>
          <w:rFonts w:cs="Arial"/>
          <w:b w:val="0"/>
          <w:u w:val="none"/>
        </w:rPr>
        <w:t xml:space="preserve"> and </w:t>
      </w:r>
      <w:r w:rsidRPr="00A213B8" w:rsidR="0033220C">
        <w:rPr>
          <w:rFonts w:cs="Arial"/>
          <w:b w:val="0"/>
          <w:u w:val="none"/>
        </w:rPr>
        <w:t xml:space="preserve">the </w:t>
      </w:r>
      <w:r w:rsidRPr="00A213B8" w:rsidR="00680C34">
        <w:rPr>
          <w:rFonts w:cs="Arial"/>
          <w:b w:val="0"/>
          <w:u w:val="none"/>
        </w:rPr>
        <w:t>B</w:t>
      </w:r>
      <w:r w:rsidRPr="00A213B8" w:rsidR="0033220C">
        <w:rPr>
          <w:rFonts w:cs="Arial"/>
          <w:b w:val="0"/>
          <w:u w:val="none"/>
        </w:rPr>
        <w:t xml:space="preserve">ESS </w:t>
      </w:r>
      <w:r w:rsidRPr="00A213B8" w:rsidR="00D6417C">
        <w:rPr>
          <w:rFonts w:cs="Arial"/>
          <w:b w:val="0"/>
          <w:u w:val="none"/>
        </w:rPr>
        <w:t xml:space="preserve">must </w:t>
      </w:r>
      <w:r w:rsidRPr="00A213B8" w:rsidR="00380D5C">
        <w:rPr>
          <w:rFonts w:cs="Arial"/>
          <w:b w:val="0"/>
          <w:u w:val="none"/>
        </w:rPr>
        <w:t>be able to operate at the</w:t>
      </w:r>
      <w:r w:rsidRPr="00A213B8" w:rsidR="00E67DAC">
        <w:rPr>
          <w:rFonts w:cs="Arial"/>
          <w:b w:val="0"/>
          <w:u w:val="none"/>
        </w:rPr>
        <w:t xml:space="preserve">: </w:t>
      </w:r>
      <w:r w:rsidRPr="00A213B8" w:rsidR="006E3726">
        <w:rPr>
          <w:rFonts w:cs="Arial"/>
          <w:b w:val="0"/>
          <w:u w:val="none"/>
        </w:rPr>
        <w:t>(</w:t>
      </w:r>
      <w:r w:rsidRPr="00A213B8" w:rsidR="00C77A22">
        <w:rPr>
          <w:rFonts w:cs="Arial"/>
          <w:b w:val="0"/>
          <w:u w:val="none"/>
        </w:rPr>
        <w:t>a</w:t>
      </w:r>
      <w:r w:rsidRPr="00A213B8" w:rsidR="006E3726">
        <w:rPr>
          <w:rFonts w:cs="Arial"/>
          <w:b w:val="0"/>
          <w:u w:val="none"/>
        </w:rPr>
        <w:t>)</w:t>
      </w:r>
      <w:r w:rsidRPr="00A213B8" w:rsidR="00E67DAC">
        <w:rPr>
          <w:rFonts w:cs="Arial"/>
          <w:b w:val="0"/>
          <w:u w:val="none"/>
        </w:rPr>
        <w:t xml:space="preserve"> </w:t>
      </w:r>
      <w:r w:rsidRPr="00A213B8" w:rsidR="00386540">
        <w:rPr>
          <w:rFonts w:cs="Arial"/>
          <w:b w:val="0"/>
          <w:u w:val="none"/>
        </w:rPr>
        <w:t>Maximum Rate of Cha</w:t>
      </w:r>
      <w:r w:rsidRPr="00A213B8" w:rsidR="009F1B35">
        <w:rPr>
          <w:rFonts w:cs="Arial"/>
          <w:b w:val="0"/>
          <w:u w:val="none"/>
        </w:rPr>
        <w:t>rge</w:t>
      </w:r>
      <w:r w:rsidRPr="00A213B8" w:rsidR="0069419F">
        <w:rPr>
          <w:rFonts w:cs="Arial"/>
          <w:b w:val="0"/>
          <w:u w:val="none"/>
        </w:rPr>
        <w:t xml:space="preserve"> from 0% to 100</w:t>
      </w:r>
      <w:r w:rsidRPr="00A213B8" w:rsidR="00386540">
        <w:rPr>
          <w:rFonts w:cs="Arial"/>
          <w:b w:val="0"/>
          <w:u w:val="none"/>
        </w:rPr>
        <w:t xml:space="preserve">% </w:t>
      </w:r>
      <w:r w:rsidRPr="00A213B8" w:rsidR="0080315F">
        <w:rPr>
          <w:rFonts w:cs="Arial"/>
          <w:b w:val="0"/>
          <w:u w:val="none"/>
        </w:rPr>
        <w:t>of the SDOE</w:t>
      </w:r>
      <w:r w:rsidRPr="00A213B8" w:rsidR="00050344">
        <w:rPr>
          <w:rFonts w:cs="Arial"/>
          <w:b w:val="0"/>
          <w:u w:val="none"/>
        </w:rPr>
        <w:t>;</w:t>
      </w:r>
      <w:r w:rsidRPr="00A213B8" w:rsidR="00386540">
        <w:rPr>
          <w:rFonts w:cs="Arial"/>
          <w:b w:val="0"/>
          <w:u w:val="none"/>
        </w:rPr>
        <w:t xml:space="preserve"> and</w:t>
      </w:r>
      <w:r w:rsidRPr="00A213B8" w:rsidR="006E3726">
        <w:rPr>
          <w:rFonts w:cs="Arial"/>
          <w:b w:val="0"/>
          <w:u w:val="none"/>
        </w:rPr>
        <w:t xml:space="preserve"> (</w:t>
      </w:r>
      <w:r w:rsidRPr="00A213B8" w:rsidR="00C77A22">
        <w:rPr>
          <w:rFonts w:cs="Arial"/>
          <w:b w:val="0"/>
          <w:u w:val="none"/>
        </w:rPr>
        <w:t>b</w:t>
      </w:r>
      <w:r w:rsidRPr="00A213B8" w:rsidR="006E3726">
        <w:rPr>
          <w:rFonts w:cs="Arial"/>
          <w:b w:val="0"/>
          <w:u w:val="none"/>
        </w:rPr>
        <w:t>)</w:t>
      </w:r>
      <w:r w:rsidRPr="00A213B8" w:rsidR="00380D5C">
        <w:rPr>
          <w:rFonts w:cs="Arial"/>
          <w:b w:val="0"/>
          <w:u w:val="none"/>
        </w:rPr>
        <w:t xml:space="preserve"> </w:t>
      </w:r>
      <w:r w:rsidRPr="00A213B8" w:rsidR="00624C4D">
        <w:rPr>
          <w:rFonts w:cs="Arial"/>
          <w:b w:val="0"/>
          <w:u w:val="none"/>
        </w:rPr>
        <w:t>Storage De</w:t>
      </w:r>
      <w:r w:rsidRPr="00A213B8" w:rsidR="0002135A">
        <w:rPr>
          <w:rFonts w:cs="Arial"/>
          <w:b w:val="0"/>
          <w:u w:val="none"/>
        </w:rPr>
        <w:t>vice Desig</w:t>
      </w:r>
      <w:r w:rsidRPr="00A213B8" w:rsidR="00930314">
        <w:rPr>
          <w:rFonts w:cs="Arial"/>
          <w:b w:val="0"/>
          <w:bCs w:val="0"/>
          <w:u w:val="none"/>
        </w:rPr>
        <w:t>n</w:t>
      </w:r>
      <w:r w:rsidRPr="00A213B8" w:rsidR="00624C4D">
        <w:rPr>
          <w:rFonts w:cs="Arial"/>
          <w:b w:val="0"/>
          <w:u w:val="none"/>
        </w:rPr>
        <w:t xml:space="preserve"> Capacity</w:t>
      </w:r>
      <w:r w:rsidRPr="00A213B8" w:rsidR="0002135A">
        <w:rPr>
          <w:rFonts w:cs="Arial"/>
          <w:b w:val="0"/>
          <w:u w:val="none"/>
        </w:rPr>
        <w:t xml:space="preserve"> fr</w:t>
      </w:r>
      <w:r w:rsidRPr="00A213B8" w:rsidR="001F1305">
        <w:rPr>
          <w:rFonts w:cs="Arial"/>
          <w:b w:val="0"/>
          <w:u w:val="none"/>
        </w:rPr>
        <w:t>om 100% to</w:t>
      </w:r>
      <w:r w:rsidRPr="00A213B8" w:rsidR="0002135A">
        <w:rPr>
          <w:rFonts w:cs="Arial"/>
          <w:b w:val="0"/>
          <w:u w:val="none"/>
        </w:rPr>
        <w:t xml:space="preserve"> 0% of the</w:t>
      </w:r>
      <w:r w:rsidRPr="00A213B8" w:rsidR="001F1305">
        <w:rPr>
          <w:rFonts w:cs="Arial"/>
          <w:b w:val="0"/>
          <w:u w:val="none"/>
        </w:rPr>
        <w:t xml:space="preserve"> </w:t>
      </w:r>
      <w:r w:rsidRPr="00A213B8" w:rsidR="0002135A">
        <w:rPr>
          <w:rFonts w:cs="Arial"/>
          <w:b w:val="0"/>
          <w:u w:val="none"/>
        </w:rPr>
        <w:t>SDOE</w:t>
      </w:r>
      <w:r w:rsidRPr="00A213B8" w:rsidR="00206B51">
        <w:rPr>
          <w:rFonts w:cs="Arial"/>
          <w:b w:val="0"/>
          <w:u w:val="none"/>
        </w:rPr>
        <w:t>.</w:t>
      </w:r>
    </w:p>
    <w:p w:rsidRPr="00A213B8" w:rsidR="002D54C4" w:rsidP="00261AEB" w:rsidRDefault="003B40C3" w14:paraId="21A086C0" w14:textId="5712EFDC">
      <w:pPr>
        <w:pStyle w:val="Heading3"/>
        <w:keepNext w:val="0"/>
        <w:keepLines w:val="0"/>
        <w:widowControl w:val="0"/>
        <w:spacing w:before="120"/>
        <w:rPr>
          <w:rFonts w:cs="Arial"/>
        </w:rPr>
      </w:pPr>
      <w:r w:rsidRPr="00A213B8">
        <w:rPr>
          <w:rFonts w:cs="Arial"/>
        </w:rPr>
        <w:t>Station Service</w:t>
      </w:r>
      <w:r w:rsidRPr="00A213B8" w:rsidR="002D54C4">
        <w:rPr>
          <w:rFonts w:cs="Arial"/>
          <w:u w:val="none"/>
        </w:rPr>
        <w:t xml:space="preserve">: </w:t>
      </w:r>
      <w:r w:rsidRPr="00A213B8" w:rsidR="002D54C4">
        <w:rPr>
          <w:rFonts w:cs="Arial"/>
          <w:b w:val="0"/>
          <w:color w:val="000000" w:themeColor="text1"/>
          <w:u w:val="none"/>
        </w:rPr>
        <w:t>E</w:t>
      </w:r>
      <w:bookmarkStart w:name="_Hlk37504832" w:id="34"/>
      <w:r w:rsidRPr="00A213B8" w:rsidR="002D54C4">
        <w:rPr>
          <w:rFonts w:cs="Arial"/>
          <w:b w:val="0"/>
          <w:u w:val="none"/>
        </w:rPr>
        <w:t>nergy that is used to serve the electrical requirements of the Facility,</w:t>
      </w:r>
      <w:r w:rsidR="004465BA">
        <w:rPr>
          <w:rFonts w:cs="Arial"/>
          <w:b w:val="0"/>
          <w:u w:val="none"/>
        </w:rPr>
        <w:t xml:space="preserve"> excluding any Char</w:t>
      </w:r>
      <w:r w:rsidR="00B627D2">
        <w:rPr>
          <w:rFonts w:cs="Arial"/>
          <w:b w:val="0"/>
          <w:u w:val="none"/>
        </w:rPr>
        <w:t>g</w:t>
      </w:r>
      <w:r w:rsidR="004465BA">
        <w:rPr>
          <w:rFonts w:cs="Arial"/>
          <w:b w:val="0"/>
          <w:u w:val="none"/>
        </w:rPr>
        <w:t>ing Energy not consumed as Auxiliary Operational Load and Discharging Energy</w:t>
      </w:r>
      <w:r w:rsidRPr="00A213B8" w:rsidR="002D54C4">
        <w:rPr>
          <w:rFonts w:cs="Arial"/>
          <w:b w:val="0"/>
          <w:u w:val="none"/>
        </w:rPr>
        <w:t xml:space="preserve">. For a </w:t>
      </w:r>
      <w:r w:rsidRPr="00A213B8" w:rsidR="00680C34">
        <w:rPr>
          <w:rFonts w:cs="Arial"/>
          <w:b w:val="0"/>
          <w:u w:val="none"/>
        </w:rPr>
        <w:t>B</w:t>
      </w:r>
      <w:r w:rsidRPr="00A213B8" w:rsidR="002D54C4">
        <w:rPr>
          <w:rFonts w:cs="Arial"/>
          <w:b w:val="0"/>
          <w:u w:val="none"/>
        </w:rPr>
        <w:t xml:space="preserve">ESS, Station Service includes all energy required to operate and maintain the </w:t>
      </w:r>
      <w:r w:rsidRPr="00A213B8" w:rsidR="00680C34">
        <w:rPr>
          <w:rFonts w:cs="Arial"/>
          <w:b w:val="0"/>
          <w:u w:val="none"/>
        </w:rPr>
        <w:t>B</w:t>
      </w:r>
      <w:r w:rsidRPr="00A213B8" w:rsidDel="00B82143" w:rsidR="002D54C4">
        <w:rPr>
          <w:rFonts w:cs="Arial"/>
          <w:b w:val="0"/>
          <w:u w:val="none"/>
        </w:rPr>
        <w:t>ESS</w:t>
      </w:r>
      <w:r w:rsidRPr="00A213B8" w:rsidR="002D54C4">
        <w:rPr>
          <w:rFonts w:cs="Arial"/>
          <w:b w:val="0"/>
          <w:u w:val="none"/>
        </w:rPr>
        <w:t xml:space="preserve"> (e.g., Auxiliary Operational Load, </w:t>
      </w:r>
      <w:r w:rsidRPr="00A213B8" w:rsidR="00DE4DAB">
        <w:rPr>
          <w:rFonts w:cs="Arial"/>
          <w:b w:val="0"/>
          <w:u w:val="none"/>
        </w:rPr>
        <w:t>power conversion stations)</w:t>
      </w:r>
      <w:r w:rsidRPr="00A213B8" w:rsidR="002D54C4">
        <w:rPr>
          <w:rFonts w:cs="Arial"/>
          <w:b w:val="0"/>
          <w:u w:val="none"/>
        </w:rPr>
        <w:t>.</w:t>
      </w:r>
    </w:p>
    <w:bookmarkEnd w:id="34"/>
    <w:p w:rsidRPr="00A213B8" w:rsidR="002D54C4" w:rsidP="00261AEB" w:rsidRDefault="002D54C4" w14:paraId="06EDF868" w14:textId="5BE60B6C">
      <w:pPr>
        <w:pStyle w:val="Heading3"/>
        <w:keepNext w:val="0"/>
        <w:keepLines w:val="0"/>
        <w:widowControl w:val="0"/>
        <w:spacing w:before="120"/>
        <w:rPr>
          <w:rFonts w:cs="Arial"/>
          <w:b w:val="0"/>
          <w:w w:val="0"/>
        </w:rPr>
      </w:pPr>
      <w:r w:rsidRPr="00A213B8">
        <w:rPr>
          <w:rFonts w:eastAsia="Times New Roman" w:cs="Arial"/>
          <w:color w:val="000000" w:themeColor="text1"/>
        </w:rPr>
        <w:t>Storage Device Design Capacity (SDDC)</w:t>
      </w:r>
      <w:r w:rsidRPr="00A213B8">
        <w:rPr>
          <w:rFonts w:eastAsia="Times New Roman" w:cs="Arial"/>
          <w:color w:val="000000" w:themeColor="text1"/>
          <w:u w:val="none"/>
        </w:rPr>
        <w:t xml:space="preserve">: </w:t>
      </w:r>
      <w:r w:rsidRPr="00A213B8">
        <w:rPr>
          <w:rFonts w:eastAsia="Times New Roman" w:cs="Arial"/>
          <w:b w:val="0"/>
          <w:color w:val="000000" w:themeColor="text1"/>
          <w:u w:val="none"/>
        </w:rPr>
        <w:t xml:space="preserve">The guaranteed amount of </w:t>
      </w:r>
      <w:r w:rsidRPr="00A213B8" w:rsidR="00680C34">
        <w:rPr>
          <w:rFonts w:eastAsia="Times New Roman" w:cs="Arial"/>
          <w:b w:val="0"/>
          <w:color w:val="000000" w:themeColor="text1"/>
          <w:u w:val="none"/>
        </w:rPr>
        <w:t>B</w:t>
      </w:r>
      <w:r w:rsidRPr="00A213B8">
        <w:rPr>
          <w:rFonts w:eastAsia="Times New Roman" w:cs="Arial"/>
          <w:b w:val="0"/>
          <w:color w:val="000000" w:themeColor="text1"/>
          <w:u w:val="none"/>
        </w:rPr>
        <w:t>ESS storage capacity (in MW) allocated to GPC under this PPA</w:t>
      </w:r>
      <w:r w:rsidRPr="00A213B8" w:rsidR="00F71188">
        <w:rPr>
          <w:rFonts w:eastAsia="Times New Roman" w:cs="Arial"/>
          <w:b w:val="0"/>
          <w:color w:val="000000" w:themeColor="text1"/>
          <w:u w:val="none"/>
        </w:rPr>
        <w:t xml:space="preserve"> and</w:t>
      </w:r>
      <w:r w:rsidRPr="00A213B8">
        <w:rPr>
          <w:rFonts w:cs="Arial"/>
          <w:b w:val="0"/>
          <w:u w:val="none"/>
        </w:rPr>
        <w:t xml:space="preserve"> that represents the </w:t>
      </w:r>
      <w:r w:rsidRPr="00A213B8" w:rsidR="00B015E2">
        <w:rPr>
          <w:rFonts w:cs="Arial"/>
          <w:b w:val="0"/>
          <w:u w:val="none"/>
        </w:rPr>
        <w:t xml:space="preserve">guaranteed </w:t>
      </w:r>
      <w:r w:rsidRPr="00A213B8">
        <w:rPr>
          <w:rFonts w:cs="Arial"/>
          <w:b w:val="0"/>
          <w:u w:val="none"/>
        </w:rPr>
        <w:t xml:space="preserve">continuous discharge capability of the </w:t>
      </w:r>
      <w:r w:rsidRPr="00A213B8" w:rsidR="00680C34">
        <w:rPr>
          <w:rFonts w:cs="Arial"/>
          <w:b w:val="0"/>
          <w:u w:val="none"/>
        </w:rPr>
        <w:t>B</w:t>
      </w:r>
      <w:r w:rsidRPr="00A213B8">
        <w:rPr>
          <w:rFonts w:cs="Arial"/>
          <w:b w:val="0"/>
          <w:u w:val="none"/>
        </w:rPr>
        <w:t>ESS</w:t>
      </w:r>
      <w:r w:rsidRPr="00A213B8" w:rsidR="007627A6">
        <w:rPr>
          <w:rFonts w:cs="Arial"/>
          <w:b w:val="0"/>
          <w:u w:val="none"/>
        </w:rPr>
        <w:t xml:space="preserve"> </w:t>
      </w:r>
      <w:r w:rsidRPr="00A213B8" w:rsidR="002846F6">
        <w:rPr>
          <w:rFonts w:cs="Arial"/>
          <w:b w:val="0"/>
          <w:u w:val="none"/>
        </w:rPr>
        <w:t>for the Storage Device Discharge Duration</w:t>
      </w:r>
      <w:r w:rsidRPr="00A213B8">
        <w:rPr>
          <w:rFonts w:cs="Arial"/>
          <w:b w:val="0"/>
          <w:u w:val="none"/>
        </w:rPr>
        <w:t xml:space="preserve">. </w:t>
      </w:r>
      <w:r w:rsidRPr="00A213B8" w:rsidR="00A72125">
        <w:rPr>
          <w:rFonts w:cs="Arial"/>
          <w:b w:val="0"/>
          <w:u w:val="none"/>
        </w:rPr>
        <w:t xml:space="preserve"> </w:t>
      </w:r>
    </w:p>
    <w:p w:rsidRPr="00A213B8" w:rsidR="002D54C4" w:rsidP="00261AEB" w:rsidRDefault="002D54C4" w14:paraId="725F6B5F" w14:textId="23510D18">
      <w:pPr>
        <w:pStyle w:val="Heading3"/>
        <w:keepNext w:val="0"/>
        <w:keepLines w:val="0"/>
        <w:widowControl w:val="0"/>
        <w:spacing w:before="120"/>
        <w:rPr>
          <w:rFonts w:cs="Arial"/>
          <w:b w:val="0"/>
          <w:w w:val="0"/>
        </w:rPr>
      </w:pPr>
      <w:r w:rsidRPr="00A213B8">
        <w:rPr>
          <w:rFonts w:cs="Arial"/>
          <w:w w:val="0"/>
        </w:rPr>
        <w:t>Storage Device Discharge Duration (SDDD)</w:t>
      </w:r>
      <w:r w:rsidRPr="00A213B8">
        <w:rPr>
          <w:rFonts w:cs="Arial"/>
          <w:w w:val="0"/>
          <w:u w:val="none"/>
        </w:rPr>
        <w:t xml:space="preserve">: </w:t>
      </w:r>
      <w:r w:rsidRPr="00A213B8">
        <w:rPr>
          <w:rFonts w:cs="Arial"/>
          <w:b w:val="0"/>
          <w:u w:val="none"/>
        </w:rPr>
        <w:t xml:space="preserve">The </w:t>
      </w:r>
      <w:r w:rsidRPr="00A213B8" w:rsidR="002F707D">
        <w:rPr>
          <w:rFonts w:cs="Arial"/>
          <w:b w:val="0"/>
          <w:u w:val="none"/>
        </w:rPr>
        <w:t xml:space="preserve">guaranteed </w:t>
      </w:r>
      <w:r w:rsidRPr="00A213B8">
        <w:rPr>
          <w:rFonts w:cs="Arial"/>
          <w:b w:val="0"/>
          <w:u w:val="none"/>
        </w:rPr>
        <w:t xml:space="preserve">number of </w:t>
      </w:r>
      <w:r w:rsidRPr="00A213B8" w:rsidR="007D57EF">
        <w:rPr>
          <w:rFonts w:cs="Arial"/>
          <w:b w:val="0"/>
          <w:u w:val="none"/>
        </w:rPr>
        <w:t>H</w:t>
      </w:r>
      <w:r w:rsidRPr="00A213B8">
        <w:rPr>
          <w:rFonts w:cs="Arial"/>
          <w:b w:val="0"/>
          <w:u w:val="none"/>
        </w:rPr>
        <w:t xml:space="preserve">ours that the </w:t>
      </w:r>
      <w:r w:rsidRPr="00A213B8" w:rsidR="00680C34">
        <w:rPr>
          <w:rFonts w:cs="Arial"/>
          <w:b w:val="0"/>
          <w:u w:val="none"/>
        </w:rPr>
        <w:t>B</w:t>
      </w:r>
      <w:r w:rsidRPr="00A213B8">
        <w:rPr>
          <w:rFonts w:cs="Arial"/>
          <w:b w:val="0"/>
          <w:u w:val="none"/>
        </w:rPr>
        <w:t>ESS must be capable of continuously discharging to the POI at the Storage Device Design Capacity</w:t>
      </w:r>
      <w:r w:rsidRPr="00A213B8">
        <w:rPr>
          <w:rFonts w:cs="Arial"/>
          <w:b w:val="0"/>
          <w:color w:val="000000" w:themeColor="text1"/>
          <w:u w:val="none"/>
        </w:rPr>
        <w:t>.</w:t>
      </w:r>
      <w:r w:rsidRPr="00A213B8">
        <w:rPr>
          <w:rFonts w:cs="Arial"/>
          <w:w w:val="0"/>
          <w:u w:val="none"/>
        </w:rPr>
        <w:t xml:space="preserve"> </w:t>
      </w:r>
    </w:p>
    <w:p w:rsidRPr="00A213B8" w:rsidR="000401DB" w:rsidP="00261AEB" w:rsidRDefault="000401DB" w14:paraId="6A10DD52" w14:textId="573398D3">
      <w:pPr>
        <w:pStyle w:val="Heading3"/>
        <w:keepNext w:val="0"/>
        <w:keepLines w:val="0"/>
        <w:widowControl w:val="0"/>
        <w:spacing w:before="120"/>
        <w:rPr>
          <w:rFonts w:cs="Arial"/>
          <w:w w:val="0"/>
          <w:u w:val="none"/>
        </w:rPr>
      </w:pPr>
      <w:r w:rsidRPr="00A213B8">
        <w:rPr>
          <w:rFonts w:cs="Arial"/>
          <w:w w:val="0"/>
        </w:rPr>
        <w:t>Storage Performance Metric Achieved</w:t>
      </w:r>
      <w:r w:rsidRPr="00A213B8">
        <w:rPr>
          <w:rFonts w:cs="Arial"/>
          <w:b w:val="0"/>
          <w:bCs w:val="0"/>
          <w:w w:val="0"/>
          <w:u w:val="none"/>
        </w:rPr>
        <w:t>: As defined in</w:t>
      </w:r>
      <w:r w:rsidRPr="00A213B8" w:rsidR="000360A8">
        <w:rPr>
          <w:rFonts w:cs="Arial"/>
          <w:b w:val="0"/>
          <w:bCs w:val="0"/>
          <w:w w:val="0"/>
          <w:u w:val="none"/>
        </w:rPr>
        <w:t xml:space="preserve"> Section 2.3 (</w:t>
      </w:r>
      <w:r w:rsidRPr="00A213B8" w:rsidR="000360A8">
        <w:rPr>
          <w:rFonts w:cs="Arial"/>
          <w:b w:val="0"/>
          <w:bCs w:val="0"/>
          <w:i/>
          <w:iCs/>
          <w:w w:val="0"/>
          <w:u w:val="none"/>
        </w:rPr>
        <w:t>Storage Performance Metric Achieved</w:t>
      </w:r>
      <w:r w:rsidRPr="00A213B8" w:rsidR="000360A8">
        <w:rPr>
          <w:rFonts w:cs="Arial"/>
          <w:b w:val="0"/>
          <w:bCs w:val="0"/>
          <w:w w:val="0"/>
          <w:u w:val="none"/>
        </w:rPr>
        <w:t>) of</w:t>
      </w:r>
      <w:r w:rsidRPr="00A213B8">
        <w:rPr>
          <w:rFonts w:cs="Arial"/>
          <w:b w:val="0"/>
          <w:bCs w:val="0"/>
          <w:w w:val="0"/>
          <w:u w:val="none"/>
        </w:rPr>
        <w:t xml:space="preserve"> </w:t>
      </w:r>
      <w:r w:rsidRPr="00A213B8">
        <w:rPr>
          <w:rFonts w:cs="Arial"/>
          <w:b w:val="0"/>
          <w:w w:val="0"/>
          <w:u w:val="none"/>
        </w:rPr>
        <w:t>Exhibit C (</w:t>
      </w:r>
      <w:r w:rsidRPr="00A213B8" w:rsidR="00F165D6">
        <w:rPr>
          <w:rFonts w:cs="Arial"/>
          <w:b w:val="0"/>
          <w:i/>
          <w:u w:val="none"/>
        </w:rPr>
        <w:t>Monthly Capacity Payments; Monthly Capacity Reductions; AGC Performance</w:t>
      </w:r>
      <w:r w:rsidRPr="00A213B8" w:rsidR="004C6ED4">
        <w:rPr>
          <w:rFonts w:cs="Arial"/>
          <w:b w:val="0"/>
          <w:i/>
          <w:u w:val="none"/>
        </w:rPr>
        <w:t xml:space="preserve"> Metrics and</w:t>
      </w:r>
      <w:r w:rsidRPr="00A213B8" w:rsidR="00F165D6">
        <w:rPr>
          <w:rFonts w:cs="Arial"/>
          <w:b w:val="0"/>
          <w:i/>
          <w:u w:val="none"/>
        </w:rPr>
        <w:t xml:space="preserve"> Requirements</w:t>
      </w:r>
      <w:r w:rsidRPr="00A213B8">
        <w:rPr>
          <w:rFonts w:cs="Arial"/>
          <w:b w:val="0"/>
          <w:w w:val="0"/>
          <w:u w:val="none"/>
        </w:rPr>
        <w:t>)</w:t>
      </w:r>
      <w:r w:rsidRPr="00A213B8">
        <w:rPr>
          <w:rFonts w:cs="Arial"/>
          <w:b w:val="0"/>
          <w:bCs w:val="0"/>
          <w:w w:val="0"/>
          <w:u w:val="none"/>
        </w:rPr>
        <w:t>.</w:t>
      </w:r>
    </w:p>
    <w:p w:rsidRPr="00A213B8" w:rsidR="000401DB" w:rsidP="00261AEB" w:rsidRDefault="000401DB" w14:paraId="07592448" w14:textId="6DBF723D">
      <w:pPr>
        <w:pStyle w:val="Heading3"/>
        <w:keepNext w:val="0"/>
        <w:keepLines w:val="0"/>
        <w:widowControl w:val="0"/>
        <w:spacing w:before="120"/>
        <w:rPr>
          <w:rFonts w:cs="Arial"/>
          <w:w w:val="0"/>
        </w:rPr>
      </w:pPr>
      <w:r w:rsidRPr="00A213B8">
        <w:rPr>
          <w:rFonts w:cs="Arial"/>
          <w:w w:val="0"/>
        </w:rPr>
        <w:t>Storage Performance Reduction (SPR)</w:t>
      </w:r>
      <w:r w:rsidRPr="00A213B8">
        <w:rPr>
          <w:rFonts w:cs="Arial"/>
          <w:w w:val="0"/>
          <w:u w:val="none"/>
        </w:rPr>
        <w:t xml:space="preserve">: </w:t>
      </w:r>
      <w:r w:rsidRPr="00A213B8">
        <w:rPr>
          <w:rFonts w:cs="Arial"/>
          <w:b w:val="0"/>
          <w:bCs w:val="0"/>
          <w:w w:val="0"/>
          <w:u w:val="none"/>
        </w:rPr>
        <w:t xml:space="preserve">The applicable amount stated in </w:t>
      </w:r>
      <w:r w:rsidRPr="00A213B8">
        <w:rPr>
          <w:rFonts w:cs="Arial"/>
          <w:b w:val="0"/>
          <w:w w:val="0"/>
          <w:u w:val="none"/>
        </w:rPr>
        <w:t xml:space="preserve">Table </w:t>
      </w:r>
      <w:r w:rsidRPr="00A213B8" w:rsidR="009E6C99">
        <w:rPr>
          <w:rFonts w:cs="Arial"/>
          <w:b w:val="0"/>
          <w:w w:val="0"/>
          <w:u w:val="none"/>
        </w:rPr>
        <w:t>C</w:t>
      </w:r>
      <w:r w:rsidRPr="00A213B8">
        <w:rPr>
          <w:rFonts w:cs="Arial"/>
          <w:b w:val="0"/>
          <w:w w:val="0"/>
          <w:u w:val="none"/>
        </w:rPr>
        <w:t xml:space="preserve">-3 </w:t>
      </w:r>
      <w:r w:rsidR="0022629A">
        <w:rPr>
          <w:b w:val="0"/>
          <w:w w:val="0"/>
          <w:u w:val="none"/>
        </w:rPr>
        <w:t>(</w:t>
      </w:r>
      <w:r w:rsidR="0022629A">
        <w:rPr>
          <w:b w:val="0"/>
          <w:i/>
          <w:w w:val="0"/>
          <w:u w:val="none"/>
        </w:rPr>
        <w:t>Storage Performance Reduction</w:t>
      </w:r>
      <w:r w:rsidR="0022629A">
        <w:rPr>
          <w:b w:val="0"/>
          <w:w w:val="0"/>
          <w:u w:val="none"/>
        </w:rPr>
        <w:t xml:space="preserve">) </w:t>
      </w:r>
      <w:r w:rsidRPr="00A213B8">
        <w:rPr>
          <w:rFonts w:cs="Arial"/>
          <w:b w:val="0"/>
          <w:w w:val="0"/>
          <w:u w:val="none"/>
        </w:rPr>
        <w:t>of</w:t>
      </w:r>
      <w:r w:rsidRPr="00A213B8" w:rsidR="004C6507">
        <w:rPr>
          <w:rFonts w:cs="Arial"/>
          <w:b w:val="0"/>
          <w:w w:val="0"/>
          <w:u w:val="none"/>
        </w:rPr>
        <w:t xml:space="preserve"> Exhibit C</w:t>
      </w:r>
      <w:r w:rsidRPr="00A213B8">
        <w:rPr>
          <w:rFonts w:cs="Arial"/>
          <w:b w:val="0"/>
          <w:w w:val="0"/>
          <w:u w:val="none"/>
        </w:rPr>
        <w:t xml:space="preserve"> </w:t>
      </w:r>
      <w:r w:rsidRPr="00A213B8">
        <w:rPr>
          <w:rFonts w:cs="Arial"/>
          <w:b w:val="0"/>
          <w:u w:val="none"/>
        </w:rPr>
        <w:t>(</w:t>
      </w:r>
      <w:r w:rsidRPr="00A213B8" w:rsidR="004C7A18">
        <w:rPr>
          <w:rFonts w:cs="Arial"/>
          <w:b w:val="0"/>
          <w:i/>
          <w:u w:val="none"/>
        </w:rPr>
        <w:t xml:space="preserve">Monthly Capacity Payments; Monthly Capacity Reductions; AGC Performance </w:t>
      </w:r>
      <w:r w:rsidRPr="00A213B8" w:rsidR="004C6ED4">
        <w:rPr>
          <w:rFonts w:cs="Arial"/>
          <w:b w:val="0"/>
          <w:i/>
          <w:u w:val="none"/>
        </w:rPr>
        <w:t xml:space="preserve">Metrics and </w:t>
      </w:r>
      <w:r w:rsidRPr="00A213B8" w:rsidR="004C7A18">
        <w:rPr>
          <w:rFonts w:cs="Arial"/>
          <w:b w:val="0"/>
          <w:i/>
          <w:u w:val="none"/>
        </w:rPr>
        <w:t>Requirements</w:t>
      </w:r>
      <w:r w:rsidRPr="00A213B8">
        <w:rPr>
          <w:rFonts w:cs="Arial"/>
          <w:b w:val="0"/>
          <w:u w:val="none"/>
        </w:rPr>
        <w:t>).</w:t>
      </w:r>
      <w:r w:rsidRPr="00A213B8">
        <w:rPr>
          <w:rFonts w:cs="Arial"/>
          <w:b w:val="0"/>
          <w:bCs w:val="0"/>
          <w:w w:val="0"/>
          <w:u w:val="none"/>
        </w:rPr>
        <w:t xml:space="preserve"> </w:t>
      </w:r>
    </w:p>
    <w:p w:rsidRPr="00A213B8" w:rsidR="002D54C4" w:rsidP="00261AEB" w:rsidRDefault="002D54C4" w14:paraId="0EE57B03" w14:textId="777029E8">
      <w:pPr>
        <w:pStyle w:val="Heading3"/>
        <w:keepNext w:val="0"/>
        <w:keepLines w:val="0"/>
        <w:widowControl w:val="0"/>
        <w:spacing w:before="120"/>
        <w:rPr>
          <w:rFonts w:cs="Arial"/>
        </w:rPr>
      </w:pPr>
      <w:r w:rsidRPr="00A213B8">
        <w:rPr>
          <w:rFonts w:cs="Arial"/>
          <w:w w:val="0"/>
        </w:rPr>
        <w:t>Storage Device Operating Energy (SDOE)</w:t>
      </w:r>
      <w:r w:rsidRPr="00A213B8">
        <w:rPr>
          <w:rFonts w:cs="Arial"/>
          <w:w w:val="0"/>
          <w:u w:val="none"/>
        </w:rPr>
        <w:t xml:space="preserve">: </w:t>
      </w:r>
      <w:bookmarkStart w:name="_Hlk159592662" w:id="35"/>
      <w:r w:rsidRPr="00A213B8">
        <w:rPr>
          <w:rFonts w:cs="Arial"/>
          <w:b w:val="0"/>
          <w:w w:val="0"/>
          <w:u w:val="none"/>
        </w:rPr>
        <w:t xml:space="preserve">The </w:t>
      </w:r>
      <w:r w:rsidRPr="00A213B8" w:rsidR="002F707D">
        <w:rPr>
          <w:rFonts w:cs="Arial"/>
          <w:b w:val="0"/>
          <w:w w:val="0"/>
          <w:u w:val="none"/>
        </w:rPr>
        <w:t xml:space="preserve">guaranteed </w:t>
      </w:r>
      <w:r w:rsidRPr="00A213B8">
        <w:rPr>
          <w:rFonts w:cs="Arial"/>
          <w:b w:val="0"/>
          <w:w w:val="0"/>
          <w:u w:val="none"/>
        </w:rPr>
        <w:t xml:space="preserve">number of MWh that the </w:t>
      </w:r>
      <w:r w:rsidRPr="00A213B8" w:rsidR="00680C34">
        <w:rPr>
          <w:rFonts w:cs="Arial"/>
          <w:b w:val="0"/>
          <w:w w:val="0"/>
          <w:u w:val="none"/>
        </w:rPr>
        <w:t>B</w:t>
      </w:r>
      <w:r w:rsidRPr="00A213B8">
        <w:rPr>
          <w:rFonts w:cs="Arial"/>
          <w:b w:val="0"/>
          <w:w w:val="0"/>
          <w:u w:val="none"/>
        </w:rPr>
        <w:t>ESS must be capable of discharging to the POI and is equal to the product of the Storage Device Design Capacity multiplied by Storage Device Discharge Duration.</w:t>
      </w:r>
    </w:p>
    <w:bookmarkEnd w:id="35"/>
    <w:p w:rsidRPr="00261AEB" w:rsidR="00EB4545" w:rsidP="00261AEB" w:rsidRDefault="002D54C4" w14:paraId="495B8FAE" w14:textId="77777777">
      <w:pPr>
        <w:pStyle w:val="Heading3"/>
        <w:spacing w:before="120"/>
        <w:rPr>
          <w:b w:val="0"/>
          <w:w w:val="0"/>
          <w:u w:val="none"/>
        </w:rPr>
      </w:pPr>
      <w:r w:rsidRPr="00A213B8">
        <w:rPr>
          <w:rFonts w:cs="Arial"/>
          <w:w w:val="0"/>
        </w:rPr>
        <w:t>System Emergency</w:t>
      </w:r>
      <w:r w:rsidRPr="00A213B8">
        <w:rPr>
          <w:rFonts w:cs="Arial"/>
          <w:w w:val="0"/>
          <w:u w:val="none"/>
        </w:rPr>
        <w:t xml:space="preserve">: </w:t>
      </w:r>
      <w:r w:rsidRPr="00A213B8">
        <w:rPr>
          <w:rFonts w:cs="Arial"/>
          <w:b w:val="0"/>
          <w:w w:val="0"/>
          <w:u w:val="none"/>
        </w:rPr>
        <w:t xml:space="preserve">When the </w:t>
      </w:r>
      <w:r w:rsidRPr="00A213B8" w:rsidR="009F38C7">
        <w:rPr>
          <w:rFonts w:cs="Arial"/>
          <w:b w:val="0"/>
          <w:w w:val="0"/>
          <w:u w:val="none"/>
        </w:rPr>
        <w:t xml:space="preserve">Dispatch </w:t>
      </w:r>
      <w:r w:rsidRPr="00A213B8">
        <w:rPr>
          <w:rFonts w:cs="Arial"/>
          <w:b w:val="0"/>
          <w:w w:val="0"/>
          <w:u w:val="none"/>
        </w:rPr>
        <w:t xml:space="preserve">Center has determined </w:t>
      </w:r>
      <w:r w:rsidRPr="00A213B8">
        <w:rPr>
          <w:rFonts w:cs="Arial"/>
          <w:b w:val="0"/>
          <w:u w:val="none"/>
        </w:rPr>
        <w:t>in accordance with</w:t>
      </w:r>
      <w:r w:rsidRPr="00A213B8">
        <w:rPr>
          <w:rFonts w:cs="Arial"/>
          <w:b w:val="0"/>
          <w:w w:val="0"/>
          <w:u w:val="none"/>
        </w:rPr>
        <w:t xml:space="preserve"> its prevailing practices that conditions are expected to occur or have occurred that could jeopardize the ability to meet projected loads in the SBAA.</w:t>
      </w:r>
    </w:p>
    <w:p w:rsidRPr="00CA233F" w:rsidR="00CA233F" w:rsidP="00261AEB" w:rsidRDefault="00CA233F" w14:paraId="71DF3D64" w14:textId="076B4BA3">
      <w:pPr>
        <w:pStyle w:val="Heading3"/>
        <w:spacing w:before="120"/>
        <w:rPr>
          <w:b w:val="0"/>
          <w:bCs w:val="0"/>
          <w:u w:val="none"/>
        </w:rPr>
      </w:pPr>
      <w:r w:rsidRPr="00CA233F">
        <w:rPr>
          <w:rFonts w:cs="Arial"/>
          <w:u w:val="none"/>
        </w:rPr>
        <w:t>Tariff:</w:t>
      </w:r>
      <w:r w:rsidRPr="00CA233F">
        <w:rPr>
          <w:rFonts w:cs="Arial"/>
          <w:b w:val="0"/>
          <w:bCs w:val="0"/>
          <w:u w:val="none"/>
        </w:rPr>
        <w:t xml:space="preserve"> Any import tariff, customs duty, trade measure, surcharge, or similar governmental charge imposed on the importation of equipment, components, materials, or supplies used for the construction, repair, operation, or maintenance of the Facility.</w:t>
      </w:r>
    </w:p>
    <w:p w:rsidRPr="00F10071" w:rsidR="00856720" w:rsidP="00261AEB" w:rsidRDefault="00856720" w14:paraId="7F363268" w14:textId="7130A2B7">
      <w:pPr>
        <w:pStyle w:val="Heading3"/>
        <w:spacing w:before="120"/>
      </w:pPr>
      <w:r w:rsidRPr="00EB316E">
        <w:t>Tax or Taxes</w:t>
      </w:r>
      <w:r w:rsidRPr="00856720">
        <w:rPr>
          <w:u w:val="none"/>
        </w:rPr>
        <w:t xml:space="preserve">: </w:t>
      </w:r>
      <w:r w:rsidRPr="00856720">
        <w:rPr>
          <w:b w:val="0"/>
          <w:u w:val="none"/>
        </w:rPr>
        <w:t>Any income, gross receipts, license, employment, excise, recording, stamp, customs, capital stock, franchise, profits, withholding, social security, unemployment, disability, property (real or personal), sales, use, transfer, value added, net worth, capital gains, payroll, alternative minimum or other tax, or any other charge, fee, levy, tariff, duty, liability, imposition or other assessment in the nature of a tax, imposed by any Governmental Authority, including any interest, penalties and additions to tax imposed with respect thereto, and any liability for any of the foregoing of any Person under any applicable law, including as a transferee or successor, by contract or otherwise.</w:t>
      </w:r>
      <w:r w:rsidRPr="00AC25CC">
        <w:t xml:space="preserve"> </w:t>
      </w:r>
    </w:p>
    <w:p w:rsidRPr="00A213B8" w:rsidR="002D54C4" w:rsidP="00261AEB" w:rsidRDefault="002D54C4" w14:paraId="640553E9" w14:textId="486E08FC">
      <w:pPr>
        <w:pStyle w:val="Heading3"/>
        <w:keepNext w:val="0"/>
        <w:keepLines w:val="0"/>
        <w:widowControl w:val="0"/>
        <w:spacing w:before="120"/>
        <w:rPr>
          <w:rFonts w:cs="Arial"/>
          <w:u w:val="none"/>
        </w:rPr>
      </w:pPr>
      <w:r w:rsidRPr="00A213B8">
        <w:rPr>
          <w:rFonts w:cs="Arial"/>
        </w:rPr>
        <w:t>Technical Limits</w:t>
      </w:r>
      <w:r w:rsidRPr="00A213B8">
        <w:rPr>
          <w:rFonts w:cs="Arial"/>
          <w:u w:val="none"/>
        </w:rPr>
        <w:t xml:space="preserve">: </w:t>
      </w:r>
      <w:r w:rsidRPr="00A213B8">
        <w:rPr>
          <w:rFonts w:cs="Arial"/>
          <w:b w:val="0"/>
          <w:u w:val="none"/>
        </w:rPr>
        <w:t xml:space="preserve">The operational limits and constraints described in Exhibit </w:t>
      </w:r>
      <w:r w:rsidRPr="00A213B8" w:rsidR="00435687">
        <w:rPr>
          <w:rFonts w:cs="Arial"/>
          <w:b w:val="0"/>
          <w:u w:val="none"/>
        </w:rPr>
        <w:t>F</w:t>
      </w:r>
      <w:r w:rsidRPr="00A213B8" w:rsidR="005045CE">
        <w:rPr>
          <w:rFonts w:cs="Arial"/>
          <w:b w:val="0"/>
          <w:u w:val="none"/>
        </w:rPr>
        <w:t xml:space="preserve"> (</w:t>
      </w:r>
      <w:r w:rsidRPr="00A213B8" w:rsidR="005045CE">
        <w:rPr>
          <w:rFonts w:cs="Arial"/>
          <w:b w:val="0"/>
          <w:i/>
          <w:u w:val="none"/>
        </w:rPr>
        <w:t>Facility Operati</w:t>
      </w:r>
      <w:r w:rsidRPr="00A213B8" w:rsidR="00FF1627">
        <w:rPr>
          <w:rFonts w:cs="Arial"/>
          <w:b w:val="0"/>
          <w:i/>
          <w:u w:val="none"/>
        </w:rPr>
        <w:t>ng</w:t>
      </w:r>
      <w:r w:rsidRPr="00A213B8" w:rsidR="005045CE">
        <w:rPr>
          <w:rFonts w:cs="Arial"/>
          <w:b w:val="0"/>
          <w:i/>
          <w:u w:val="none"/>
        </w:rPr>
        <w:t xml:space="preserve"> </w:t>
      </w:r>
      <w:r w:rsidRPr="00A213B8" w:rsidR="006A72E1">
        <w:rPr>
          <w:rFonts w:cs="Arial"/>
          <w:b w:val="0"/>
          <w:i/>
          <w:u w:val="none"/>
        </w:rPr>
        <w:t>and</w:t>
      </w:r>
      <w:r w:rsidRPr="00A213B8" w:rsidR="005045CE">
        <w:rPr>
          <w:rFonts w:cs="Arial"/>
          <w:b w:val="0"/>
          <w:i/>
          <w:u w:val="none"/>
        </w:rPr>
        <w:t xml:space="preserve"> Dispatching Requirements</w:t>
      </w:r>
      <w:r w:rsidRPr="00A213B8" w:rsidR="005045CE">
        <w:rPr>
          <w:rFonts w:cs="Arial"/>
          <w:b w:val="0"/>
          <w:u w:val="none"/>
        </w:rPr>
        <w:t>)</w:t>
      </w:r>
      <w:r w:rsidRPr="00A213B8">
        <w:rPr>
          <w:rFonts w:cs="Arial"/>
          <w:b w:val="0"/>
          <w:u w:val="none"/>
        </w:rPr>
        <w:t>.</w:t>
      </w:r>
    </w:p>
    <w:p w:rsidRPr="00A213B8" w:rsidR="002D54C4" w:rsidP="00261AEB" w:rsidRDefault="002D54C4" w14:paraId="3B70F959" w14:textId="03659691">
      <w:pPr>
        <w:pStyle w:val="Heading3"/>
        <w:keepNext w:val="0"/>
        <w:keepLines w:val="0"/>
        <w:widowControl w:val="0"/>
        <w:spacing w:before="120"/>
        <w:rPr>
          <w:rFonts w:cs="Arial"/>
        </w:rPr>
      </w:pPr>
      <w:r w:rsidRPr="00A213B8">
        <w:rPr>
          <w:rFonts w:cs="Arial"/>
        </w:rPr>
        <w:t>Term</w:t>
      </w:r>
      <w:r w:rsidRPr="00A213B8">
        <w:rPr>
          <w:rFonts w:cs="Arial"/>
          <w:u w:val="none"/>
        </w:rPr>
        <w:t xml:space="preserve">: </w:t>
      </w:r>
      <w:r w:rsidR="00B60011">
        <w:rPr>
          <w:rFonts w:cs="Arial"/>
          <w:b w:val="0"/>
          <w:u w:val="none"/>
        </w:rPr>
        <w:t>The term of this PPA, which becomes effective on the Effective Date and continues for the number of Annual Periods specified</w:t>
      </w:r>
      <w:r w:rsidR="00DD5BDA">
        <w:rPr>
          <w:rFonts w:cs="Arial"/>
          <w:b w:val="0"/>
          <w:u w:val="none"/>
        </w:rPr>
        <w:t xml:space="preserve"> </w:t>
      </w:r>
      <w:r w:rsidRPr="00A213B8" w:rsidR="00596A5F">
        <w:rPr>
          <w:rFonts w:cs="Arial"/>
          <w:b w:val="0"/>
          <w:u w:val="none"/>
        </w:rPr>
        <w:t xml:space="preserve">in </w:t>
      </w:r>
      <w:r w:rsidRPr="00A213B8" w:rsidR="002049CA">
        <w:rPr>
          <w:rFonts w:cs="Arial"/>
          <w:b w:val="0"/>
          <w:u w:val="none"/>
        </w:rPr>
        <w:t xml:space="preserve">Table A-2 </w:t>
      </w:r>
      <w:r w:rsidRPr="00A213B8" w:rsidR="00FD181F">
        <w:rPr>
          <w:rFonts w:cs="Arial"/>
          <w:b w:val="0"/>
          <w:u w:val="none"/>
        </w:rPr>
        <w:t>(</w:t>
      </w:r>
      <w:r w:rsidRPr="00A213B8" w:rsidR="00FD181F">
        <w:rPr>
          <w:rFonts w:cs="Arial"/>
          <w:b w:val="0"/>
          <w:i/>
          <w:iCs/>
          <w:u w:val="none"/>
        </w:rPr>
        <w:t>Term; RCOD</w:t>
      </w:r>
      <w:r w:rsidRPr="00A213B8" w:rsidR="00FD181F">
        <w:rPr>
          <w:rFonts w:cs="Arial"/>
          <w:b w:val="0"/>
          <w:u w:val="none"/>
        </w:rPr>
        <w:t xml:space="preserve">) </w:t>
      </w:r>
      <w:r w:rsidRPr="00A213B8" w:rsidR="00D845B4">
        <w:rPr>
          <w:rFonts w:cs="Arial"/>
          <w:b w:val="0"/>
          <w:u w:val="none"/>
        </w:rPr>
        <w:t>of</w:t>
      </w:r>
      <w:r w:rsidRPr="00A213B8" w:rsidR="002049CA">
        <w:rPr>
          <w:rFonts w:cs="Arial"/>
          <w:b w:val="0"/>
          <w:u w:val="none"/>
        </w:rPr>
        <w:t xml:space="preserve"> </w:t>
      </w:r>
      <w:r w:rsidRPr="00A213B8" w:rsidR="00ED4A71">
        <w:rPr>
          <w:rFonts w:cs="Arial"/>
          <w:b w:val="0"/>
          <w:u w:val="none"/>
        </w:rPr>
        <w:t>Exhibit A (</w:t>
      </w:r>
      <w:r w:rsidRPr="00A213B8" w:rsidR="00255F7C">
        <w:rPr>
          <w:rFonts w:cs="Arial"/>
          <w:b w:val="0"/>
          <w:i/>
          <w:u w:val="none"/>
        </w:rPr>
        <w:t xml:space="preserve">Facility Description and </w:t>
      </w:r>
      <w:r w:rsidRPr="00A213B8" w:rsidR="0062733D">
        <w:rPr>
          <w:rFonts w:cs="Arial"/>
          <w:b w:val="0"/>
          <w:i/>
          <w:u w:val="none"/>
        </w:rPr>
        <w:t>Additional Details</w:t>
      </w:r>
      <w:r w:rsidRPr="00A213B8" w:rsidR="00ED4A71">
        <w:rPr>
          <w:rFonts w:cs="Arial"/>
          <w:b w:val="0"/>
          <w:u w:val="none"/>
        </w:rPr>
        <w:t>)</w:t>
      </w:r>
      <w:r w:rsidR="00DD5BDA">
        <w:rPr>
          <w:rFonts w:cs="Arial"/>
          <w:b w:val="0"/>
          <w:u w:val="none"/>
        </w:rPr>
        <w:t>, unless terminated earlier as provided in this PPA</w:t>
      </w:r>
      <w:r w:rsidRPr="00A213B8" w:rsidR="00ED4A71">
        <w:rPr>
          <w:rFonts w:cs="Arial"/>
          <w:b w:val="0"/>
          <w:u w:val="none"/>
        </w:rPr>
        <w:t>.</w:t>
      </w:r>
    </w:p>
    <w:p w:rsidRPr="00A213B8" w:rsidR="002D54C4" w:rsidP="00261AEB" w:rsidRDefault="002D54C4" w14:paraId="781A8DCA" w14:textId="3457AC06">
      <w:pPr>
        <w:pStyle w:val="Heading3"/>
        <w:keepNext w:val="0"/>
        <w:keepLines w:val="0"/>
        <w:widowControl w:val="0"/>
        <w:spacing w:before="120"/>
        <w:rPr>
          <w:rFonts w:cs="Arial"/>
          <w:b w:val="0"/>
          <w:u w:val="none"/>
        </w:rPr>
      </w:pPr>
      <w:r w:rsidRPr="00A213B8">
        <w:rPr>
          <w:rFonts w:cs="Arial"/>
        </w:rPr>
        <w:t>Termination Payment</w:t>
      </w:r>
      <w:r w:rsidRPr="00A213B8">
        <w:rPr>
          <w:rFonts w:cs="Arial"/>
          <w:u w:val="none"/>
        </w:rPr>
        <w:t xml:space="preserve">: </w:t>
      </w:r>
      <w:r w:rsidRPr="00A213B8" w:rsidR="00590D3A">
        <w:rPr>
          <w:rFonts w:cs="Arial"/>
          <w:b w:val="0"/>
          <w:u w:val="none"/>
        </w:rPr>
        <w:t>As defined</w:t>
      </w:r>
      <w:r w:rsidRPr="00A213B8">
        <w:rPr>
          <w:rFonts w:cs="Arial"/>
          <w:b w:val="0"/>
          <w:u w:val="none"/>
        </w:rPr>
        <w:t xml:space="preserve"> in Section 16.3.2</w:t>
      </w:r>
      <w:r w:rsidRPr="00A213B8" w:rsidR="009E36DB">
        <w:rPr>
          <w:rFonts w:cs="Arial"/>
          <w:b w:val="0"/>
          <w:u w:val="none"/>
        </w:rPr>
        <w:t xml:space="preserve"> (</w:t>
      </w:r>
      <w:r w:rsidRPr="00A213B8" w:rsidR="00876921">
        <w:rPr>
          <w:rFonts w:cs="Arial"/>
          <w:b w:val="0"/>
          <w:i/>
          <w:u w:val="none"/>
        </w:rPr>
        <w:t>Termination Payment</w:t>
      </w:r>
      <w:r w:rsidRPr="00A213B8" w:rsidR="001F496A">
        <w:rPr>
          <w:rFonts w:cs="Arial"/>
          <w:b w:val="0"/>
          <w:u w:val="none"/>
        </w:rPr>
        <w:t>)</w:t>
      </w:r>
      <w:r w:rsidRPr="00A213B8">
        <w:rPr>
          <w:rFonts w:cs="Arial"/>
          <w:b w:val="0"/>
          <w:u w:val="none"/>
        </w:rPr>
        <w:t>.</w:t>
      </w:r>
    </w:p>
    <w:p w:rsidRPr="00A213B8" w:rsidR="007F6785" w:rsidP="00261AEB" w:rsidRDefault="007F6785" w14:paraId="01A76747" w14:textId="6015C85E">
      <w:pPr>
        <w:pStyle w:val="Heading3"/>
        <w:keepNext w:val="0"/>
        <w:keepLines w:val="0"/>
        <w:widowControl w:val="0"/>
        <w:spacing w:before="120"/>
        <w:rPr>
          <w:rFonts w:cs="Arial"/>
          <w:b w:val="0"/>
        </w:rPr>
      </w:pPr>
      <w:r w:rsidRPr="00A213B8">
        <w:rPr>
          <w:rFonts w:cs="Arial"/>
        </w:rPr>
        <w:t xml:space="preserve">Test </w:t>
      </w:r>
      <w:r w:rsidRPr="00A213B8" w:rsidR="00F02DC1">
        <w:rPr>
          <w:rFonts w:cs="Arial"/>
        </w:rPr>
        <w:t xml:space="preserve">Charge </w:t>
      </w:r>
      <w:r w:rsidRPr="00A213B8">
        <w:rPr>
          <w:rFonts w:cs="Arial"/>
        </w:rPr>
        <w:t>Energy</w:t>
      </w:r>
      <w:r w:rsidRPr="00A213B8">
        <w:rPr>
          <w:rFonts w:cs="Arial"/>
          <w:u w:val="none"/>
        </w:rPr>
        <w:t xml:space="preserve">: </w:t>
      </w:r>
      <w:r w:rsidRPr="00A213B8" w:rsidR="00F02DC1">
        <w:rPr>
          <w:rFonts w:cs="Arial"/>
          <w:b w:val="0"/>
          <w:u w:val="none"/>
        </w:rPr>
        <w:t>Any</w:t>
      </w:r>
      <w:r w:rsidRPr="00A213B8" w:rsidR="001672E0">
        <w:rPr>
          <w:rFonts w:cs="Arial"/>
          <w:b w:val="0"/>
          <w:u w:val="none"/>
        </w:rPr>
        <w:t>: (i) before COD,</w:t>
      </w:r>
      <w:r w:rsidRPr="00A213B8" w:rsidR="00F02DC1">
        <w:rPr>
          <w:rFonts w:cs="Arial"/>
          <w:b w:val="0"/>
          <w:u w:val="none"/>
        </w:rPr>
        <w:t xml:space="preserve"> </w:t>
      </w:r>
      <w:r w:rsidRPr="00A213B8" w:rsidR="00217262">
        <w:rPr>
          <w:rFonts w:cs="Arial"/>
          <w:b w:val="0"/>
          <w:u w:val="none"/>
        </w:rPr>
        <w:t xml:space="preserve">Grid </w:t>
      </w:r>
      <w:r w:rsidRPr="00A213B8" w:rsidR="00F02DC1">
        <w:rPr>
          <w:rFonts w:cs="Arial"/>
          <w:b w:val="0"/>
          <w:u w:val="none"/>
        </w:rPr>
        <w:t xml:space="preserve">Charging Energy used to charge the </w:t>
      </w:r>
      <w:r w:rsidRPr="00A213B8" w:rsidR="00680C34">
        <w:rPr>
          <w:rFonts w:cs="Arial"/>
          <w:b w:val="0"/>
          <w:u w:val="none"/>
        </w:rPr>
        <w:t>B</w:t>
      </w:r>
      <w:r w:rsidRPr="00A213B8" w:rsidR="00F02DC1">
        <w:rPr>
          <w:rFonts w:cs="Arial"/>
          <w:b w:val="0"/>
          <w:u w:val="none"/>
        </w:rPr>
        <w:t>ESS</w:t>
      </w:r>
      <w:r w:rsidRPr="00A213B8" w:rsidR="001672E0">
        <w:rPr>
          <w:rFonts w:cs="Arial"/>
          <w:b w:val="0"/>
          <w:u w:val="none"/>
        </w:rPr>
        <w:t xml:space="preserve">; </w:t>
      </w:r>
      <w:r w:rsidRPr="00A213B8" w:rsidR="00241232">
        <w:rPr>
          <w:rFonts w:cs="Arial"/>
          <w:b w:val="0"/>
          <w:u w:val="none"/>
        </w:rPr>
        <w:t>or</w:t>
      </w:r>
      <w:r w:rsidRPr="00A213B8" w:rsidR="001672E0">
        <w:rPr>
          <w:rFonts w:cs="Arial"/>
          <w:b w:val="0"/>
          <w:u w:val="none"/>
        </w:rPr>
        <w:t xml:space="preserve"> (ii) after COD,</w:t>
      </w:r>
      <w:r w:rsidRPr="00A213B8" w:rsidR="00241232">
        <w:rPr>
          <w:rFonts w:cs="Arial"/>
          <w:b w:val="0"/>
          <w:u w:val="none"/>
        </w:rPr>
        <w:t xml:space="preserve"> </w:t>
      </w:r>
      <w:r w:rsidRPr="00A213B8" w:rsidR="007C17DC">
        <w:rPr>
          <w:rFonts w:cs="Arial"/>
          <w:b w:val="0"/>
          <w:u w:val="none"/>
        </w:rPr>
        <w:t xml:space="preserve">any </w:t>
      </w:r>
      <w:r w:rsidRPr="00A213B8" w:rsidR="00217262">
        <w:rPr>
          <w:rFonts w:cs="Arial"/>
          <w:b w:val="0"/>
          <w:u w:val="none"/>
        </w:rPr>
        <w:t xml:space="preserve">Grid </w:t>
      </w:r>
      <w:r w:rsidRPr="00A213B8" w:rsidR="007C17DC">
        <w:rPr>
          <w:rFonts w:cs="Arial"/>
          <w:b w:val="0"/>
          <w:u w:val="none"/>
        </w:rPr>
        <w:t xml:space="preserve">Charging Energy </w:t>
      </w:r>
      <w:r w:rsidRPr="00A213B8" w:rsidR="005D3EFF">
        <w:rPr>
          <w:rFonts w:cs="Arial"/>
          <w:b w:val="0"/>
          <w:u w:val="none"/>
        </w:rPr>
        <w:t xml:space="preserve">used to charge the </w:t>
      </w:r>
      <w:r w:rsidRPr="00A213B8" w:rsidR="00680C34">
        <w:rPr>
          <w:rFonts w:cs="Arial"/>
          <w:b w:val="0"/>
          <w:u w:val="none"/>
        </w:rPr>
        <w:t>B</w:t>
      </w:r>
      <w:r w:rsidRPr="00A213B8" w:rsidR="005D3EFF">
        <w:rPr>
          <w:rFonts w:cs="Arial"/>
          <w:b w:val="0"/>
          <w:u w:val="none"/>
        </w:rPr>
        <w:t xml:space="preserve">ESS </w:t>
      </w:r>
      <w:r w:rsidRPr="00A213B8" w:rsidR="000857DC">
        <w:rPr>
          <w:rFonts w:cs="Arial"/>
          <w:b w:val="0"/>
          <w:u w:val="none"/>
        </w:rPr>
        <w:t xml:space="preserve">not at the direction </w:t>
      </w:r>
      <w:r w:rsidRPr="00A213B8" w:rsidR="00DE0806">
        <w:rPr>
          <w:rFonts w:cs="Arial"/>
          <w:b w:val="0"/>
          <w:u w:val="none"/>
        </w:rPr>
        <w:t xml:space="preserve">of GPC or by an AGC </w:t>
      </w:r>
      <w:r w:rsidRPr="00A213B8" w:rsidR="00814CF8">
        <w:rPr>
          <w:rFonts w:cs="Arial"/>
          <w:b w:val="0"/>
          <w:u w:val="none"/>
        </w:rPr>
        <w:t xml:space="preserve">Setpoint </w:t>
      </w:r>
      <w:r w:rsidRPr="00A213B8" w:rsidR="00DE0806">
        <w:rPr>
          <w:rFonts w:cs="Arial"/>
          <w:b w:val="0"/>
          <w:u w:val="none"/>
        </w:rPr>
        <w:t>signal</w:t>
      </w:r>
      <w:r w:rsidRPr="00A213B8" w:rsidR="00B2332D">
        <w:rPr>
          <w:rFonts w:cs="Arial"/>
          <w:b w:val="0"/>
          <w:u w:val="none"/>
        </w:rPr>
        <w:t>.</w:t>
      </w:r>
    </w:p>
    <w:p w:rsidRPr="00A213B8" w:rsidR="003F5366" w:rsidP="00261AEB" w:rsidRDefault="003F5366" w14:paraId="5CEF96B5" w14:textId="7A4BF7D1">
      <w:pPr>
        <w:pStyle w:val="Heading3"/>
        <w:keepNext w:val="0"/>
        <w:keepLines w:val="0"/>
        <w:widowControl w:val="0"/>
        <w:spacing w:before="120"/>
        <w:rPr>
          <w:rFonts w:cs="Arial"/>
          <w:b w:val="0"/>
        </w:rPr>
      </w:pPr>
      <w:r w:rsidRPr="00A213B8">
        <w:rPr>
          <w:rFonts w:cs="Arial"/>
        </w:rPr>
        <w:t>Test Charge Energy Price</w:t>
      </w:r>
      <w:r w:rsidRPr="00A213B8">
        <w:rPr>
          <w:rFonts w:cs="Arial"/>
          <w:u w:val="none"/>
        </w:rPr>
        <w:t xml:space="preserve">: </w:t>
      </w:r>
      <w:r w:rsidRPr="00A213B8" w:rsidR="006E3D2F">
        <w:rPr>
          <w:rFonts w:cs="Arial"/>
          <w:b w:val="0"/>
          <w:bCs w:val="0"/>
          <w:u w:val="none"/>
        </w:rPr>
        <w:t>Equals AIER.</w:t>
      </w:r>
    </w:p>
    <w:p w:rsidRPr="00A213B8" w:rsidR="00254567" w:rsidP="00261AEB" w:rsidRDefault="00254567" w14:paraId="7BD62A1B" w14:textId="3851C0C6">
      <w:pPr>
        <w:pStyle w:val="Heading3"/>
        <w:keepNext w:val="0"/>
        <w:keepLines w:val="0"/>
        <w:widowControl w:val="0"/>
        <w:spacing w:before="120"/>
        <w:rPr>
          <w:rFonts w:cs="Arial"/>
          <w:b w:val="0"/>
        </w:rPr>
      </w:pPr>
      <w:r w:rsidRPr="00A213B8">
        <w:rPr>
          <w:rFonts w:cs="Arial"/>
        </w:rPr>
        <w:lastRenderedPageBreak/>
        <w:t>Test Discharge Energy</w:t>
      </w:r>
      <w:r w:rsidRPr="00A213B8">
        <w:rPr>
          <w:rFonts w:cs="Arial"/>
          <w:u w:val="none"/>
        </w:rPr>
        <w:t xml:space="preserve">: </w:t>
      </w:r>
      <w:r w:rsidRPr="00A213B8">
        <w:rPr>
          <w:rFonts w:cs="Arial"/>
          <w:b w:val="0"/>
          <w:u w:val="none"/>
        </w:rPr>
        <w:t xml:space="preserve">Any </w:t>
      </w:r>
      <w:r w:rsidRPr="00A213B8" w:rsidR="00343641">
        <w:rPr>
          <w:rFonts w:cs="Arial"/>
          <w:b w:val="0"/>
          <w:u w:val="none"/>
        </w:rPr>
        <w:t>energy deliv</w:t>
      </w:r>
      <w:r w:rsidRPr="00A213B8" w:rsidR="00DE1260">
        <w:rPr>
          <w:rFonts w:cs="Arial"/>
          <w:b w:val="0"/>
          <w:u w:val="none"/>
        </w:rPr>
        <w:t xml:space="preserve">ered to the POI from the Renewable Resource or the </w:t>
      </w:r>
      <w:r w:rsidRPr="00A213B8" w:rsidR="00680C34">
        <w:rPr>
          <w:rFonts w:cs="Arial"/>
          <w:b w:val="0"/>
          <w:u w:val="none"/>
        </w:rPr>
        <w:t>B</w:t>
      </w:r>
      <w:r w:rsidRPr="00A213B8" w:rsidR="00DE1260">
        <w:rPr>
          <w:rFonts w:cs="Arial"/>
          <w:b w:val="0"/>
          <w:u w:val="none"/>
        </w:rPr>
        <w:t>ESS</w:t>
      </w:r>
      <w:r w:rsidRPr="00A213B8">
        <w:rPr>
          <w:rFonts w:cs="Arial"/>
          <w:b w:val="0"/>
          <w:u w:val="none"/>
        </w:rPr>
        <w:t xml:space="preserve"> </w:t>
      </w:r>
      <w:r w:rsidRPr="00A213B8" w:rsidR="00D97FA1">
        <w:rPr>
          <w:rFonts w:cs="Arial"/>
          <w:b w:val="0"/>
          <w:u w:val="none"/>
        </w:rPr>
        <w:t>before</w:t>
      </w:r>
      <w:r w:rsidRPr="00A213B8">
        <w:rPr>
          <w:rFonts w:cs="Arial"/>
          <w:b w:val="0"/>
          <w:u w:val="none"/>
        </w:rPr>
        <w:t xml:space="preserve"> the </w:t>
      </w:r>
      <w:r w:rsidRPr="00A213B8" w:rsidR="00374441">
        <w:rPr>
          <w:rFonts w:cs="Arial"/>
          <w:b w:val="0"/>
          <w:u w:val="none"/>
        </w:rPr>
        <w:t xml:space="preserve">earlier of RCOD or </w:t>
      </w:r>
      <w:r w:rsidRPr="00A213B8" w:rsidR="00310636">
        <w:rPr>
          <w:rFonts w:cs="Arial"/>
          <w:b w:val="0"/>
          <w:u w:val="none"/>
        </w:rPr>
        <w:t>COD</w:t>
      </w:r>
      <w:r w:rsidRPr="00A213B8">
        <w:rPr>
          <w:rFonts w:cs="Arial"/>
          <w:b w:val="0"/>
          <w:u w:val="none"/>
        </w:rPr>
        <w:t>.</w:t>
      </w:r>
    </w:p>
    <w:p w:rsidRPr="00A213B8" w:rsidR="002D54C4" w:rsidP="005C6D88" w:rsidRDefault="002D54C4" w14:paraId="00B4AAB0" w14:textId="6150C044">
      <w:pPr>
        <w:pStyle w:val="Heading3"/>
        <w:keepNext w:val="0"/>
        <w:keepLines w:val="0"/>
        <w:widowControl w:val="0"/>
        <w:spacing w:before="120"/>
        <w:rPr>
          <w:rFonts w:cs="Arial"/>
          <w:b w:val="0"/>
        </w:rPr>
      </w:pPr>
      <w:r w:rsidRPr="00A213B8">
        <w:rPr>
          <w:rFonts w:cs="Arial"/>
        </w:rPr>
        <w:t xml:space="preserve">Test </w:t>
      </w:r>
      <w:r w:rsidRPr="00A213B8" w:rsidR="003F5366">
        <w:rPr>
          <w:rFonts w:cs="Arial"/>
        </w:rPr>
        <w:t xml:space="preserve">Discharge </w:t>
      </w:r>
      <w:r w:rsidRPr="00A213B8">
        <w:rPr>
          <w:rFonts w:cs="Arial"/>
        </w:rPr>
        <w:t>Energy Price</w:t>
      </w:r>
      <w:r w:rsidRPr="00A213B8">
        <w:rPr>
          <w:rFonts w:cs="Arial"/>
          <w:u w:val="none"/>
        </w:rPr>
        <w:t xml:space="preserve">: </w:t>
      </w:r>
      <w:r w:rsidRPr="007A3849" w:rsidR="002A119E">
        <w:rPr>
          <w:rFonts w:cs="Arial"/>
          <w:b w:val="0"/>
          <w:bCs w:val="0"/>
          <w:u w:val="none"/>
        </w:rPr>
        <w:t>Equals AIER.</w:t>
      </w:r>
    </w:p>
    <w:p w:rsidRPr="00261AEB" w:rsidR="00307CCB" w:rsidP="00261AEB" w:rsidRDefault="00307CCB" w14:paraId="6E9C583E" w14:textId="335D49F7">
      <w:pPr>
        <w:pStyle w:val="Heading3"/>
        <w:keepNext w:val="0"/>
        <w:keepLines w:val="0"/>
        <w:widowControl w:val="0"/>
        <w:spacing w:before="120"/>
        <w:rPr>
          <w:b w:val="0"/>
          <w:u w:val="none"/>
        </w:rPr>
      </w:pPr>
      <w:r w:rsidRPr="00A213B8">
        <w:rPr>
          <w:rFonts w:cs="Arial"/>
        </w:rPr>
        <w:t>Tested Storage Capacity</w:t>
      </w:r>
      <w:r w:rsidRPr="00A213B8">
        <w:rPr>
          <w:rFonts w:cs="Arial"/>
          <w:u w:val="none"/>
        </w:rPr>
        <w:t xml:space="preserve">: </w:t>
      </w:r>
      <w:r w:rsidRPr="00A213B8">
        <w:rPr>
          <w:rFonts w:cs="Arial"/>
          <w:b w:val="0"/>
          <w:bCs w:val="0"/>
          <w:u w:val="none"/>
        </w:rPr>
        <w:t xml:space="preserve">The actual </w:t>
      </w:r>
      <w:r w:rsidRPr="00A213B8" w:rsidR="00680C34">
        <w:rPr>
          <w:rFonts w:cs="Arial"/>
          <w:b w:val="0"/>
          <w:bCs w:val="0"/>
          <w:u w:val="none"/>
        </w:rPr>
        <w:t>B</w:t>
      </w:r>
      <w:r w:rsidRPr="00A213B8">
        <w:rPr>
          <w:rFonts w:cs="Arial"/>
          <w:b w:val="0"/>
          <w:bCs w:val="0"/>
          <w:u w:val="none"/>
        </w:rPr>
        <w:t>ESS capability</w:t>
      </w:r>
      <w:r w:rsidRPr="00A213B8" w:rsidR="001A13CC">
        <w:rPr>
          <w:rFonts w:cs="Arial"/>
          <w:b w:val="0"/>
          <w:bCs w:val="0"/>
          <w:u w:val="none"/>
        </w:rPr>
        <w:t xml:space="preserve"> (</w:t>
      </w:r>
      <w:r w:rsidRPr="00A213B8">
        <w:rPr>
          <w:rFonts w:cs="Arial"/>
          <w:b w:val="0"/>
          <w:bCs w:val="0"/>
          <w:u w:val="none"/>
        </w:rPr>
        <w:t>MW</w:t>
      </w:r>
      <w:r w:rsidRPr="00A213B8" w:rsidR="001A13CC">
        <w:rPr>
          <w:rFonts w:cs="Arial"/>
          <w:b w:val="0"/>
          <w:bCs w:val="0"/>
          <w:u w:val="none"/>
        </w:rPr>
        <w:t>)</w:t>
      </w:r>
      <w:r w:rsidRPr="00A213B8">
        <w:rPr>
          <w:rFonts w:cs="Arial"/>
          <w:b w:val="0"/>
          <w:bCs w:val="0"/>
          <w:u w:val="none"/>
        </w:rPr>
        <w:t xml:space="preserve"> demonstrated during a Performance Test.</w:t>
      </w:r>
    </w:p>
    <w:p w:rsidRPr="00A213B8" w:rsidR="00493C8C" w:rsidP="000432D0" w:rsidRDefault="00493C8C" w14:paraId="3A66553E" w14:textId="0B521C02">
      <w:pPr>
        <w:spacing w:before="120" w:after="120" w:line="240" w:lineRule="auto"/>
        <w:rPr>
          <w:rFonts w:ascii="Arial" w:hAnsi="Arial" w:cs="Arial"/>
          <w:sz w:val="20"/>
          <w:szCs w:val="20"/>
        </w:rPr>
      </w:pPr>
      <w:r w:rsidRPr="00A213B8">
        <w:rPr>
          <w:rFonts w:ascii="Arial" w:hAnsi="Arial" w:cs="Arial"/>
          <w:b/>
          <w:bCs/>
          <w:sz w:val="20"/>
          <w:szCs w:val="20"/>
          <w:u w:val="single"/>
        </w:rPr>
        <w:t>Third Arbitrator:</w:t>
      </w:r>
      <w:r w:rsidRPr="00A213B8">
        <w:rPr>
          <w:rFonts w:ascii="Arial" w:hAnsi="Arial" w:cs="Arial"/>
          <w:sz w:val="20"/>
          <w:szCs w:val="20"/>
        </w:rPr>
        <w:t xml:space="preserve"> As defined in Section 19.3.2(i) (</w:t>
      </w:r>
      <w:r w:rsidRPr="00A213B8">
        <w:rPr>
          <w:rFonts w:ascii="Arial" w:hAnsi="Arial" w:cs="Arial"/>
          <w:i/>
          <w:iCs/>
          <w:sz w:val="20"/>
          <w:szCs w:val="20"/>
        </w:rPr>
        <w:t>Initiation of Arbitration; Selection of Party-Appointed Arbitrators</w:t>
      </w:r>
      <w:r w:rsidRPr="00A213B8">
        <w:rPr>
          <w:rFonts w:ascii="Arial" w:hAnsi="Arial" w:cs="Arial"/>
          <w:sz w:val="20"/>
          <w:szCs w:val="20"/>
        </w:rPr>
        <w:t>).</w:t>
      </w:r>
    </w:p>
    <w:p w:rsidRPr="00261AEB" w:rsidR="002D54C4" w:rsidP="00261AEB" w:rsidRDefault="002D54C4" w14:paraId="59324FD6" w14:textId="1A2843F2">
      <w:pPr>
        <w:pStyle w:val="Heading3"/>
        <w:keepNext w:val="0"/>
        <w:keepLines w:val="0"/>
        <w:widowControl w:val="0"/>
        <w:spacing w:before="120"/>
        <w:rPr>
          <w:b w:val="0"/>
          <w:u w:val="none"/>
        </w:rPr>
      </w:pPr>
      <w:r w:rsidRPr="00A213B8">
        <w:rPr>
          <w:rFonts w:cs="Arial"/>
        </w:rPr>
        <w:t>Threshold Amount</w:t>
      </w:r>
      <w:r w:rsidRPr="00A213B8">
        <w:rPr>
          <w:rFonts w:cs="Arial"/>
          <w:u w:val="none"/>
        </w:rPr>
        <w:t xml:space="preserve">: </w:t>
      </w:r>
      <w:r w:rsidRPr="004052A6" w:rsidR="004052A6">
        <w:rPr>
          <w:rFonts w:cs="Arial"/>
          <w:b w:val="0"/>
          <w:bCs w:val="0"/>
          <w:u w:val="none"/>
        </w:rPr>
        <w:t>$8.00/kW of Contracted Capacity, expressed in dollars by multiplying $8.00 by the Contracted Capacity (kW)</w:t>
      </w:r>
      <w:r w:rsidRPr="00A213B8" w:rsidDel="00FD5CC0">
        <w:rPr>
          <w:rFonts w:cs="Arial"/>
          <w:b w:val="0"/>
          <w:u w:val="none"/>
        </w:rPr>
        <w:t>.</w:t>
      </w:r>
    </w:p>
    <w:p w:rsidRPr="00A213B8" w:rsidR="00A672F2" w:rsidP="000432D0" w:rsidRDefault="00A672F2" w14:paraId="50F8DF5F" w14:textId="66B722D3">
      <w:pPr>
        <w:pStyle w:val="Heading3"/>
        <w:spacing w:before="120"/>
        <w:rPr>
          <w:rFonts w:cs="Arial"/>
          <w:b w:val="0"/>
          <w:u w:val="none"/>
        </w:rPr>
      </w:pPr>
      <w:bookmarkStart w:name="_Hlk194061792" w:id="36"/>
      <w:r w:rsidRPr="00A213B8">
        <w:rPr>
          <w:rFonts w:cs="Arial"/>
        </w:rPr>
        <w:t>Triggering Failure</w:t>
      </w:r>
      <w:r w:rsidRPr="00A213B8">
        <w:rPr>
          <w:rFonts w:cs="Arial"/>
          <w:u w:val="none"/>
        </w:rPr>
        <w:t xml:space="preserve">: </w:t>
      </w:r>
      <w:r w:rsidRPr="00A213B8">
        <w:rPr>
          <w:rFonts w:cs="Arial"/>
          <w:b w:val="0"/>
          <w:bCs w:val="0"/>
          <w:u w:val="none"/>
        </w:rPr>
        <w:t>As defined in Section 10.9 (</w:t>
      </w:r>
      <w:r w:rsidRPr="00A213B8">
        <w:rPr>
          <w:rFonts w:cs="Arial"/>
          <w:b w:val="0"/>
          <w:bCs w:val="0"/>
          <w:i/>
          <w:iCs/>
          <w:u w:val="none"/>
        </w:rPr>
        <w:t>AGC Performance Requirements</w:t>
      </w:r>
      <w:r w:rsidRPr="00A213B8">
        <w:rPr>
          <w:rFonts w:cs="Arial"/>
          <w:b w:val="0"/>
          <w:bCs w:val="0"/>
          <w:u w:val="none"/>
        </w:rPr>
        <w:t>).</w:t>
      </w:r>
      <w:bookmarkEnd w:id="36"/>
    </w:p>
    <w:p w:rsidRPr="00A213B8" w:rsidR="00CF73ED" w:rsidP="000432D0" w:rsidRDefault="00CF73ED" w14:paraId="5CB100DF" w14:textId="796DCA13">
      <w:pPr>
        <w:spacing w:before="120" w:after="120" w:line="240" w:lineRule="auto"/>
        <w:rPr>
          <w:rFonts w:ascii="Arial" w:hAnsi="Arial" w:cs="Arial"/>
          <w:sz w:val="20"/>
          <w:szCs w:val="20"/>
        </w:rPr>
      </w:pPr>
      <w:r w:rsidRPr="00A213B8">
        <w:rPr>
          <w:rFonts w:ascii="Arial" w:hAnsi="Arial" w:cs="Arial"/>
          <w:b/>
          <w:bCs/>
          <w:sz w:val="20"/>
          <w:szCs w:val="20"/>
          <w:u w:val="single"/>
        </w:rPr>
        <w:t>Ultimate Parent Entity:</w:t>
      </w:r>
      <w:r w:rsidRPr="00A213B8">
        <w:rPr>
          <w:rFonts w:ascii="Arial" w:hAnsi="Arial" w:cs="Arial"/>
          <w:sz w:val="20"/>
          <w:szCs w:val="20"/>
        </w:rPr>
        <w:t xml:space="preserve"> With respect to a Party, the Person who (i) directly or indirectly controls 50% or more of the outstanding capital stock or other equity interests in such Party; (ii) has ordinary voting power; and (iii) does not itself have an Ultimate Parent Entity.</w:t>
      </w:r>
    </w:p>
    <w:p w:rsidRPr="00A213B8" w:rsidR="000763DC" w:rsidP="00261AEB" w:rsidRDefault="000763DC" w14:paraId="44FD3B77" w14:textId="5568EA31">
      <w:pPr>
        <w:pStyle w:val="Heading3"/>
        <w:keepNext w:val="0"/>
        <w:keepLines w:val="0"/>
        <w:widowControl w:val="0"/>
        <w:spacing w:before="120"/>
        <w:rPr>
          <w:rFonts w:cs="Arial"/>
        </w:rPr>
      </w:pPr>
      <w:r w:rsidRPr="00A213B8">
        <w:rPr>
          <w:rFonts w:cs="Arial"/>
        </w:rPr>
        <w:t>Unavailable</w:t>
      </w:r>
      <w:r w:rsidRPr="00A213B8">
        <w:rPr>
          <w:rFonts w:cs="Arial"/>
          <w:u w:val="none"/>
        </w:rPr>
        <w:t>:</w:t>
      </w:r>
      <w:r w:rsidRPr="00A213B8" w:rsidR="00874DDE">
        <w:rPr>
          <w:rFonts w:cs="Arial"/>
          <w:u w:val="none"/>
        </w:rPr>
        <w:t xml:space="preserve"> </w:t>
      </w:r>
      <w:r w:rsidRPr="00A213B8" w:rsidR="00874DDE">
        <w:rPr>
          <w:rFonts w:cs="Arial"/>
          <w:b w:val="0"/>
          <w:bCs w:val="0"/>
          <w:u w:val="none"/>
        </w:rPr>
        <w:t xml:space="preserve">The extent to which, after the Delivery Commencement Date, the Facility is unable (in whole or in part) to </w:t>
      </w:r>
      <w:r w:rsidRPr="00A213B8" w:rsidDel="006D7CC6" w:rsidR="005F504F">
        <w:rPr>
          <w:rFonts w:cs="Arial"/>
          <w:b w:val="0"/>
          <w:bCs w:val="0"/>
          <w:u w:val="none"/>
        </w:rPr>
        <w:t xml:space="preserve">store </w:t>
      </w:r>
      <w:r w:rsidRPr="00A213B8" w:rsidR="005F504F">
        <w:rPr>
          <w:rFonts w:cs="Arial"/>
          <w:b w:val="0"/>
          <w:bCs w:val="0"/>
          <w:u w:val="none"/>
        </w:rPr>
        <w:t xml:space="preserve">or </w:t>
      </w:r>
      <w:r w:rsidRPr="00A213B8" w:rsidDel="006D7CC6" w:rsidR="00874DDE">
        <w:rPr>
          <w:rFonts w:cs="Arial"/>
          <w:b w:val="0"/>
          <w:bCs w:val="0"/>
          <w:u w:val="none"/>
        </w:rPr>
        <w:t>deliver</w:t>
      </w:r>
      <w:r w:rsidRPr="00A213B8" w:rsidR="00874DDE">
        <w:rPr>
          <w:rFonts w:cs="Arial"/>
          <w:b w:val="0"/>
          <w:bCs w:val="0"/>
          <w:u w:val="none"/>
        </w:rPr>
        <w:t xml:space="preserve"> energy due to a Scheduled Outage, Maintenance Outage, Forced Outage, Forced Derate</w:t>
      </w:r>
      <w:r w:rsidRPr="00A213B8" w:rsidR="00835DAF">
        <w:rPr>
          <w:rFonts w:cs="Arial"/>
          <w:b w:val="0"/>
          <w:bCs w:val="0"/>
          <w:u w:val="none"/>
        </w:rPr>
        <w:t>,</w:t>
      </w:r>
      <w:r w:rsidRPr="00A213B8" w:rsidR="00874DDE">
        <w:rPr>
          <w:rFonts w:cs="Arial"/>
          <w:b w:val="0"/>
          <w:bCs w:val="0"/>
          <w:u w:val="none"/>
        </w:rPr>
        <w:t xml:space="preserve"> or a Force Majeure Event.</w:t>
      </w:r>
    </w:p>
    <w:p w:rsidRPr="00A213B8" w:rsidR="002D54C4" w:rsidP="00261AEB" w:rsidRDefault="002D54C4" w14:paraId="7DE998C3" w14:textId="5F6121FF">
      <w:pPr>
        <w:pStyle w:val="Heading3"/>
        <w:keepNext w:val="0"/>
        <w:keepLines w:val="0"/>
        <w:widowControl w:val="0"/>
        <w:spacing w:before="120"/>
        <w:rPr>
          <w:rFonts w:cs="Arial"/>
          <w:b w:val="0"/>
          <w:u w:val="none"/>
        </w:rPr>
      </w:pPr>
      <w:r w:rsidRPr="00A213B8">
        <w:rPr>
          <w:rStyle w:val="BBBodyText2Char"/>
          <w:rFonts w:eastAsia="Calibri" w:cs="Arial"/>
          <w:szCs w:val="20"/>
        </w:rPr>
        <w:t>Unavailability Period</w:t>
      </w:r>
      <w:r w:rsidRPr="00A213B8">
        <w:rPr>
          <w:rStyle w:val="BBBodyText2Char"/>
          <w:rFonts w:eastAsia="Calibri" w:cs="Arial"/>
          <w:szCs w:val="20"/>
          <w:u w:val="none"/>
        </w:rPr>
        <w:t>:</w:t>
      </w:r>
      <w:r w:rsidRPr="00A213B8">
        <w:rPr>
          <w:rFonts w:cs="Arial"/>
          <w:u w:val="none"/>
        </w:rPr>
        <w:t xml:space="preserve"> </w:t>
      </w:r>
      <w:r w:rsidRPr="00A213B8">
        <w:rPr>
          <w:rFonts w:cs="Arial"/>
          <w:b w:val="0"/>
          <w:u w:val="none"/>
        </w:rPr>
        <w:t xml:space="preserve">Any single, continuous period during which the </w:t>
      </w:r>
      <w:r w:rsidRPr="00A213B8" w:rsidR="00680C34">
        <w:rPr>
          <w:rFonts w:cs="Arial"/>
          <w:b w:val="0"/>
          <w:u w:val="none"/>
        </w:rPr>
        <w:t>B</w:t>
      </w:r>
      <w:r w:rsidRPr="00A213B8">
        <w:rPr>
          <w:rFonts w:cs="Arial"/>
          <w:b w:val="0"/>
          <w:u w:val="none"/>
        </w:rPr>
        <w:t xml:space="preserve">ESS is Unavailable to respond to GPC’s AGC </w:t>
      </w:r>
      <w:r w:rsidRPr="00A213B8" w:rsidR="00403369">
        <w:rPr>
          <w:rFonts w:cs="Arial"/>
          <w:b w:val="0"/>
          <w:u w:val="none"/>
        </w:rPr>
        <w:t xml:space="preserve">Setpoint </w:t>
      </w:r>
      <w:r w:rsidRPr="00A213B8">
        <w:rPr>
          <w:rFonts w:cs="Arial"/>
          <w:b w:val="0"/>
          <w:u w:val="none"/>
        </w:rPr>
        <w:t>signals</w:t>
      </w:r>
      <w:r w:rsidRPr="00A213B8" w:rsidR="00C03574">
        <w:rPr>
          <w:rFonts w:cs="Arial"/>
          <w:b w:val="0"/>
          <w:u w:val="none"/>
        </w:rPr>
        <w:t xml:space="preserve"> or </w:t>
      </w:r>
      <w:r w:rsidRPr="00A213B8" w:rsidR="00AD4159">
        <w:rPr>
          <w:rFonts w:cs="Arial"/>
          <w:b w:val="0"/>
          <w:u w:val="none"/>
        </w:rPr>
        <w:t xml:space="preserve">other </w:t>
      </w:r>
      <w:r w:rsidRPr="00A213B8" w:rsidR="00080B6A">
        <w:rPr>
          <w:rFonts w:cs="Arial"/>
          <w:b w:val="0"/>
          <w:u w:val="none"/>
        </w:rPr>
        <w:t xml:space="preserve">dispatch </w:t>
      </w:r>
      <w:r w:rsidRPr="00A213B8" w:rsidR="00AD4159">
        <w:rPr>
          <w:rFonts w:cs="Arial"/>
          <w:b w:val="0"/>
          <w:u w:val="none"/>
        </w:rPr>
        <w:t>instructions</w:t>
      </w:r>
      <w:r w:rsidRPr="00A213B8">
        <w:rPr>
          <w:rFonts w:cs="Arial"/>
          <w:b w:val="0"/>
          <w:u w:val="none"/>
        </w:rPr>
        <w:t>, in whole or in part.</w:t>
      </w:r>
      <w:r w:rsidRPr="00A213B8">
        <w:rPr>
          <w:rFonts w:cs="Arial"/>
          <w:b w:val="0"/>
          <w:bCs w:val="0"/>
          <w:u w:val="none"/>
        </w:rPr>
        <w:t xml:space="preserve"> </w:t>
      </w:r>
    </w:p>
    <w:p w:rsidRPr="00A213B8" w:rsidR="002D54C4" w:rsidP="00261AEB" w:rsidRDefault="002D54C4" w14:paraId="75CC5824" w14:textId="77777777">
      <w:pPr>
        <w:pStyle w:val="Heading3"/>
        <w:keepNext w:val="0"/>
        <w:keepLines w:val="0"/>
        <w:widowControl w:val="0"/>
        <w:tabs>
          <w:tab w:val="left" w:pos="900"/>
          <w:tab w:val="left" w:pos="1440"/>
        </w:tabs>
        <w:spacing w:before="120"/>
        <w:rPr>
          <w:rFonts w:cs="Arial"/>
          <w:u w:val="none"/>
        </w:rPr>
      </w:pPr>
      <w:r w:rsidRPr="00A213B8">
        <w:rPr>
          <w:rFonts w:cs="Arial"/>
        </w:rPr>
        <w:t>Variable Interest (VI)</w:t>
      </w:r>
      <w:r w:rsidRPr="00A213B8">
        <w:rPr>
          <w:rFonts w:cs="Arial"/>
          <w:u w:val="none"/>
        </w:rPr>
        <w:t xml:space="preserve">: </w:t>
      </w:r>
      <w:r w:rsidRPr="00A213B8">
        <w:rPr>
          <w:rFonts w:cs="Arial"/>
          <w:b w:val="0"/>
          <w:u w:val="none"/>
        </w:rPr>
        <w:t>Defined in ASC Topic 810 (</w:t>
      </w:r>
      <w:r w:rsidRPr="00A213B8">
        <w:rPr>
          <w:rFonts w:cs="Arial"/>
          <w:b w:val="0"/>
          <w:i/>
          <w:u w:val="none"/>
        </w:rPr>
        <w:t>Consolidation</w:t>
      </w:r>
      <w:r w:rsidRPr="00A213B8">
        <w:rPr>
          <w:rFonts w:cs="Arial"/>
          <w:b w:val="0"/>
          <w:u w:val="none"/>
        </w:rPr>
        <w:t>), as issued and modified from time to time by FASB.</w:t>
      </w:r>
    </w:p>
    <w:p w:rsidR="004B20B7" w:rsidP="000432D0" w:rsidRDefault="002D54C4" w14:paraId="34E01B4B" w14:textId="2A59AAD6">
      <w:pPr>
        <w:pStyle w:val="Heading3"/>
        <w:keepNext w:val="0"/>
        <w:keepLines w:val="0"/>
        <w:widowControl w:val="0"/>
        <w:tabs>
          <w:tab w:val="left" w:pos="900"/>
          <w:tab w:val="left" w:pos="1440"/>
        </w:tabs>
        <w:spacing w:before="120"/>
        <w:rPr>
          <w:rFonts w:cs="Arial"/>
          <w:b w:val="0"/>
          <w:u w:val="none"/>
        </w:rPr>
        <w:sectPr w:rsidR="004B20B7" w:rsidSect="003B614F">
          <w:headerReference w:type="even" r:id="rId14"/>
          <w:footerReference w:type="even" r:id="rId15"/>
          <w:footerReference w:type="first" r:id="rId16"/>
          <w:pgSz w:w="12240" w:h="15840" w:code="1"/>
          <w:pgMar w:top="1440" w:right="1440" w:bottom="1440" w:left="1440" w:header="720" w:footer="720" w:gutter="0"/>
          <w:paperSrc w:first="15" w:other="15"/>
          <w:cols w:space="1440"/>
        </w:sectPr>
      </w:pPr>
      <w:r w:rsidRPr="00A213B8">
        <w:rPr>
          <w:rFonts w:cs="Arial"/>
        </w:rPr>
        <w:t>Variable Interest Entity (VIE)</w:t>
      </w:r>
      <w:r w:rsidRPr="00A213B8">
        <w:rPr>
          <w:rFonts w:cs="Arial"/>
          <w:u w:val="none"/>
        </w:rPr>
        <w:t xml:space="preserve">: </w:t>
      </w:r>
      <w:r w:rsidRPr="00A213B8">
        <w:rPr>
          <w:rFonts w:cs="Arial"/>
          <w:b w:val="0"/>
          <w:u w:val="none"/>
        </w:rPr>
        <w:t>Defined in ASC Topic 810 (</w:t>
      </w:r>
      <w:r w:rsidRPr="00A213B8">
        <w:rPr>
          <w:rFonts w:cs="Arial"/>
          <w:b w:val="0"/>
          <w:i/>
          <w:u w:val="none"/>
        </w:rPr>
        <w:t>Consolidation</w:t>
      </w:r>
      <w:r w:rsidRPr="00A213B8">
        <w:rPr>
          <w:rFonts w:cs="Arial"/>
          <w:b w:val="0"/>
          <w:u w:val="none"/>
        </w:rPr>
        <w:t>), as issued and modified from time to time by FASB</w:t>
      </w:r>
      <w:r w:rsidRPr="002D2A8F">
        <w:rPr>
          <w:rFonts w:cs="Arial"/>
          <w:b w:val="0"/>
          <w:u w:val="none"/>
        </w:rPr>
        <w:t>.</w:t>
      </w:r>
    </w:p>
    <w:p w:rsidRPr="00E67692" w:rsidR="0000254F" w:rsidP="00E67692" w:rsidRDefault="0000254F" w14:paraId="511902E4" w14:textId="5DEC29FE">
      <w:pPr>
        <w:pStyle w:val="Heading3"/>
        <w:keepNext w:val="0"/>
        <w:keepLines w:val="0"/>
        <w:widowControl w:val="0"/>
        <w:tabs>
          <w:tab w:val="left" w:pos="900"/>
          <w:tab w:val="left" w:pos="1440"/>
        </w:tabs>
        <w:spacing w:before="120" w:line="20" w:lineRule="atLeast"/>
        <w:rPr>
          <w:rFonts w:cs="Arial"/>
          <w:b w:val="0"/>
          <w:bCs w:val="0"/>
        </w:rPr>
      </w:pPr>
    </w:p>
    <w:p w:rsidRPr="002D2A8F" w:rsidR="002D54C4" w:rsidP="002D54C4" w:rsidRDefault="002D54C4" w14:paraId="1C51AE0F" w14:textId="27931853">
      <w:pPr>
        <w:pStyle w:val="zGTitle14"/>
        <w:rPr>
          <w:rFonts w:cs="Arial"/>
          <w:color w:val="000000" w:themeColor="text1"/>
          <w:szCs w:val="28"/>
        </w:rPr>
      </w:pPr>
      <w:r w:rsidRPr="002D2A8F">
        <w:rPr>
          <w:rFonts w:cs="Arial"/>
          <w:color w:val="000000" w:themeColor="text1"/>
          <w:szCs w:val="28"/>
        </w:rPr>
        <w:t xml:space="preserve">Power Purchase Agreement for Firm </w:t>
      </w:r>
    </w:p>
    <w:p w:rsidRPr="002D2A8F" w:rsidR="002D54C4" w:rsidP="002D54C4" w:rsidRDefault="002D54C4" w14:paraId="048F4600" w14:textId="77777777">
      <w:pPr>
        <w:pStyle w:val="zGTitle14"/>
        <w:rPr>
          <w:rFonts w:cs="Arial"/>
          <w:color w:val="000000" w:themeColor="text1"/>
          <w:szCs w:val="28"/>
        </w:rPr>
      </w:pPr>
      <w:r w:rsidRPr="002D2A8F">
        <w:rPr>
          <w:rFonts w:cs="Arial"/>
          <w:color w:val="000000" w:themeColor="text1"/>
          <w:szCs w:val="28"/>
        </w:rPr>
        <w:t xml:space="preserve">Capacity, Associated Energy, and Ancillary Services </w:t>
      </w:r>
    </w:p>
    <w:p w:rsidR="00B43F1C" w:rsidP="002D54C4" w:rsidRDefault="002D54C4" w14:paraId="01C177BD" w14:textId="2649A846">
      <w:pPr>
        <w:pStyle w:val="zGTitle14"/>
        <w:rPr>
          <w:rFonts w:cs="Arial"/>
          <w:color w:val="000000" w:themeColor="text1"/>
          <w:szCs w:val="28"/>
        </w:rPr>
      </w:pPr>
      <w:r w:rsidRPr="002D2A8F">
        <w:rPr>
          <w:rFonts w:cs="Arial"/>
          <w:color w:val="000000" w:themeColor="text1"/>
          <w:szCs w:val="28"/>
        </w:rPr>
        <w:t>from a</w:t>
      </w:r>
      <w:r w:rsidR="004B20B7">
        <w:rPr>
          <w:rFonts w:cs="Arial"/>
          <w:color w:val="000000" w:themeColor="text1"/>
          <w:szCs w:val="28"/>
        </w:rPr>
        <w:t xml:space="preserve"> Battery</w:t>
      </w:r>
      <w:r w:rsidRPr="002D2A8F">
        <w:rPr>
          <w:rFonts w:cs="Arial"/>
          <w:color w:val="000000" w:themeColor="text1"/>
          <w:szCs w:val="28"/>
        </w:rPr>
        <w:t xml:space="preserve"> Energy Storage System with a Renewable Resource</w:t>
      </w:r>
      <w:r w:rsidR="00C630F3">
        <w:rPr>
          <w:rFonts w:cs="Arial"/>
          <w:color w:val="000000" w:themeColor="text1"/>
          <w:szCs w:val="28"/>
        </w:rPr>
        <w:t xml:space="preserve"> </w:t>
      </w:r>
    </w:p>
    <w:p w:rsidR="00B43F1C" w:rsidP="002D54C4" w:rsidRDefault="00B43F1C" w14:paraId="39093794" w14:textId="349204F7">
      <w:pPr>
        <w:pStyle w:val="zGTitle14"/>
        <w:rPr>
          <w:rFonts w:cs="Arial"/>
          <w:color w:val="000000" w:themeColor="text1"/>
          <w:szCs w:val="28"/>
        </w:rPr>
      </w:pPr>
      <w:r>
        <w:rPr>
          <w:rFonts w:cs="Arial"/>
          <w:color w:val="000000" w:themeColor="text1"/>
          <w:szCs w:val="28"/>
        </w:rPr>
        <w:t xml:space="preserve">for </w:t>
      </w:r>
      <w:r w:rsidRPr="000D54D9" w:rsidR="000D54D9">
        <w:rPr>
          <w:rFonts w:cs="Arial"/>
          <w:color w:val="000000" w:themeColor="text1"/>
          <w:szCs w:val="28"/>
        </w:rPr>
        <w:t>2026 All-Source Capacity Request for Proposals for Need Years 2032</w:t>
      </w:r>
      <w:r w:rsidR="00A11E48">
        <w:rPr>
          <w:rFonts w:cs="Arial"/>
          <w:color w:val="000000" w:themeColor="text1"/>
          <w:szCs w:val="28"/>
        </w:rPr>
        <w:t>-</w:t>
      </w:r>
      <w:r w:rsidRPr="000D54D9" w:rsidR="000D54D9">
        <w:rPr>
          <w:rFonts w:cs="Arial"/>
          <w:color w:val="000000" w:themeColor="text1"/>
          <w:szCs w:val="28"/>
        </w:rPr>
        <w:t>2033</w:t>
      </w:r>
      <w:r w:rsidDel="00031352" w:rsidR="00031352">
        <w:rPr>
          <w:rFonts w:cs="Arial"/>
          <w:color w:val="000000" w:themeColor="text1"/>
          <w:szCs w:val="28"/>
        </w:rPr>
        <w:t xml:space="preserve"> </w:t>
      </w:r>
    </w:p>
    <w:p w:rsidRPr="00261AEB" w:rsidR="002D54C4" w:rsidP="002D54C4" w:rsidRDefault="00C630F3" w14:paraId="077D2B98" w14:textId="50599AEB">
      <w:pPr>
        <w:pStyle w:val="zGTitle14"/>
        <w:rPr>
          <w:color w:val="000000" w:themeColor="text1"/>
        </w:rPr>
      </w:pPr>
      <w:r w:rsidRPr="00261AEB">
        <w:rPr>
          <w:color w:val="000000" w:themeColor="text1"/>
        </w:rPr>
        <w:t xml:space="preserve">at </w:t>
      </w:r>
      <w:r>
        <w:rPr>
          <w:color w:val="000000" w:themeColor="text1"/>
          <w:szCs w:val="28"/>
        </w:rPr>
        <w:t>#</w:t>
      </w:r>
      <w:r>
        <w:rPr>
          <w:color w:val="000000" w:themeColor="text1"/>
          <w:szCs w:val="28"/>
          <w:highlight w:val="yellow"/>
        </w:rPr>
        <w:t>FacilityName</w:t>
      </w:r>
      <w:r>
        <w:rPr>
          <w:color w:val="000000" w:themeColor="text1"/>
          <w:szCs w:val="28"/>
        </w:rPr>
        <w:t>#</w:t>
      </w:r>
    </w:p>
    <w:p w:rsidRPr="002D2A8F" w:rsidR="002D54C4" w:rsidP="002D54C4" w:rsidRDefault="002D54C4" w14:paraId="1BF2BEE8" w14:textId="77777777">
      <w:pPr>
        <w:pStyle w:val="zGTitle14"/>
        <w:rPr>
          <w:rFonts w:cs="Arial"/>
          <w:color w:val="000000" w:themeColor="text1"/>
          <w:szCs w:val="28"/>
        </w:rPr>
      </w:pPr>
      <w:r w:rsidRPr="002D2A8F">
        <w:rPr>
          <w:rFonts w:cs="Arial"/>
          <w:color w:val="000000" w:themeColor="text1"/>
          <w:szCs w:val="28"/>
        </w:rPr>
        <w:t>between Georgia Power Company</w:t>
      </w:r>
    </w:p>
    <w:p w:rsidRPr="002D2A8F" w:rsidR="002D54C4" w:rsidP="002D54C4" w:rsidRDefault="002D54C4" w14:paraId="4A927E5B" w14:textId="77777777">
      <w:pPr>
        <w:pStyle w:val="zGTitle14"/>
        <w:rPr>
          <w:rFonts w:cs="Arial"/>
          <w:color w:val="000000" w:themeColor="text1"/>
          <w:szCs w:val="28"/>
        </w:rPr>
      </w:pPr>
      <w:r w:rsidRPr="002D2A8F">
        <w:rPr>
          <w:rFonts w:cs="Arial"/>
          <w:color w:val="000000" w:themeColor="text1"/>
          <w:szCs w:val="28"/>
        </w:rPr>
        <w:t xml:space="preserve">and </w:t>
      </w:r>
      <w:r w:rsidRPr="004A7713">
        <w:rPr>
          <w:rFonts w:cs="Arial"/>
          <w:color w:val="000000" w:themeColor="text1"/>
          <w:szCs w:val="28"/>
          <w:highlight w:val="yellow"/>
        </w:rPr>
        <w:t>#SellerLegalName#</w:t>
      </w:r>
    </w:p>
    <w:p w:rsidRPr="002D2A8F" w:rsidR="002D54C4" w:rsidP="002D54C4" w:rsidRDefault="002D54C4" w14:paraId="71064C1C" w14:textId="77777777">
      <w:pPr>
        <w:pStyle w:val="zGTitle14"/>
        <w:spacing w:after="0"/>
        <w:rPr>
          <w:rFonts w:cs="Arial"/>
          <w:color w:val="000000" w:themeColor="text1"/>
          <w:sz w:val="20"/>
        </w:rPr>
      </w:pPr>
    </w:p>
    <w:p w:rsidRPr="002D2A8F" w:rsidR="002D54C4" w:rsidP="002D54C4" w:rsidRDefault="002D54C4" w14:paraId="19A2D352" w14:textId="7073B90E">
      <w:pPr>
        <w:pStyle w:val="zGNormal6"/>
        <w:rPr>
          <w:rStyle w:val="eop"/>
          <w:shd w:val="clear" w:color="auto" w:fill="FFFFFF"/>
        </w:rPr>
      </w:pPr>
      <w:r w:rsidRPr="002D2A8F">
        <w:rPr>
          <w:rStyle w:val="normaltextrun"/>
          <w:b/>
          <w:bCs/>
          <w:shd w:val="clear" w:color="auto" w:fill="FFFFFF"/>
        </w:rPr>
        <w:t>Georgia Power Company</w:t>
      </w:r>
      <w:r w:rsidRPr="002D2A8F" w:rsidR="00703429">
        <w:rPr>
          <w:rStyle w:val="normaltextrun"/>
          <w:b/>
          <w:bCs/>
          <w:shd w:val="clear" w:color="auto" w:fill="FFFFFF"/>
        </w:rPr>
        <w:t xml:space="preserve"> </w:t>
      </w:r>
      <w:r w:rsidRPr="002D2A8F" w:rsidR="00703429">
        <w:rPr>
          <w:rStyle w:val="normaltextrun"/>
          <w:shd w:val="clear" w:color="auto" w:fill="FFFFFF"/>
        </w:rPr>
        <w:t>(“</w:t>
      </w:r>
      <w:r w:rsidRPr="002D2A8F" w:rsidR="00703429">
        <w:rPr>
          <w:rStyle w:val="normaltextrun"/>
          <w:b/>
          <w:bCs/>
          <w:shd w:val="clear" w:color="auto" w:fill="FFFFFF"/>
        </w:rPr>
        <w:t>GPC</w:t>
      </w:r>
      <w:r w:rsidRPr="002D2A8F" w:rsidR="00703429">
        <w:rPr>
          <w:rStyle w:val="normaltextrun"/>
          <w:shd w:val="clear" w:color="auto" w:fill="FFFFFF"/>
        </w:rPr>
        <w:t>”)</w:t>
      </w:r>
      <w:r w:rsidRPr="002D2A8F">
        <w:rPr>
          <w:rStyle w:val="normaltextrun"/>
          <w:shd w:val="clear" w:color="auto" w:fill="FFFFFF"/>
        </w:rPr>
        <w:t xml:space="preserve">, a Georgia corporation, and </w:t>
      </w:r>
      <w:r w:rsidRPr="004A7713">
        <w:rPr>
          <w:rStyle w:val="normaltextrun"/>
          <w:b/>
          <w:bCs/>
          <w:highlight w:val="yellow"/>
          <w:shd w:val="clear" w:color="auto" w:fill="FFFF00"/>
        </w:rPr>
        <w:t>#SellerLegalName#</w:t>
      </w:r>
      <w:r w:rsidRPr="004A7713" w:rsidR="0099031C">
        <w:rPr>
          <w:rStyle w:val="normaltextrun"/>
          <w:b/>
          <w:bCs/>
        </w:rPr>
        <w:t xml:space="preserve"> </w:t>
      </w:r>
      <w:r w:rsidRPr="004A7713" w:rsidR="0099031C">
        <w:rPr>
          <w:rStyle w:val="normaltextrun"/>
        </w:rPr>
        <w:t>(“</w:t>
      </w:r>
      <w:r w:rsidRPr="004A7713" w:rsidR="0099031C">
        <w:rPr>
          <w:rStyle w:val="normaltextrun"/>
          <w:b/>
          <w:bCs/>
        </w:rPr>
        <w:t>Seller</w:t>
      </w:r>
      <w:r w:rsidRPr="004A7713" w:rsidR="0099031C">
        <w:rPr>
          <w:rStyle w:val="normaltextrun"/>
        </w:rPr>
        <w:t>”)</w:t>
      </w:r>
      <w:r w:rsidRPr="002D2A8F">
        <w:rPr>
          <w:rStyle w:val="normaltextrun"/>
          <w:shd w:val="clear" w:color="auto" w:fill="FFFFFF"/>
        </w:rPr>
        <w:t xml:space="preserve"> enter into this </w:t>
      </w:r>
      <w:r w:rsidRPr="002D2A8F">
        <w:rPr>
          <w:rStyle w:val="normaltextrun"/>
          <w:b/>
          <w:shd w:val="clear" w:color="auto" w:fill="FFFFFF"/>
        </w:rPr>
        <w:t>Power Purchase Agreement for Firm Capacity</w:t>
      </w:r>
      <w:r w:rsidRPr="002D2A8F">
        <w:rPr>
          <w:rStyle w:val="normaltextrun"/>
          <w:b/>
          <w:bCs/>
          <w:shd w:val="clear" w:color="auto" w:fill="FFFFFF"/>
        </w:rPr>
        <w:t>, Associated Energy, and Ancillary Services from a</w:t>
      </w:r>
      <w:r w:rsidR="004B20B7">
        <w:rPr>
          <w:rStyle w:val="normaltextrun"/>
          <w:b/>
          <w:bCs/>
          <w:shd w:val="clear" w:color="auto" w:fill="FFFFFF"/>
        </w:rPr>
        <w:t xml:space="preserve"> Battery</w:t>
      </w:r>
      <w:r w:rsidRPr="002D2A8F">
        <w:rPr>
          <w:rStyle w:val="normaltextrun"/>
          <w:b/>
          <w:bCs/>
          <w:shd w:val="clear" w:color="auto" w:fill="FFFFFF"/>
        </w:rPr>
        <w:t xml:space="preserve"> Energy Storage System with a Renewable Resource </w:t>
      </w:r>
      <w:r w:rsidR="00B93D26">
        <w:rPr>
          <w:rStyle w:val="normaltextrun"/>
          <w:b/>
          <w:bCs/>
          <w:shd w:val="clear" w:color="auto" w:fill="FFFFFF"/>
        </w:rPr>
        <w:t xml:space="preserve">for </w:t>
      </w:r>
      <w:r w:rsidRPr="0017290A" w:rsidR="0017290A">
        <w:rPr>
          <w:b/>
          <w:bCs/>
          <w:shd w:val="clear" w:color="auto" w:fill="FFFFFF"/>
        </w:rPr>
        <w:t>2026 All-Source Capacity Request for Proposals for Need Years 2032</w:t>
      </w:r>
      <w:r w:rsidR="00A11E48">
        <w:rPr>
          <w:b/>
          <w:bCs/>
          <w:shd w:val="clear" w:color="auto" w:fill="FFFFFF"/>
        </w:rPr>
        <w:t>-</w:t>
      </w:r>
      <w:r w:rsidRPr="0017290A" w:rsidR="0017290A">
        <w:rPr>
          <w:b/>
          <w:bCs/>
          <w:shd w:val="clear" w:color="auto" w:fill="FFFFFF"/>
        </w:rPr>
        <w:t>2033</w:t>
      </w:r>
      <w:r w:rsidR="002905DD">
        <w:rPr>
          <w:rStyle w:val="normaltextrun"/>
          <w:b/>
          <w:bCs/>
          <w:shd w:val="clear" w:color="auto" w:fill="FFFFFF"/>
        </w:rPr>
        <w:t xml:space="preserve"> </w:t>
      </w:r>
      <w:r w:rsidR="00C630F3">
        <w:rPr>
          <w:rStyle w:val="normaltextrun"/>
          <w:b/>
          <w:bCs/>
          <w:shd w:val="clear" w:color="auto" w:fill="FFFFFF"/>
        </w:rPr>
        <w:t>at #</w:t>
      </w:r>
      <w:r w:rsidR="00C630F3">
        <w:rPr>
          <w:rStyle w:val="normaltextrun"/>
          <w:b/>
          <w:bCs/>
          <w:highlight w:val="yellow"/>
          <w:shd w:val="clear" w:color="auto" w:fill="FFFFFF"/>
        </w:rPr>
        <w:t>FacilityName</w:t>
      </w:r>
      <w:r w:rsidR="00C630F3">
        <w:rPr>
          <w:rStyle w:val="normaltextrun"/>
          <w:b/>
          <w:bCs/>
          <w:shd w:val="clear" w:color="auto" w:fill="FFFFFF"/>
        </w:rPr>
        <w:t xml:space="preserve"># </w:t>
      </w:r>
      <w:r w:rsidRPr="002D2A8F">
        <w:rPr>
          <w:rStyle w:val="normaltextrun"/>
          <w:shd w:val="clear" w:color="auto" w:fill="FFFFFF"/>
        </w:rPr>
        <w:t>as of the Effective Date. GPC and Seller acknowledge:</w:t>
      </w:r>
      <w:r w:rsidRPr="002D2A8F">
        <w:rPr>
          <w:rStyle w:val="eop"/>
          <w:shd w:val="clear" w:color="auto" w:fill="FFFFFF"/>
        </w:rPr>
        <w:t> </w:t>
      </w:r>
    </w:p>
    <w:p w:rsidRPr="002D2A8F" w:rsidR="002D54C4" w:rsidP="00C1276B" w:rsidRDefault="002D54C4" w14:paraId="1691C217" w14:textId="4FB1BE9A">
      <w:pPr>
        <w:pStyle w:val="zGNormal6"/>
        <w:numPr>
          <w:ilvl w:val="0"/>
          <w:numId w:val="2"/>
        </w:numPr>
      </w:pPr>
      <w:r w:rsidRPr="002D2A8F">
        <w:rPr>
          <w:rStyle w:val="normaltextrun"/>
        </w:rPr>
        <w:t>Seller desires to sell, and GPC desires to purchase, capacity and associated energy and Ancillary Services from the Facility consistent with the Commission’s Orders in Docket No</w:t>
      </w:r>
      <w:r w:rsidR="004878A6">
        <w:rPr>
          <w:rStyle w:val="normaltextrun"/>
        </w:rPr>
        <w:t>s</w:t>
      </w:r>
      <w:r w:rsidRPr="002D2A8F">
        <w:rPr>
          <w:rStyle w:val="normaltextrun"/>
        </w:rPr>
        <w:t xml:space="preserve">. </w:t>
      </w:r>
      <w:r w:rsidR="008A5E50">
        <w:rPr>
          <w:rStyle w:val="normaltextrun"/>
        </w:rPr>
        <w:t>56002</w:t>
      </w:r>
      <w:r w:rsidR="003B3EA4">
        <w:rPr>
          <w:rStyle w:val="normaltextrun"/>
        </w:rPr>
        <w:t xml:space="preserve"> and </w:t>
      </w:r>
      <w:r w:rsidR="001F7551">
        <w:rPr>
          <w:rStyle w:val="normaltextrun"/>
        </w:rPr>
        <w:t>56368</w:t>
      </w:r>
      <w:r w:rsidRPr="002D2A8F">
        <w:rPr>
          <w:rStyle w:val="normaltextrun"/>
        </w:rPr>
        <w:t>;</w:t>
      </w:r>
      <w:r w:rsidRPr="002D2A8F">
        <w:rPr>
          <w:rStyle w:val="eop"/>
        </w:rPr>
        <w:t> and</w:t>
      </w:r>
    </w:p>
    <w:p w:rsidRPr="002D2A8F" w:rsidR="002D54C4" w:rsidP="00C1276B" w:rsidRDefault="002D54C4" w14:paraId="70CFA2E7" w14:textId="57A885BA">
      <w:pPr>
        <w:pStyle w:val="zGNormal6"/>
        <w:numPr>
          <w:ilvl w:val="0"/>
          <w:numId w:val="2"/>
        </w:numPr>
      </w:pPr>
      <w:r w:rsidRPr="002D2A8F">
        <w:rPr>
          <w:rStyle w:val="normaltextrun"/>
        </w:rPr>
        <w:t>The Parties desire to set forth the terms and conditions upon which the sale and purchase of capacity and associated energy and Ancillary Services may be conducted between the Parties</w:t>
      </w:r>
      <w:r w:rsidRPr="002D2A8F" w:rsidR="00642B3E">
        <w:rPr>
          <w:rStyle w:val="normaltextrun"/>
        </w:rPr>
        <w:t xml:space="preserve">. </w:t>
      </w:r>
    </w:p>
    <w:p w:rsidRPr="002D2A8F" w:rsidR="002D54C4" w:rsidP="002D54C4" w:rsidRDefault="002D54C4" w14:paraId="68A95ABF" w14:textId="77777777">
      <w:pPr>
        <w:pStyle w:val="zGNormal6"/>
      </w:pPr>
      <w:r w:rsidRPr="002D2A8F">
        <w:rPr>
          <w:rStyle w:val="normaltextrun"/>
        </w:rPr>
        <w:t>In consideration of the mutual promises described in this PPA, and other good and valuable consideration, the receipt, adequacy, and sufficiency of which each Party acknowledges, and intending to be legally bound, the Parties agree: </w:t>
      </w:r>
      <w:r w:rsidRPr="002D2A8F">
        <w:rPr>
          <w:rStyle w:val="eop"/>
        </w:rPr>
        <w:t> </w:t>
      </w:r>
    </w:p>
    <w:p w:rsidRPr="00ED0943" w:rsidR="002D54C4" w:rsidP="00D94D93" w:rsidRDefault="002D54C4" w14:paraId="440B41B4" w14:textId="77777777">
      <w:pPr>
        <w:pStyle w:val="zGTC01"/>
        <w:numPr>
          <w:ilvl w:val="0"/>
          <w:numId w:val="18"/>
        </w:numPr>
        <w:rPr>
          <w:rFonts w:ascii="Arial" w:hAnsi="Arial"/>
        </w:rPr>
      </w:pPr>
      <w:bookmarkStart w:name="_Toc169778578" w:id="37"/>
      <w:bookmarkStart w:name="_Toc227451343" w:id="38"/>
      <w:r w:rsidRPr="00ED0943">
        <w:rPr>
          <w:rFonts w:ascii="Arial" w:hAnsi="Arial"/>
        </w:rPr>
        <w:t>Term of Agreement</w:t>
      </w:r>
      <w:bookmarkEnd w:id="37"/>
      <w:bookmarkEnd w:id="38"/>
    </w:p>
    <w:p w:rsidRPr="002D2A8F" w:rsidR="002D54C4" w:rsidP="002D54C4" w:rsidRDefault="002D54C4" w14:paraId="7EE47AF1" w14:textId="77777777">
      <w:pPr>
        <w:pStyle w:val="zGTC02"/>
        <w:rPr>
          <w:rFonts w:ascii="Arial" w:hAnsi="Arial" w:cs="Arial"/>
          <w:vanish/>
          <w:specVanish/>
        </w:rPr>
      </w:pPr>
      <w:bookmarkStart w:name="_Toc169778579" w:id="39"/>
      <w:bookmarkStart w:name="_Toc227451344" w:id="40"/>
      <w:r w:rsidRPr="002D2A8F">
        <w:rPr>
          <w:rFonts w:ascii="Arial" w:hAnsi="Arial" w:cs="Arial"/>
        </w:rPr>
        <w:t>Term.</w:t>
      </w:r>
      <w:bookmarkStart w:name="_Toc158593177" w:id="41"/>
      <w:bookmarkStart w:name="_Toc158597456" w:id="42"/>
      <w:bookmarkStart w:name="_Toc158720080" w:id="43"/>
      <w:bookmarkStart w:name="_Toc158722834" w:id="44"/>
      <w:bookmarkStart w:name="_Toc158929365" w:id="45"/>
      <w:bookmarkEnd w:id="39"/>
      <w:bookmarkEnd w:id="40"/>
      <w:bookmarkEnd w:id="41"/>
      <w:bookmarkEnd w:id="42"/>
      <w:bookmarkEnd w:id="43"/>
      <w:bookmarkEnd w:id="44"/>
      <w:bookmarkEnd w:id="45"/>
    </w:p>
    <w:p w:rsidRPr="002D2A8F" w:rsidR="002D54C4" w:rsidP="002D54C4" w:rsidRDefault="002D54C4" w14:paraId="1E4D669D" w14:textId="5B44B342">
      <w:pPr>
        <w:pStyle w:val="zGNormal"/>
      </w:pPr>
      <w:r w:rsidRPr="002D2A8F">
        <w:t xml:space="preserve"> Subject to applicable law and any earlier termination </w:t>
      </w:r>
      <w:r w:rsidR="00285536">
        <w:t>as permitted in this PPA</w:t>
      </w:r>
      <w:r w:rsidRPr="002D2A8F">
        <w:t xml:space="preserve">, this PPA becomes effective on the Effective Date and continues for </w:t>
      </w:r>
      <w:bookmarkStart w:name="_Hlk19710508" w:id="46"/>
      <w:r w:rsidR="00577E31">
        <w:t xml:space="preserve">the </w:t>
      </w:r>
      <w:r w:rsidRPr="00577E31" w:rsidR="00DE5F87">
        <w:t>Term</w:t>
      </w:r>
      <w:r w:rsidRPr="002D2A8F">
        <w:t xml:space="preserve">. </w:t>
      </w:r>
      <w:bookmarkEnd w:id="46"/>
    </w:p>
    <w:p w:rsidRPr="002D2A8F" w:rsidR="002D54C4" w:rsidP="002D54C4" w:rsidRDefault="002D54C4" w14:paraId="1A6660A4" w14:textId="77777777">
      <w:pPr>
        <w:pStyle w:val="zGTC02"/>
        <w:rPr>
          <w:rFonts w:ascii="Arial" w:hAnsi="Arial" w:cs="Arial"/>
          <w:vanish/>
          <w:specVanish/>
        </w:rPr>
      </w:pPr>
      <w:bookmarkStart w:name="_Toc169778580" w:id="47"/>
      <w:bookmarkStart w:name="_Toc227451345" w:id="48"/>
      <w:r w:rsidRPr="002D2A8F">
        <w:rPr>
          <w:rFonts w:ascii="Arial" w:hAnsi="Arial" w:cs="Arial"/>
        </w:rPr>
        <w:t>Survival.</w:t>
      </w:r>
      <w:bookmarkStart w:name="_Toc158593178" w:id="49"/>
      <w:bookmarkStart w:name="_Toc158597457" w:id="50"/>
      <w:bookmarkStart w:name="_Toc158720081" w:id="51"/>
      <w:bookmarkStart w:name="_Toc158722835" w:id="52"/>
      <w:bookmarkStart w:name="_Toc158929366" w:id="53"/>
      <w:bookmarkEnd w:id="47"/>
      <w:bookmarkEnd w:id="48"/>
      <w:bookmarkEnd w:id="49"/>
      <w:bookmarkEnd w:id="50"/>
      <w:bookmarkEnd w:id="51"/>
      <w:bookmarkEnd w:id="52"/>
      <w:bookmarkEnd w:id="53"/>
    </w:p>
    <w:p w:rsidRPr="002D2A8F" w:rsidR="002D54C4" w:rsidP="002D54C4" w:rsidRDefault="002D54C4" w14:paraId="6496319E" w14:textId="03DA963D">
      <w:pPr>
        <w:pStyle w:val="zGNormal"/>
      </w:pPr>
      <w:r w:rsidRPr="002D2A8F">
        <w:t xml:space="preserve"> PPA provisions that </w:t>
      </w:r>
      <w:r w:rsidRPr="002D2A8F">
        <w:rPr>
          <w:rFonts w:eastAsia="Times New Roman"/>
        </w:rPr>
        <w:t xml:space="preserve">by their nature or context should apply beyond PPA expiration, suspension, cancelation, completion, or termination, </w:t>
      </w:r>
      <w:r w:rsidRPr="002D2A8F">
        <w:t>or after transfer, assignment, novation, merger, or other entity change,</w:t>
      </w:r>
      <w:r w:rsidRPr="002D2A8F">
        <w:rPr>
          <w:rFonts w:eastAsia="Times New Roman"/>
        </w:rPr>
        <w:t xml:space="preserve"> will survive per applicable law or PPA terms, including all provisions of this PPA that must survive </w:t>
      </w:r>
      <w:r w:rsidRPr="002D2A8F" w:rsidR="00037632">
        <w:rPr>
          <w:rFonts w:eastAsia="Times New Roman"/>
        </w:rPr>
        <w:t>to</w:t>
      </w:r>
      <w:r w:rsidRPr="002D2A8F">
        <w:rPr>
          <w:rFonts w:eastAsia="Times New Roman"/>
        </w:rPr>
        <w:t xml:space="preserve"> give effect to the rights and obligations of the Parties. Expiration</w:t>
      </w:r>
      <w:r w:rsidRPr="002D2A8F">
        <w:t xml:space="preserve"> or termination of this PPA will</w:t>
      </w:r>
      <w:r w:rsidRPr="002D2A8F">
        <w:rPr>
          <w:rFonts w:eastAsia="Times New Roman"/>
        </w:rPr>
        <w:t xml:space="preserve"> not relieve either Party of its liabilities or obligations that accrue before or at termination, and those liabilities and obligations will survive PPA termination</w:t>
      </w:r>
      <w:r w:rsidRPr="002D2A8F">
        <w:t>.</w:t>
      </w:r>
    </w:p>
    <w:p w:rsidRPr="002D2A8F" w:rsidR="002D54C4" w:rsidP="00D4683F" w:rsidRDefault="002D54C4" w14:paraId="70FA6385" w14:textId="77777777">
      <w:pPr>
        <w:pStyle w:val="zGTC02"/>
        <w:spacing w:after="120"/>
        <w:rPr>
          <w:rFonts w:ascii="Arial" w:hAnsi="Arial" w:cs="Arial"/>
          <w:vanish/>
          <w:specVanish/>
        </w:rPr>
      </w:pPr>
      <w:bookmarkStart w:name="_Toc169778581" w:id="54"/>
      <w:bookmarkStart w:name="_Toc227451346" w:id="55"/>
      <w:r w:rsidRPr="002D2A8F">
        <w:rPr>
          <w:rFonts w:ascii="Arial" w:hAnsi="Arial" w:cs="Arial"/>
        </w:rPr>
        <w:t>Conditions Subsequent.</w:t>
      </w:r>
      <w:bookmarkStart w:name="_Toc158593179" w:id="56"/>
      <w:bookmarkStart w:name="_Toc158597458" w:id="57"/>
      <w:bookmarkStart w:name="_Toc158720082" w:id="58"/>
      <w:bookmarkStart w:name="_Toc158722836" w:id="59"/>
      <w:bookmarkStart w:name="_Toc158929367" w:id="60"/>
      <w:bookmarkEnd w:id="54"/>
      <w:bookmarkEnd w:id="55"/>
      <w:bookmarkEnd w:id="56"/>
      <w:bookmarkEnd w:id="57"/>
      <w:bookmarkEnd w:id="58"/>
      <w:bookmarkEnd w:id="59"/>
      <w:bookmarkEnd w:id="60"/>
    </w:p>
    <w:p w:rsidRPr="002D2A8F" w:rsidR="002D54C4" w:rsidP="00D4683F" w:rsidRDefault="002D54C4" w14:paraId="50C8DF73" w14:textId="4E6E72CE">
      <w:pPr>
        <w:pStyle w:val="zGNormal"/>
        <w:spacing w:before="120" w:after="120"/>
        <w:rPr>
          <w:b/>
          <w:caps/>
        </w:rPr>
      </w:pPr>
      <w:r w:rsidRPr="002D2A8F">
        <w:t xml:space="preserve"> </w:t>
      </w:r>
      <w:r w:rsidR="00710786">
        <w:t>This PPA is subject to termination for failure of any of the following conditions:</w:t>
      </w:r>
    </w:p>
    <w:p w:rsidRPr="007115BD" w:rsidR="002D54C4" w:rsidP="00D4683F" w:rsidRDefault="002D54C4" w14:paraId="45311B9D" w14:textId="51B4E38F">
      <w:pPr>
        <w:pStyle w:val="zGTC03"/>
        <w:spacing w:after="120"/>
        <w:ind w:left="1080"/>
        <w:rPr>
          <w:vanish/>
          <w:specVanish/>
        </w:rPr>
      </w:pPr>
      <w:r w:rsidRPr="008D1B24">
        <w:rPr>
          <w:b/>
          <w:bCs/>
        </w:rPr>
        <w:t xml:space="preserve">FERC </w:t>
      </w:r>
      <w:r w:rsidRPr="008D1B24" w:rsidR="00BD771F">
        <w:rPr>
          <w:b/>
          <w:bCs/>
        </w:rPr>
        <w:t>Delay or Rejection</w:t>
      </w:r>
      <w:r w:rsidRPr="007115BD">
        <w:t>.</w:t>
      </w:r>
    </w:p>
    <w:p w:rsidRPr="002D2A8F" w:rsidR="002D54C4" w:rsidP="002D54C4" w:rsidRDefault="002D54C4" w14:paraId="07FD31E7" w14:textId="759DD466">
      <w:pPr>
        <w:pStyle w:val="zGNormal6"/>
      </w:pPr>
      <w:r w:rsidRPr="002D2A8F">
        <w:rPr>
          <w:b/>
        </w:rPr>
        <w:t xml:space="preserve"> </w:t>
      </w:r>
      <w:r w:rsidRPr="002D2A8F">
        <w:t xml:space="preserve">If FERC acceptance of this PPA is required by applicable law, and if: (a) FERC issues a valid order rejecting this PPA; or (b) FERC </w:t>
      </w:r>
      <w:r w:rsidRPr="002D2A8F" w:rsidR="008123FC">
        <w:t>fails to take action</w:t>
      </w:r>
      <w:r w:rsidRPr="002D2A8F" w:rsidR="00BE52CD">
        <w:t xml:space="preserve"> or </w:t>
      </w:r>
      <w:r w:rsidRPr="002D2A8F">
        <w:t>takes action that</w:t>
      </w:r>
      <w:r w:rsidR="00B94546">
        <w:t>, in either case,</w:t>
      </w:r>
      <w:r w:rsidRPr="002D2A8F">
        <w:t xml:space="preserve"> has the effect of delaying the date when FERC will issue an order accepting this PPA to a date beyond 285 Days after the Commission Certificate, then in the case of (a) or (b) the Parties will meet no later than 10 Business Days </w:t>
      </w:r>
      <w:r w:rsidR="00F632BE">
        <w:t>after</w:t>
      </w:r>
      <w:r w:rsidRPr="002D2A8F" w:rsidR="00F632BE">
        <w:t xml:space="preserve"> </w:t>
      </w:r>
      <w:r w:rsidRPr="002D2A8F">
        <w:t xml:space="preserve">the date of the order or </w:t>
      </w:r>
      <w:r w:rsidRPr="002D2A8F" w:rsidR="00585F73">
        <w:t xml:space="preserve"> the date that is </w:t>
      </w:r>
      <w:r w:rsidRPr="002D2A8F" w:rsidR="002F5B25">
        <w:t xml:space="preserve">285 Days after </w:t>
      </w:r>
      <w:r w:rsidR="0066426C">
        <w:t xml:space="preserve">the </w:t>
      </w:r>
      <w:r w:rsidRPr="002D2A8F" w:rsidR="002F5B25">
        <w:t>Commission Certificate, as applicable</w:t>
      </w:r>
      <w:r w:rsidRPr="002D2A8F" w:rsidR="00BB7192">
        <w:t>,</w:t>
      </w:r>
      <w:r w:rsidRPr="002D2A8F" w:rsidR="002F5B25">
        <w:t xml:space="preserve"> to</w:t>
      </w:r>
      <w:r w:rsidRPr="002D2A8F">
        <w:t xml:space="preserve"> negotiate amendments to this PPA, an extension of time for FERC to accept this PPA beyond 285 Days from the granting of a Commission Certificate, or other appropriate measure, so that this PPA</w:t>
      </w:r>
      <w:r w:rsidR="00B94546">
        <w:t>, as amended or taking into account the appropriate measure,</w:t>
      </w:r>
      <w:r w:rsidRPr="002D2A8F">
        <w:t xml:space="preserve"> is legal and fully enforceable </w:t>
      </w:r>
      <w:r w:rsidRPr="002D2A8F">
        <w:lastRenderedPageBreak/>
        <w:t xml:space="preserve">without materially increasing the risks for either Party or adversely affecting the value of the economic bargain to either Party contemplated by this PPA in its original form. </w:t>
      </w:r>
    </w:p>
    <w:p w:rsidRPr="002D2A8F" w:rsidR="00BD3DB8" w:rsidP="00D4683F" w:rsidRDefault="002D54C4" w14:paraId="07B1A58A" w14:textId="15C3604D">
      <w:pPr>
        <w:pStyle w:val="zGTC04"/>
        <w:spacing w:after="120"/>
        <w:rPr>
          <w:rFonts w:cs="Arial"/>
        </w:rPr>
      </w:pPr>
      <w:r w:rsidRPr="002D2A8F">
        <w:rPr>
          <w:rFonts w:cs="Arial"/>
        </w:rPr>
        <w:t xml:space="preserve">If the Parties are unable to negotiate any acceptable amendment, or other appropriate measure, then either Party may terminate this PPA upon notice to the other Party, so long as such notice is delivered to the non-terminating Party no later than 30 Days after 285 Days from the granting of a Commission Certificate. In no event will this termination right be available to the Parties, and a Party will be deemed to have waived its termination right, absent receipt of notice by the non-terminating Party before the expiration of the 30-Day period. </w:t>
      </w:r>
      <w:r w:rsidR="00223217">
        <w:rPr>
          <w:rFonts w:cs="Arial"/>
        </w:rPr>
        <w:t>Upon termination in accordance with this Section 1.3.1, neither Party will have any liability to the other Party under this PPA, and GPC will return to Seller the Eligible Collateral then held by GPC.</w:t>
      </w:r>
    </w:p>
    <w:p w:rsidRPr="002D2A8F" w:rsidR="00CB1C3E" w:rsidP="00CB1C3E" w:rsidRDefault="00CB1C3E" w14:paraId="08F45D60" w14:textId="6A1BE32D">
      <w:pPr>
        <w:pStyle w:val="zGTC03"/>
        <w:rPr>
          <w:rFonts w:cs="Arial"/>
          <w:b/>
          <w:vanish/>
          <w:specVanish/>
        </w:rPr>
      </w:pPr>
      <w:r w:rsidRPr="002D2A8F">
        <w:rPr>
          <w:rFonts w:cs="Arial"/>
          <w:b/>
        </w:rPr>
        <w:t>FERC Acceptance with Modification.</w:t>
      </w:r>
    </w:p>
    <w:p w:rsidRPr="002D2A8F" w:rsidR="002D54C4" w:rsidP="00CB1C3E" w:rsidRDefault="00CB1C3E" w14:paraId="1770128F" w14:textId="0165C943">
      <w:pPr>
        <w:pStyle w:val="zGNormal6"/>
      </w:pPr>
      <w:r w:rsidRPr="002D2A8F">
        <w:t xml:space="preserve"> </w:t>
      </w:r>
      <w:r w:rsidRPr="002D2A8F" w:rsidR="002D54C4">
        <w:t xml:space="preserve">Despite the preceding </w:t>
      </w:r>
      <w:r w:rsidR="0006252D">
        <w:t>provisions</w:t>
      </w:r>
      <w:r w:rsidRPr="002D2A8F" w:rsidR="002D54C4">
        <w:t xml:space="preserve">, if, before 285 Days </w:t>
      </w:r>
      <w:r w:rsidR="0006252D">
        <w:t>after</w:t>
      </w:r>
      <w:r w:rsidRPr="002D2A8F" w:rsidR="002D54C4">
        <w:t xml:space="preserve"> the granting of a Commission Certificate, FERC issues a valid order accepting this PPA subject to material modification or condition</w:t>
      </w:r>
      <w:r w:rsidR="004A570D">
        <w:t>(</w:t>
      </w:r>
      <w:r w:rsidRPr="002D2A8F" w:rsidR="002D54C4">
        <w:t>s</w:t>
      </w:r>
      <w:r w:rsidR="004A570D">
        <w:t>)</w:t>
      </w:r>
      <w:r w:rsidRPr="002D2A8F" w:rsidR="002D54C4">
        <w:t xml:space="preserve">, including acceptance subject to refund following an administrative proceeding, then the adversely affected Party or Parties </w:t>
      </w:r>
      <w:r w:rsidR="00EE75DE">
        <w:t xml:space="preserve">(as applicable) </w:t>
      </w:r>
      <w:r w:rsidRPr="002D2A8F" w:rsidR="002D54C4">
        <w:t>will have the right to terminate this PPA if the material modification or condition</w:t>
      </w:r>
      <w:r w:rsidR="00E05870">
        <w:t>(</w:t>
      </w:r>
      <w:r w:rsidRPr="002D2A8F" w:rsidR="002D54C4">
        <w:t>s</w:t>
      </w:r>
      <w:r w:rsidR="00E05870">
        <w:t>)</w:t>
      </w:r>
      <w:r w:rsidRPr="002D2A8F" w:rsidR="002D54C4">
        <w:t xml:space="preserve"> are not acceptable. By no later than 15 Days </w:t>
      </w:r>
      <w:r w:rsidR="00D77917">
        <w:t>after</w:t>
      </w:r>
      <w:r w:rsidRPr="002D2A8F" w:rsidR="00D77917">
        <w:t xml:space="preserve"> </w:t>
      </w:r>
      <w:r w:rsidRPr="002D2A8F" w:rsidR="002D54C4">
        <w:t>the issuance date of a FERC order, Seller must provide GPC</w:t>
      </w:r>
      <w:r w:rsidRPr="002D2A8F" w:rsidDel="005A2092" w:rsidR="002D54C4">
        <w:t xml:space="preserve"> </w:t>
      </w:r>
      <w:r w:rsidRPr="002D2A8F" w:rsidR="002D54C4">
        <w:t>with a copy of the FERC order along with notice of whether the FERC order is subject to material modification or condition</w:t>
      </w:r>
      <w:r w:rsidR="0060072E">
        <w:t>(</w:t>
      </w:r>
      <w:r w:rsidRPr="002D2A8F" w:rsidR="002D54C4">
        <w:t>s</w:t>
      </w:r>
      <w:r w:rsidR="0060072E">
        <w:t>)</w:t>
      </w:r>
      <w:r w:rsidRPr="002D2A8F" w:rsidR="002D54C4">
        <w:t xml:space="preserve"> that adversely affect Seller and, if so, whether the material modification or condition</w:t>
      </w:r>
      <w:r w:rsidR="0060072E">
        <w:t>(</w:t>
      </w:r>
      <w:r w:rsidRPr="002D2A8F" w:rsidR="002D54C4">
        <w:t>s</w:t>
      </w:r>
      <w:r w:rsidR="0060072E">
        <w:t>)</w:t>
      </w:r>
      <w:r w:rsidRPr="002D2A8F" w:rsidR="002D54C4">
        <w:t xml:space="preserve"> are acceptable to Seller. If Seller fails to provide the notice before the</w:t>
      </w:r>
      <w:r w:rsidRPr="002D2A8F" w:rsidR="002D54C4">
        <w:rPr>
          <w:vertAlign w:val="superscript"/>
        </w:rPr>
        <w:t xml:space="preserve"> </w:t>
      </w:r>
      <w:r w:rsidRPr="002D2A8F" w:rsidR="002D54C4">
        <w:t>15</w:t>
      </w:r>
      <w:r w:rsidR="00071236">
        <w:t>th</w:t>
      </w:r>
      <w:r w:rsidRPr="002D2A8F" w:rsidDel="002442EB" w:rsidR="002D54C4">
        <w:t xml:space="preserve"> </w:t>
      </w:r>
      <w:r w:rsidRPr="002D2A8F" w:rsidR="002D54C4">
        <w:t>Day, then Seller will be deemed to have accepted any FERC order accepting this PPA subject to material modification or condition</w:t>
      </w:r>
      <w:r w:rsidR="00F6106F">
        <w:t>(</w:t>
      </w:r>
      <w:r w:rsidRPr="002D2A8F" w:rsidR="002D54C4">
        <w:t>s</w:t>
      </w:r>
      <w:r w:rsidR="00F6106F">
        <w:t>)</w:t>
      </w:r>
      <w:r w:rsidRPr="002D2A8F" w:rsidR="002D54C4">
        <w:t xml:space="preserve">. </w:t>
      </w:r>
    </w:p>
    <w:p w:rsidRPr="002D2A8F" w:rsidR="002D54C4" w:rsidP="00C1276B" w:rsidRDefault="002D54C4" w14:paraId="4184AECC" w14:textId="38E6C404">
      <w:pPr>
        <w:pStyle w:val="zGTC04"/>
        <w:numPr>
          <w:ilvl w:val="3"/>
          <w:numId w:val="8"/>
        </w:numPr>
        <w:tabs>
          <w:tab w:val="num" w:pos="360"/>
        </w:tabs>
        <w:rPr>
          <w:rFonts w:cs="Arial"/>
        </w:rPr>
      </w:pPr>
      <w:r w:rsidRPr="002D2A8F">
        <w:rPr>
          <w:rFonts w:cs="Arial"/>
        </w:rPr>
        <w:t xml:space="preserve">By no later than 15 Days </w:t>
      </w:r>
      <w:r w:rsidR="0061333B">
        <w:rPr>
          <w:rFonts w:cs="Arial"/>
        </w:rPr>
        <w:t>after</w:t>
      </w:r>
      <w:r w:rsidRPr="002D2A8F" w:rsidR="0061333B">
        <w:rPr>
          <w:rFonts w:cs="Arial"/>
        </w:rPr>
        <w:t xml:space="preserve"> </w:t>
      </w:r>
      <w:r w:rsidRPr="002D2A8F">
        <w:rPr>
          <w:rFonts w:cs="Arial"/>
        </w:rPr>
        <w:t>the receipt date of a copy of the FERC order from Seller, GPC</w:t>
      </w:r>
      <w:r w:rsidRPr="002D2A8F" w:rsidDel="00177A61">
        <w:rPr>
          <w:rFonts w:cs="Arial"/>
        </w:rPr>
        <w:t xml:space="preserve"> </w:t>
      </w:r>
      <w:r w:rsidRPr="002D2A8F">
        <w:rPr>
          <w:rFonts w:cs="Arial"/>
        </w:rPr>
        <w:t>will provide Seller with notice of whether the FERC order is subject to material modification or condition</w:t>
      </w:r>
      <w:r w:rsidR="00D34622">
        <w:rPr>
          <w:rFonts w:cs="Arial"/>
        </w:rPr>
        <w:t>(</w:t>
      </w:r>
      <w:r w:rsidRPr="002D2A8F">
        <w:rPr>
          <w:rFonts w:cs="Arial"/>
        </w:rPr>
        <w:t>s</w:t>
      </w:r>
      <w:r w:rsidR="00D34622">
        <w:rPr>
          <w:rFonts w:cs="Arial"/>
        </w:rPr>
        <w:t>)</w:t>
      </w:r>
      <w:r w:rsidRPr="002D2A8F">
        <w:rPr>
          <w:rFonts w:cs="Arial"/>
        </w:rPr>
        <w:t xml:space="preserve"> that adversely affect GPC</w:t>
      </w:r>
      <w:r w:rsidRPr="002D2A8F" w:rsidDel="00177A61">
        <w:rPr>
          <w:rFonts w:cs="Arial"/>
        </w:rPr>
        <w:t xml:space="preserve"> </w:t>
      </w:r>
      <w:r w:rsidRPr="002D2A8F">
        <w:rPr>
          <w:rFonts w:cs="Arial"/>
        </w:rPr>
        <w:t>and, if so, whether such material modification or condition</w:t>
      </w:r>
      <w:r w:rsidR="00D34622">
        <w:rPr>
          <w:rFonts w:cs="Arial"/>
        </w:rPr>
        <w:t>(</w:t>
      </w:r>
      <w:r w:rsidRPr="002D2A8F">
        <w:rPr>
          <w:rFonts w:cs="Arial"/>
        </w:rPr>
        <w:t>s</w:t>
      </w:r>
      <w:r w:rsidR="00D34622">
        <w:rPr>
          <w:rFonts w:cs="Arial"/>
        </w:rPr>
        <w:t>)</w:t>
      </w:r>
      <w:r w:rsidRPr="002D2A8F">
        <w:rPr>
          <w:rFonts w:cs="Arial"/>
        </w:rPr>
        <w:t xml:space="preserve"> are acceptable to GPC. If GPC</w:t>
      </w:r>
      <w:r w:rsidRPr="002D2A8F" w:rsidDel="00177A61">
        <w:rPr>
          <w:rFonts w:cs="Arial"/>
        </w:rPr>
        <w:t xml:space="preserve"> </w:t>
      </w:r>
      <w:r w:rsidRPr="002D2A8F">
        <w:rPr>
          <w:rFonts w:cs="Arial"/>
        </w:rPr>
        <w:t>does not provide the notice before the 15</w:t>
      </w:r>
      <w:r w:rsidR="00AA758D">
        <w:rPr>
          <w:rFonts w:cs="Arial"/>
        </w:rPr>
        <w:t>th</w:t>
      </w:r>
      <w:r w:rsidRPr="002D2A8F">
        <w:rPr>
          <w:rFonts w:cs="Arial"/>
        </w:rPr>
        <w:t xml:space="preserve"> Day, then GPC will be deemed to have accepted the FERC order accepting this PPA subject to material modification or condition</w:t>
      </w:r>
      <w:r w:rsidR="00B054F2">
        <w:rPr>
          <w:rFonts w:cs="Arial"/>
        </w:rPr>
        <w:t>(</w:t>
      </w:r>
      <w:r w:rsidRPr="002D2A8F">
        <w:rPr>
          <w:rFonts w:cs="Arial"/>
        </w:rPr>
        <w:t>s</w:t>
      </w:r>
      <w:r w:rsidR="00B054F2">
        <w:rPr>
          <w:rFonts w:cs="Arial"/>
        </w:rPr>
        <w:t>)</w:t>
      </w:r>
      <w:r w:rsidRPr="002D2A8F">
        <w:rPr>
          <w:rFonts w:cs="Arial"/>
        </w:rPr>
        <w:t xml:space="preserve">. </w:t>
      </w:r>
    </w:p>
    <w:p w:rsidRPr="002D2A8F" w:rsidR="002D54C4" w:rsidP="00C1276B" w:rsidRDefault="002D54C4" w14:paraId="1A32A074" w14:textId="03BE948F">
      <w:pPr>
        <w:pStyle w:val="zGTC04"/>
        <w:numPr>
          <w:ilvl w:val="3"/>
          <w:numId w:val="8"/>
        </w:numPr>
        <w:tabs>
          <w:tab w:val="num" w:pos="360"/>
        </w:tabs>
        <w:rPr>
          <w:rFonts w:cs="Arial"/>
        </w:rPr>
      </w:pPr>
      <w:r w:rsidRPr="002D2A8F">
        <w:rPr>
          <w:rFonts w:cs="Arial"/>
        </w:rPr>
        <w:t>If either Party provides notice that such material modification</w:t>
      </w:r>
      <w:r w:rsidR="0019053F">
        <w:rPr>
          <w:rFonts w:cs="Arial"/>
        </w:rPr>
        <w:t xml:space="preserve"> or condition(s)</w:t>
      </w:r>
      <w:r w:rsidRPr="002D2A8F">
        <w:rPr>
          <w:rFonts w:cs="Arial"/>
        </w:rPr>
        <w:t xml:space="preserve"> are not acceptable, then the Parties will meet no later than 10 Business Days following the date of the notice to negotiate </w:t>
      </w:r>
      <w:r w:rsidR="009F4B29">
        <w:rPr>
          <w:rFonts w:cs="Arial"/>
        </w:rPr>
        <w:t xml:space="preserve">an </w:t>
      </w:r>
      <w:r w:rsidRPr="002D2A8F">
        <w:rPr>
          <w:rFonts w:cs="Arial"/>
        </w:rPr>
        <w:t>amendment to this PPA, or other appropriate measure, so that this PPA</w:t>
      </w:r>
      <w:r w:rsidR="00EE75DE">
        <w:t xml:space="preserve">, as amended or taking into account </w:t>
      </w:r>
      <w:r w:rsidR="008F5282">
        <w:t>any</w:t>
      </w:r>
      <w:r w:rsidR="00EE75DE">
        <w:t xml:space="preserve"> other appropriate measure,</w:t>
      </w:r>
      <w:r w:rsidRPr="002D2A8F">
        <w:rPr>
          <w:rFonts w:cs="Arial"/>
        </w:rPr>
        <w:t xml:space="preserve"> is legal and fully enforceable without materially increasing the risks for either Party or adversely affecting the value of the economic bargain to either Party contemplated by this PPA in its original form. If the Parties are unable to negotiate any acceptable amendment, or other appropriate measure, then the Party who delivers the notice will have the right to terminate this PPA upon notice to the other Party so long as the notice is delivered no later than 30 Days after the 285 Days from the granting of a Commission Certificate. Upon </w:t>
      </w:r>
      <w:r w:rsidRPr="002D2A8F" w:rsidR="006F217D">
        <w:rPr>
          <w:rFonts w:cs="Arial"/>
        </w:rPr>
        <w:t>termination</w:t>
      </w:r>
      <w:r w:rsidRPr="002D2A8F">
        <w:rPr>
          <w:rFonts w:cs="Arial"/>
        </w:rPr>
        <w:t xml:space="preserve"> in accordance with this </w:t>
      </w:r>
      <w:r w:rsidRPr="00534192">
        <w:rPr>
          <w:rFonts w:cs="Arial"/>
        </w:rPr>
        <w:t>Section 1.3.</w:t>
      </w:r>
      <w:r w:rsidRPr="00534192" w:rsidR="003713F6">
        <w:rPr>
          <w:rFonts w:cs="Arial"/>
        </w:rPr>
        <w:t>2</w:t>
      </w:r>
      <w:r w:rsidRPr="002D2A8F">
        <w:rPr>
          <w:rFonts w:cs="Arial"/>
        </w:rPr>
        <w:t xml:space="preserve">, neither Party will have any liability to the other Party </w:t>
      </w:r>
      <w:r w:rsidR="00386FDC">
        <w:rPr>
          <w:rFonts w:cs="Arial"/>
        </w:rPr>
        <w:t>under this PPA</w:t>
      </w:r>
      <w:r w:rsidR="00B94546">
        <w:rPr>
          <w:rFonts w:cs="Arial"/>
        </w:rPr>
        <w:t>, and GPC will return to Seller the Eligible Collateral then held by GPC</w:t>
      </w:r>
      <w:r w:rsidRPr="002D2A8F">
        <w:rPr>
          <w:rFonts w:cs="Arial"/>
        </w:rPr>
        <w:t>.</w:t>
      </w:r>
    </w:p>
    <w:p w:rsidRPr="002D2A8F" w:rsidR="002D54C4" w:rsidP="008759EF" w:rsidRDefault="002D54C4" w14:paraId="23423B8A" w14:textId="77777777">
      <w:pPr>
        <w:pStyle w:val="zGTC03"/>
        <w:rPr>
          <w:rFonts w:cs="Arial"/>
          <w:b/>
        </w:rPr>
      </w:pPr>
      <w:r w:rsidRPr="002D2A8F">
        <w:rPr>
          <w:rFonts w:cs="Arial"/>
          <w:b/>
        </w:rPr>
        <w:t xml:space="preserve">Commission Certificate Target Date Conditions. </w:t>
      </w:r>
    </w:p>
    <w:p w:rsidRPr="002D2A8F" w:rsidR="002D54C4" w:rsidP="00C1276B" w:rsidRDefault="002D54C4" w14:paraId="3EF2D5DB" w14:textId="14BFF5C2">
      <w:pPr>
        <w:pStyle w:val="zGTC04"/>
        <w:numPr>
          <w:ilvl w:val="3"/>
          <w:numId w:val="9"/>
        </w:numPr>
        <w:rPr>
          <w:rFonts w:cs="Arial"/>
        </w:rPr>
      </w:pPr>
      <w:r w:rsidRPr="002D2A8F">
        <w:rPr>
          <w:rFonts w:cs="Arial"/>
          <w:b/>
          <w:bCs/>
        </w:rPr>
        <w:t xml:space="preserve">Initial Termination Rights for Commission Certificate Target Conditions. </w:t>
      </w:r>
      <w:r w:rsidRPr="002D2A8F">
        <w:rPr>
          <w:rFonts w:cs="Arial"/>
        </w:rPr>
        <w:t>If: (a) after the Commission Certificate Target Date the Commission has not approved this PPA through a Commission Certificate</w:t>
      </w:r>
      <w:r w:rsidRPr="002D2A8F" w:rsidR="00830C37">
        <w:rPr>
          <w:rFonts w:cs="Arial"/>
        </w:rPr>
        <w:t>,</w:t>
      </w:r>
      <w:r w:rsidRPr="002D2A8F">
        <w:rPr>
          <w:rFonts w:cs="Arial"/>
        </w:rPr>
        <w:t xml:space="preserve"> or (b) the Commission has issued a Commission Certificate that is subject to material qualification or condition</w:t>
      </w:r>
      <w:r w:rsidR="0092669E">
        <w:rPr>
          <w:rFonts w:cs="Arial"/>
        </w:rPr>
        <w:t>(</w:t>
      </w:r>
      <w:r w:rsidRPr="002D2A8F">
        <w:rPr>
          <w:rFonts w:cs="Arial"/>
        </w:rPr>
        <w:t>s</w:t>
      </w:r>
      <w:r w:rsidR="0092669E">
        <w:rPr>
          <w:rFonts w:cs="Arial"/>
        </w:rPr>
        <w:t>)</w:t>
      </w:r>
      <w:r w:rsidR="00E64ECD">
        <w:rPr>
          <w:rFonts w:cs="Arial"/>
        </w:rPr>
        <w:t xml:space="preserve"> </w:t>
      </w:r>
      <w:r w:rsidRPr="002D2A8F">
        <w:rPr>
          <w:rFonts w:cs="Arial"/>
        </w:rPr>
        <w:t>that adversely affect GPC</w:t>
      </w:r>
      <w:r w:rsidR="00E64ECD">
        <w:rPr>
          <w:rFonts w:cs="Arial"/>
        </w:rPr>
        <w:t xml:space="preserve"> or Seller</w:t>
      </w:r>
      <w:r w:rsidRPr="002D2A8F">
        <w:rPr>
          <w:rFonts w:cs="Arial"/>
        </w:rPr>
        <w:t xml:space="preserve">, then </w:t>
      </w:r>
      <w:r w:rsidR="00E64ECD">
        <w:rPr>
          <w:rFonts w:cs="Arial"/>
        </w:rPr>
        <w:t>(x) in the case of clause (a), either Party</w:t>
      </w:r>
      <w:r w:rsidRPr="002D2A8F" w:rsidDel="00177A61">
        <w:rPr>
          <w:rFonts w:cs="Arial"/>
        </w:rPr>
        <w:t xml:space="preserve"> </w:t>
      </w:r>
      <w:r w:rsidRPr="002D2A8F">
        <w:rPr>
          <w:rFonts w:cs="Arial"/>
        </w:rPr>
        <w:t xml:space="preserve">may terminate this PPA upon notice to </w:t>
      </w:r>
      <w:r w:rsidR="00865F66">
        <w:rPr>
          <w:rFonts w:cs="Arial"/>
        </w:rPr>
        <w:t>the other Party</w:t>
      </w:r>
      <w:r w:rsidRPr="002D2A8F">
        <w:rPr>
          <w:rFonts w:cs="Arial"/>
        </w:rPr>
        <w:t xml:space="preserve">, so long as the notice is delivered to </w:t>
      </w:r>
      <w:r w:rsidR="00865F66">
        <w:rPr>
          <w:rFonts w:cs="Arial"/>
        </w:rPr>
        <w:t>the other Party</w:t>
      </w:r>
      <w:r w:rsidRPr="002D2A8F" w:rsidR="00865F66">
        <w:rPr>
          <w:rFonts w:cs="Arial"/>
        </w:rPr>
        <w:t xml:space="preserve"> </w:t>
      </w:r>
      <w:r w:rsidRPr="002D2A8F">
        <w:rPr>
          <w:rFonts w:cs="Arial"/>
        </w:rPr>
        <w:t>by no later than 30 Days after the Commission Certificate Target Date</w:t>
      </w:r>
      <w:r w:rsidRPr="002D2A8F" w:rsidR="00391487">
        <w:rPr>
          <w:rFonts w:cs="Arial"/>
        </w:rPr>
        <w:t>,</w:t>
      </w:r>
      <w:r w:rsidRPr="002D2A8F">
        <w:rPr>
          <w:rFonts w:cs="Arial"/>
        </w:rPr>
        <w:t xml:space="preserve"> or (</w:t>
      </w:r>
      <w:r w:rsidR="00865F66">
        <w:rPr>
          <w:rFonts w:cs="Arial"/>
        </w:rPr>
        <w:t>y</w:t>
      </w:r>
      <w:r w:rsidRPr="002D2A8F">
        <w:rPr>
          <w:rFonts w:cs="Arial"/>
        </w:rPr>
        <w:t>)</w:t>
      </w:r>
      <w:r w:rsidR="00F046DD">
        <w:rPr>
          <w:rFonts w:cs="Arial"/>
        </w:rPr>
        <w:t xml:space="preserve"> in the case of clause (b), the Party or Parties (as applicable) that is or are adversely affected by </w:t>
      </w:r>
      <w:r w:rsidR="008D00FC">
        <w:rPr>
          <w:rFonts w:cs="Arial"/>
        </w:rPr>
        <w:t>the</w:t>
      </w:r>
      <w:r w:rsidR="00F046DD">
        <w:rPr>
          <w:rFonts w:cs="Arial"/>
        </w:rPr>
        <w:t xml:space="preserve"> Commission Certificate may terminate this PPA upon notice to the other Party, so long as the notice is delivered by no later than 30 Days after the date the Commission issued the Commission Certificate that is subject to material qualification or condition that adversely affect</w:t>
      </w:r>
      <w:r w:rsidR="00EE2F31">
        <w:rPr>
          <w:rFonts w:cs="Arial"/>
        </w:rPr>
        <w:t>s</w:t>
      </w:r>
      <w:r w:rsidR="00F046DD">
        <w:rPr>
          <w:rFonts w:cs="Arial"/>
        </w:rPr>
        <w:t xml:space="preserve"> such Party or Parties (as applicable)</w:t>
      </w:r>
      <w:r w:rsidRPr="002D2A8F">
        <w:rPr>
          <w:rFonts w:cs="Arial"/>
        </w:rPr>
        <w:t>.</w:t>
      </w:r>
      <w:r w:rsidR="00601717">
        <w:rPr>
          <w:rFonts w:cs="Arial"/>
        </w:rPr>
        <w:t xml:space="preserve"> If </w:t>
      </w:r>
      <w:r w:rsidR="00FD4B20">
        <w:rPr>
          <w:rFonts w:cs="Arial"/>
        </w:rPr>
        <w:t xml:space="preserve">Commission </w:t>
      </w:r>
      <w:r w:rsidR="002A05DC">
        <w:rPr>
          <w:rFonts w:cs="Arial"/>
        </w:rPr>
        <w:t>certification is delayed</w:t>
      </w:r>
      <w:r w:rsidR="0066055C">
        <w:rPr>
          <w:rFonts w:cs="Arial"/>
        </w:rPr>
        <w:t xml:space="preserve"> for reasons not </w:t>
      </w:r>
      <w:r w:rsidR="0066055C">
        <w:rPr>
          <w:rFonts w:cs="Arial"/>
        </w:rPr>
        <w:lastRenderedPageBreak/>
        <w:t xml:space="preserve">attributable to Seller and GPC does not elect to terminate this PPA, </w:t>
      </w:r>
      <w:r w:rsidR="00BA6A8B">
        <w:rPr>
          <w:rFonts w:cs="Arial"/>
        </w:rPr>
        <w:t xml:space="preserve">Seller will be entitled to an </w:t>
      </w:r>
      <w:r w:rsidR="0066055C">
        <w:rPr>
          <w:rFonts w:cs="Arial"/>
        </w:rPr>
        <w:t xml:space="preserve">RCOD </w:t>
      </w:r>
      <w:r w:rsidR="00BA6A8B">
        <w:rPr>
          <w:rFonts w:cs="Arial"/>
        </w:rPr>
        <w:t>extension.</w:t>
      </w:r>
    </w:p>
    <w:p w:rsidRPr="002D2A8F" w:rsidR="002D54C4" w:rsidP="00C1276B" w:rsidRDefault="002D54C4" w14:paraId="0502F94B" w14:textId="46C7BC8B">
      <w:pPr>
        <w:pStyle w:val="zGTC04"/>
        <w:numPr>
          <w:ilvl w:val="3"/>
          <w:numId w:val="8"/>
        </w:numPr>
        <w:tabs>
          <w:tab w:val="num" w:pos="360"/>
        </w:tabs>
        <w:rPr>
          <w:rFonts w:cs="Arial"/>
        </w:rPr>
      </w:pPr>
      <w:r w:rsidRPr="002D2A8F">
        <w:rPr>
          <w:rFonts w:cs="Arial"/>
          <w:b/>
          <w:bCs/>
        </w:rPr>
        <w:t xml:space="preserve">Motion to Reconsider or Appeal; Extended PPA Termination Rights for Commission Certificate Target Conditions. </w:t>
      </w:r>
      <w:r w:rsidRPr="002D2A8F">
        <w:rPr>
          <w:rFonts w:cs="Arial"/>
        </w:rPr>
        <w:t>If</w:t>
      </w:r>
      <w:r w:rsidR="000B3072">
        <w:rPr>
          <w:rFonts w:cs="Arial"/>
        </w:rPr>
        <w:t>,</w:t>
      </w:r>
      <w:r w:rsidRPr="002D2A8F">
        <w:rPr>
          <w:rFonts w:cs="Arial"/>
        </w:rPr>
        <w:t xml:space="preserve"> within 30 Days </w:t>
      </w:r>
      <w:r w:rsidRPr="002D2A8F" w:rsidR="00D85954">
        <w:rPr>
          <w:rFonts w:cs="Arial"/>
        </w:rPr>
        <w:t>after</w:t>
      </w:r>
      <w:r w:rsidRPr="002D2A8F">
        <w:rPr>
          <w:rFonts w:cs="Arial"/>
        </w:rPr>
        <w:t xml:space="preserve"> the issuance of the Commission Certificate</w:t>
      </w:r>
      <w:r w:rsidR="00761A13">
        <w:rPr>
          <w:rFonts w:cs="Arial"/>
        </w:rPr>
        <w:t xml:space="preserve"> or an order denying a Commission Certificate</w:t>
      </w:r>
      <w:r w:rsidR="000B3072">
        <w:rPr>
          <w:rFonts w:cs="Arial"/>
        </w:rPr>
        <w:t>,</w:t>
      </w:r>
      <w:r w:rsidRPr="002D2A8F">
        <w:rPr>
          <w:rFonts w:cs="Arial"/>
        </w:rPr>
        <w:t xml:space="preserve"> </w:t>
      </w:r>
      <w:r w:rsidR="00B957AD">
        <w:rPr>
          <w:rFonts w:cs="Arial"/>
        </w:rPr>
        <w:t>any Person</w:t>
      </w:r>
      <w:r w:rsidRPr="002D2A8F">
        <w:rPr>
          <w:rFonts w:cs="Arial"/>
        </w:rPr>
        <w:t xml:space="preserve"> files a motion to reconsider with the Commission or an appeal with Fulton County Superior Court regarding the issuance or denial of the Commission Certificate, </w:t>
      </w:r>
      <w:r w:rsidR="00CC2210">
        <w:rPr>
          <w:rFonts w:cs="Arial"/>
        </w:rPr>
        <w:t>then either Party</w:t>
      </w:r>
      <w:r w:rsidRPr="002D2A8F" w:rsidDel="00177A61" w:rsidR="00CC2210">
        <w:rPr>
          <w:rFonts w:cs="Arial"/>
        </w:rPr>
        <w:t xml:space="preserve"> </w:t>
      </w:r>
      <w:r w:rsidRPr="002D2A8F">
        <w:rPr>
          <w:rFonts w:cs="Arial"/>
        </w:rPr>
        <w:t xml:space="preserve">may terminate this PPA upon notice to </w:t>
      </w:r>
      <w:r w:rsidR="002C21B8">
        <w:rPr>
          <w:rFonts w:cs="Arial"/>
        </w:rPr>
        <w:t>the other Party</w:t>
      </w:r>
      <w:r w:rsidRPr="002D2A8F">
        <w:rPr>
          <w:rFonts w:cs="Arial"/>
        </w:rPr>
        <w:t xml:space="preserve">, </w:t>
      </w:r>
      <w:r w:rsidRPr="002D2A8F" w:rsidR="00B00E09">
        <w:rPr>
          <w:rFonts w:cs="Arial"/>
        </w:rPr>
        <w:t>so long as the</w:t>
      </w:r>
      <w:r w:rsidRPr="002D2A8F">
        <w:rPr>
          <w:rFonts w:cs="Arial"/>
        </w:rPr>
        <w:t xml:space="preserve"> notice is delivered to </w:t>
      </w:r>
      <w:r w:rsidR="002C21B8">
        <w:rPr>
          <w:rFonts w:cs="Arial"/>
        </w:rPr>
        <w:t>the other Party</w:t>
      </w:r>
      <w:r w:rsidRPr="002D2A8F">
        <w:rPr>
          <w:rFonts w:cs="Arial"/>
        </w:rPr>
        <w:t xml:space="preserve"> no later than 80 Days after the Commission Certificate Target Date</w:t>
      </w:r>
      <w:r w:rsidR="00835AC8">
        <w:t>;</w:t>
      </w:r>
      <w:r w:rsidR="00AF59DB">
        <w:t xml:space="preserve"> however</w:t>
      </w:r>
      <w:r w:rsidR="00A61C3A">
        <w:t>, Seller will not have a termination right under this Section 1.3.3(ii) (</w:t>
      </w:r>
      <w:r w:rsidRPr="00A61C3A" w:rsidR="00A61C3A">
        <w:rPr>
          <w:i/>
          <w:iCs/>
        </w:rPr>
        <w:t>Motion to Reconsider or Appeal; Extended PPA Termination Rights for Commission Certificate Target Conditions</w:t>
      </w:r>
      <w:r w:rsidR="00A61C3A">
        <w:t xml:space="preserve">) </w:t>
      </w:r>
      <w:r w:rsidR="0035753D">
        <w:t>so long as the Commission Certificate remains in effect with respect to this PPA or this PPA otherwise remains certified</w:t>
      </w:r>
      <w:r w:rsidRPr="002D2A8F">
        <w:rPr>
          <w:rFonts w:cs="Arial"/>
        </w:rPr>
        <w:t xml:space="preserve">. </w:t>
      </w:r>
    </w:p>
    <w:p w:rsidRPr="002D2A8F" w:rsidR="002D54C4" w:rsidP="00C1276B" w:rsidRDefault="002D54C4" w14:paraId="5E2277B4" w14:textId="3BF9B341">
      <w:pPr>
        <w:pStyle w:val="zGTC04"/>
        <w:numPr>
          <w:ilvl w:val="3"/>
          <w:numId w:val="8"/>
        </w:numPr>
        <w:tabs>
          <w:tab w:val="num" w:pos="360"/>
        </w:tabs>
        <w:rPr>
          <w:rFonts w:cs="Arial"/>
        </w:rPr>
      </w:pPr>
      <w:r w:rsidRPr="002D2A8F">
        <w:rPr>
          <w:rFonts w:cs="Arial"/>
          <w:b/>
          <w:bCs/>
        </w:rPr>
        <w:t xml:space="preserve">Waiver of PPA Termination Right. </w:t>
      </w:r>
      <w:r w:rsidRPr="002D2A8F">
        <w:rPr>
          <w:rFonts w:cs="Arial"/>
        </w:rPr>
        <w:t xml:space="preserve">If, within the applicable notice period, </w:t>
      </w:r>
      <w:r w:rsidR="008421DF">
        <w:rPr>
          <w:rFonts w:cs="Arial"/>
        </w:rPr>
        <w:t>a Party</w:t>
      </w:r>
      <w:r w:rsidRPr="002D2A8F" w:rsidDel="00177A61">
        <w:rPr>
          <w:rFonts w:cs="Arial"/>
        </w:rPr>
        <w:t xml:space="preserve"> </w:t>
      </w:r>
      <w:r w:rsidRPr="002D2A8F">
        <w:rPr>
          <w:rFonts w:cs="Arial"/>
        </w:rPr>
        <w:t xml:space="preserve">does not exercise </w:t>
      </w:r>
      <w:r w:rsidR="008421DF">
        <w:rPr>
          <w:rFonts w:cs="Arial"/>
        </w:rPr>
        <w:t>its</w:t>
      </w:r>
      <w:r w:rsidRPr="002D2A8F">
        <w:rPr>
          <w:rFonts w:cs="Arial"/>
        </w:rPr>
        <w:t xml:space="preserve"> termination right in accordance with this </w:t>
      </w:r>
      <w:r w:rsidRPr="00534192">
        <w:rPr>
          <w:rFonts w:cs="Arial"/>
        </w:rPr>
        <w:t>Section 1.3.</w:t>
      </w:r>
      <w:r w:rsidRPr="00534192" w:rsidR="003713F6">
        <w:rPr>
          <w:rFonts w:cs="Arial"/>
        </w:rPr>
        <w:t>3</w:t>
      </w:r>
      <w:r w:rsidRPr="002D2A8F">
        <w:rPr>
          <w:rFonts w:cs="Arial"/>
        </w:rPr>
        <w:t xml:space="preserve">, then </w:t>
      </w:r>
      <w:r w:rsidR="008421DF">
        <w:rPr>
          <w:rFonts w:cs="Arial"/>
        </w:rPr>
        <w:t>the Party</w:t>
      </w:r>
      <w:r w:rsidRPr="002D2A8F" w:rsidDel="00177A61">
        <w:rPr>
          <w:rFonts w:cs="Arial"/>
        </w:rPr>
        <w:t xml:space="preserve"> </w:t>
      </w:r>
      <w:r w:rsidRPr="002D2A8F">
        <w:rPr>
          <w:rFonts w:cs="Arial"/>
        </w:rPr>
        <w:t>will be deemed to have waived the termination right.</w:t>
      </w:r>
    </w:p>
    <w:p w:rsidRPr="002D2A8F" w:rsidR="002D54C4" w:rsidP="00C1276B" w:rsidRDefault="002D54C4" w14:paraId="6B571CD7" w14:textId="4696207B">
      <w:pPr>
        <w:pStyle w:val="zGTC04"/>
        <w:numPr>
          <w:ilvl w:val="3"/>
          <w:numId w:val="8"/>
        </w:numPr>
        <w:tabs>
          <w:tab w:val="num" w:pos="360"/>
        </w:tabs>
        <w:rPr>
          <w:rFonts w:cs="Arial"/>
        </w:rPr>
      </w:pPr>
      <w:r w:rsidRPr="002D2A8F">
        <w:rPr>
          <w:rFonts w:cs="Arial"/>
          <w:b/>
          <w:bCs/>
        </w:rPr>
        <w:t xml:space="preserve">Obligations following PPA Termination. </w:t>
      </w:r>
      <w:r w:rsidRPr="002D2A8F">
        <w:rPr>
          <w:rFonts w:cs="Arial"/>
        </w:rPr>
        <w:t xml:space="preserve">Upon PPA termination in accordance with this </w:t>
      </w:r>
      <w:r w:rsidRPr="00534192">
        <w:rPr>
          <w:rFonts w:cs="Arial"/>
        </w:rPr>
        <w:t>Section 1.3.</w:t>
      </w:r>
      <w:r w:rsidRPr="00534192" w:rsidR="003713F6">
        <w:rPr>
          <w:rFonts w:cs="Arial"/>
        </w:rPr>
        <w:t>3</w:t>
      </w:r>
      <w:r w:rsidRPr="002D2A8F">
        <w:rPr>
          <w:rFonts w:cs="Arial"/>
        </w:rPr>
        <w:t xml:space="preserve">: (a) neither Party will have any further liability to the other Party under this PPA; and (b) GPC will promptly return to Seller any unused portion of Performance Security, if applicable.  </w:t>
      </w:r>
    </w:p>
    <w:p w:rsidRPr="002D2A8F" w:rsidR="002D54C4" w:rsidP="008759EF" w:rsidRDefault="002D54C4" w14:paraId="07FA45E4" w14:textId="77777777">
      <w:pPr>
        <w:pStyle w:val="zGTC03"/>
        <w:rPr>
          <w:rFonts w:cs="Arial"/>
          <w:b/>
          <w:vanish/>
          <w:specVanish/>
        </w:rPr>
      </w:pPr>
      <w:r w:rsidRPr="002D2A8F">
        <w:rPr>
          <w:rFonts w:cs="Arial"/>
          <w:b/>
        </w:rPr>
        <w:t>Revocation, Qualifications, or Conditions.</w:t>
      </w:r>
    </w:p>
    <w:p w:rsidRPr="002D2A8F" w:rsidR="002D54C4" w:rsidP="002D54C4" w:rsidRDefault="002D54C4" w14:paraId="2757F0F4" w14:textId="779909C4">
      <w:pPr>
        <w:pStyle w:val="zGNormal"/>
      </w:pPr>
      <w:r w:rsidRPr="002D2A8F">
        <w:t xml:space="preserve"> Despite </w:t>
      </w:r>
      <w:r w:rsidRPr="00534192">
        <w:t>Section 1.3.</w:t>
      </w:r>
      <w:r w:rsidRPr="00534192" w:rsidR="003713F6">
        <w:t>3</w:t>
      </w:r>
      <w:r w:rsidRPr="00534192">
        <w:t xml:space="preserve"> (</w:t>
      </w:r>
      <w:r w:rsidRPr="00534192">
        <w:rPr>
          <w:i/>
        </w:rPr>
        <w:t>Commission Certificate Target Date Conditions</w:t>
      </w:r>
      <w:r w:rsidRPr="00534192">
        <w:t>)</w:t>
      </w:r>
      <w:r w:rsidRPr="002D2A8F">
        <w:t>, if</w:t>
      </w:r>
      <w:r w:rsidR="00E7243A">
        <w:t>,</w:t>
      </w:r>
      <w:r w:rsidRPr="002D2A8F">
        <w:t xml:space="preserve"> at any time during the Term the Commission </w:t>
      </w:r>
      <w:r w:rsidR="002E2FD5">
        <w:t>revokes</w:t>
      </w:r>
      <w:r w:rsidR="005819A5">
        <w:t xml:space="preserve"> the Commission Certificate</w:t>
      </w:r>
      <w:r w:rsidR="002E2FD5">
        <w:t xml:space="preserve"> or </w:t>
      </w:r>
      <w:r w:rsidRPr="002D2A8F">
        <w:t>issues an amendment to the Commission Certificate regarding this PPA (“</w:t>
      </w:r>
      <w:r w:rsidRPr="002D2A8F">
        <w:rPr>
          <w:b/>
        </w:rPr>
        <w:t>Amended Commission Certificate</w:t>
      </w:r>
      <w:r w:rsidRPr="002D2A8F">
        <w:t xml:space="preserve">”) that imposes </w:t>
      </w:r>
      <w:r w:rsidR="00CA35BE">
        <w:t xml:space="preserve">a </w:t>
      </w:r>
      <w:r w:rsidRPr="002D2A8F">
        <w:t>material qualification or condition that adversely affect</w:t>
      </w:r>
      <w:r w:rsidR="00BB2571">
        <w:t>s</w:t>
      </w:r>
      <w:r w:rsidRPr="002D2A8F">
        <w:t xml:space="preserve"> </w:t>
      </w:r>
      <w:r w:rsidR="009C4EEF">
        <w:t>either Party</w:t>
      </w:r>
      <w:r w:rsidRPr="002D2A8F" w:rsidR="009C4EEF">
        <w:t xml:space="preserve"> </w:t>
      </w:r>
      <w:r w:rsidR="00A03FFA">
        <w:t xml:space="preserve">and that is not acceptable to </w:t>
      </w:r>
      <w:r w:rsidR="00C01E4C">
        <w:t>the affected</w:t>
      </w:r>
      <w:r w:rsidR="00AC01BB">
        <w:t xml:space="preserve"> Party</w:t>
      </w:r>
      <w:r w:rsidR="00A03FFA">
        <w:t xml:space="preserve">, </w:t>
      </w:r>
      <w:r w:rsidR="00C01E4C">
        <w:t>the affected</w:t>
      </w:r>
      <w:r w:rsidR="00156FF5">
        <w:t xml:space="preserve"> Party</w:t>
      </w:r>
      <w:r w:rsidR="00A03FFA">
        <w:t xml:space="preserve"> will have the right to terminate this PPA</w:t>
      </w:r>
      <w:r w:rsidRPr="002D2A8F">
        <w:t>, unless GPC</w:t>
      </w:r>
      <w:r w:rsidRPr="002D2A8F" w:rsidDel="00177A61">
        <w:t xml:space="preserve"> </w:t>
      </w:r>
      <w:r w:rsidRPr="002D2A8F">
        <w:t>and Seller agree to amend</w:t>
      </w:r>
      <w:r w:rsidR="00951677">
        <w:t xml:space="preserve"> this PPA</w:t>
      </w:r>
      <w:r w:rsidRPr="002D2A8F">
        <w:t xml:space="preserve"> in accordance with </w:t>
      </w:r>
      <w:r w:rsidRPr="00534192">
        <w:t>Section 1.3.</w:t>
      </w:r>
      <w:r w:rsidRPr="00534192" w:rsidR="003713F6">
        <w:t>6</w:t>
      </w:r>
      <w:r w:rsidRPr="00534192">
        <w:t xml:space="preserve"> (</w:t>
      </w:r>
      <w:r w:rsidRPr="00534192">
        <w:rPr>
          <w:i/>
        </w:rPr>
        <w:t>PPA Amendment</w:t>
      </w:r>
      <w:r w:rsidRPr="00534192">
        <w:t>)</w:t>
      </w:r>
      <w:r w:rsidRPr="002D2A8F">
        <w:t xml:space="preserve">. Within </w:t>
      </w:r>
      <w:r w:rsidRPr="00093990">
        <w:t>15 Days</w:t>
      </w:r>
      <w:r w:rsidRPr="002D2A8F">
        <w:t xml:space="preserve"> after the issuance of the Amended Commission Certificate, </w:t>
      </w:r>
      <w:r w:rsidR="00C01E4C">
        <w:t>each Party must</w:t>
      </w:r>
      <w:r w:rsidRPr="002D2A8F">
        <w:t xml:space="preserve"> provide </w:t>
      </w:r>
      <w:r w:rsidR="00C01E4C">
        <w:t xml:space="preserve">the other Party </w:t>
      </w:r>
      <w:r w:rsidRPr="002D2A8F">
        <w:t xml:space="preserve">with notice of whether the Amended Commission Certificate is subject to material qualification or condition and, if so, whether the material qualification or condition </w:t>
      </w:r>
      <w:r w:rsidR="003E3B2D">
        <w:t>is</w:t>
      </w:r>
      <w:r w:rsidRPr="002D2A8F" w:rsidR="003E3B2D">
        <w:t xml:space="preserve"> </w:t>
      </w:r>
      <w:r w:rsidRPr="002D2A8F">
        <w:t xml:space="preserve">acceptable. If </w:t>
      </w:r>
      <w:r w:rsidR="00C01E4C">
        <w:t>a Party</w:t>
      </w:r>
      <w:r w:rsidRPr="002D2A8F" w:rsidDel="00177A61">
        <w:t xml:space="preserve"> </w:t>
      </w:r>
      <w:r w:rsidRPr="002D2A8F">
        <w:t xml:space="preserve">does not provide notice within the 15-Day period, the Amended Commission Certificate will be deemed to be acceptable to </w:t>
      </w:r>
      <w:r w:rsidR="00C01E4C">
        <w:t>that Party.</w:t>
      </w:r>
      <w:r w:rsidRPr="002D2A8F">
        <w:t xml:space="preserve"> Upon a termination in accordance with this </w:t>
      </w:r>
      <w:r w:rsidRPr="00534192">
        <w:t>Section 1.3.</w:t>
      </w:r>
      <w:r w:rsidRPr="00534192" w:rsidR="003713F6">
        <w:t>4</w:t>
      </w:r>
      <w:r w:rsidRPr="002D2A8F">
        <w:t>: (i) neither Party will have any further liability to the other Party under this PPA; and (ii) GPC will promptly return to Seller any unused portion of Performance Security, if applicable.</w:t>
      </w:r>
    </w:p>
    <w:p w:rsidRPr="002D2A8F" w:rsidR="002D54C4" w:rsidP="008759EF" w:rsidRDefault="002D54C4" w14:paraId="73C39229" w14:textId="12D261EF">
      <w:pPr>
        <w:pStyle w:val="zGTC03"/>
        <w:rPr>
          <w:rFonts w:cs="Arial"/>
          <w:b/>
          <w:vanish/>
          <w:specVanish/>
        </w:rPr>
      </w:pPr>
      <w:r w:rsidRPr="002D2A8F">
        <w:rPr>
          <w:rFonts w:cs="Arial"/>
          <w:b/>
        </w:rPr>
        <w:t>Change in Economic Circumstances or Market Conditions.</w:t>
      </w:r>
    </w:p>
    <w:p w:rsidRPr="002D2A8F" w:rsidR="002D54C4" w:rsidP="002D54C4" w:rsidRDefault="002D54C4" w14:paraId="30CB20B6" w14:textId="77777777">
      <w:pPr>
        <w:pStyle w:val="zGNormal"/>
      </w:pPr>
      <w:r w:rsidRPr="002D2A8F">
        <w:t xml:space="preserve"> Despite any other provision in this PPA, and so long as it is not required by Commission Rule 515-3-4.08, neither Party will seek to have the Commission revoke the Commission Certificate of its own initiative for reasons solely related to changed economic circumstances or market conditions affecting this PPA.</w:t>
      </w:r>
    </w:p>
    <w:p w:rsidRPr="002D2A8F" w:rsidR="002D54C4" w:rsidP="008759EF" w:rsidRDefault="002D54C4" w14:paraId="7BB2BCA8" w14:textId="77777777">
      <w:pPr>
        <w:pStyle w:val="zGTC03"/>
        <w:rPr>
          <w:rFonts w:cs="Arial"/>
          <w:b/>
          <w:vanish/>
          <w:specVanish/>
        </w:rPr>
      </w:pPr>
      <w:r w:rsidRPr="002D2A8F">
        <w:rPr>
          <w:rFonts w:cs="Arial"/>
          <w:b/>
        </w:rPr>
        <w:t>PPA Amendment.</w:t>
      </w:r>
    </w:p>
    <w:p w:rsidR="007115BD" w:rsidP="002D54C4" w:rsidRDefault="002D54C4" w14:paraId="36443218" w14:textId="1D3F35F7">
      <w:pPr>
        <w:pStyle w:val="zGNormal"/>
      </w:pPr>
      <w:r w:rsidRPr="002D2A8F">
        <w:t xml:space="preserve"> If the Commission issues an Order approving this PPA with any modification or condition, or issues an Amended Commission Certificate, as applicable, this PPA will not be amended to include the modification or condition unless </w:t>
      </w:r>
      <w:r w:rsidR="007F2ED1">
        <w:t>the Parties execute</w:t>
      </w:r>
      <w:r w:rsidRPr="002D2A8F">
        <w:t xml:space="preserve"> a written amendment agreeing to the modification or condition. If GPC</w:t>
      </w:r>
      <w:r w:rsidRPr="002D2A8F" w:rsidDel="00177A61">
        <w:t xml:space="preserve"> </w:t>
      </w:r>
      <w:r w:rsidRPr="002D2A8F">
        <w:t xml:space="preserve">requests, within 30 Days </w:t>
      </w:r>
      <w:r w:rsidR="00343666">
        <w:t>after</w:t>
      </w:r>
      <w:r w:rsidRPr="002D2A8F">
        <w:t xml:space="preserve"> issuance of the Order, that Seller execute a written amendment agreeing to </w:t>
      </w:r>
      <w:r w:rsidR="00C019BC">
        <w:t xml:space="preserve">the </w:t>
      </w:r>
      <w:r w:rsidRPr="002D2A8F">
        <w:t>modification or condition, and Seller does not execute the written amendment by no later than 30 Days after the date of GPC</w:t>
      </w:r>
      <w:r w:rsidRPr="002D2A8F" w:rsidR="00CC3F03">
        <w:t>’</w:t>
      </w:r>
      <w:r w:rsidRPr="002D2A8F">
        <w:t>s request, GPC</w:t>
      </w:r>
      <w:r w:rsidRPr="002D2A8F" w:rsidDel="00177A61">
        <w:t xml:space="preserve"> </w:t>
      </w:r>
      <w:r w:rsidRPr="002D2A8F">
        <w:t xml:space="preserve">may terminate this PPA. Upon termination of this PPA in accordance with this </w:t>
      </w:r>
      <w:r w:rsidRPr="00534192">
        <w:t>Section 1.3.</w:t>
      </w:r>
      <w:r w:rsidRPr="00534192" w:rsidR="003713F6">
        <w:t>6</w:t>
      </w:r>
      <w:r w:rsidRPr="002D2A8F">
        <w:t>: (i) GPC</w:t>
      </w:r>
      <w:r w:rsidRPr="002D2A8F" w:rsidDel="00177A61">
        <w:t xml:space="preserve"> </w:t>
      </w:r>
      <w:r w:rsidRPr="002D2A8F">
        <w:t>will promptly return to Seller any unused portion of the Performance Security, if applicable; and (ii) neither Party will have any further obligation to the other Party under this PPA.</w:t>
      </w:r>
    </w:p>
    <w:p w:rsidRPr="00FB6026" w:rsidR="00E00130" w:rsidP="00E00130" w:rsidRDefault="008D1B24" w14:paraId="712E361D" w14:textId="75A7197A">
      <w:pPr>
        <w:pStyle w:val="zGTC03"/>
      </w:pPr>
      <w:r w:rsidRPr="008D1B24">
        <w:rPr>
          <w:b/>
          <w:bCs/>
        </w:rPr>
        <w:t xml:space="preserve">Payment of Winner’s Fee. </w:t>
      </w:r>
      <w:r w:rsidRPr="00FB6026" w:rsidR="00FB6026">
        <w:t xml:space="preserve">After the Commission approves this PPA through a Commission Certificate, </w:t>
      </w:r>
      <w:r w:rsidR="005B23A4">
        <w:t xml:space="preserve">GPC will calculate the </w:t>
      </w:r>
      <w:r w:rsidR="00123A98">
        <w:t>w</w:t>
      </w:r>
      <w:r w:rsidR="005B23A4">
        <w:t xml:space="preserve">inner’s </w:t>
      </w:r>
      <w:r w:rsidR="00123A98">
        <w:t>f</w:t>
      </w:r>
      <w:r w:rsidR="005B23A4">
        <w:t xml:space="preserve">ee </w:t>
      </w:r>
      <w:r w:rsidR="009B3BBA">
        <w:t xml:space="preserve">owed by Seller </w:t>
      </w:r>
      <w:r w:rsidR="005620C6">
        <w:t>per</w:t>
      </w:r>
      <w:r w:rsidR="009B3BBA">
        <w:t xml:space="preserve"> the terms of GPC’s 2026 All-Source Capacity Request for Proposals for Need Years </w:t>
      </w:r>
      <w:r w:rsidR="00886E44">
        <w:t>2032 - 2033</w:t>
      </w:r>
      <w:r w:rsidR="005B23A4">
        <w:t xml:space="preserve"> </w:t>
      </w:r>
      <w:r w:rsidR="00753979">
        <w:t xml:space="preserve">and </w:t>
      </w:r>
      <w:r w:rsidR="004A37D0">
        <w:t xml:space="preserve">notify </w:t>
      </w:r>
      <w:r w:rsidR="004A37D0">
        <w:lastRenderedPageBreak/>
        <w:t xml:space="preserve">Seller </w:t>
      </w:r>
      <w:r w:rsidR="00270423">
        <w:t xml:space="preserve">of the amount. </w:t>
      </w:r>
      <w:r w:rsidR="00957968">
        <w:t xml:space="preserve">Seller must pay the </w:t>
      </w:r>
      <w:r w:rsidR="0004746F">
        <w:t>w</w:t>
      </w:r>
      <w:r w:rsidR="00957968">
        <w:t xml:space="preserve">inner’s </w:t>
      </w:r>
      <w:r w:rsidR="0004746F">
        <w:t>f</w:t>
      </w:r>
      <w:r w:rsidR="00957968">
        <w:t>ee</w:t>
      </w:r>
      <w:r w:rsidR="0004746F">
        <w:t xml:space="preserve"> to GPC</w:t>
      </w:r>
      <w:r w:rsidR="00FE2ACE">
        <w:t>: (i)</w:t>
      </w:r>
      <w:r w:rsidR="00957968">
        <w:t xml:space="preserve"> within 10 Days after receipt of</w:t>
      </w:r>
      <w:r w:rsidR="00C83019">
        <w:t xml:space="preserve"> </w:t>
      </w:r>
      <w:r w:rsidR="0004746F">
        <w:t>GPC’s</w:t>
      </w:r>
      <w:r w:rsidR="00C83019">
        <w:t xml:space="preserve"> notice</w:t>
      </w:r>
      <w:r w:rsidR="009644A8">
        <w:t>; and (ii)</w:t>
      </w:r>
      <w:r w:rsidR="005470C3">
        <w:t xml:space="preserve"> </w:t>
      </w:r>
      <w:r w:rsidR="00965B42">
        <w:t>following</w:t>
      </w:r>
      <w:r w:rsidR="005470C3">
        <w:t xml:space="preserve"> the instructions </w:t>
      </w:r>
      <w:r w:rsidR="00965B42">
        <w:t>in</w:t>
      </w:r>
      <w:r w:rsidR="005470C3">
        <w:t xml:space="preserve"> the notice.</w:t>
      </w:r>
      <w:r w:rsidR="006242C1">
        <w:t xml:space="preserve"> </w:t>
      </w:r>
      <w:r w:rsidR="00296174">
        <w:t xml:space="preserve">Seller’s failure to timely pay the </w:t>
      </w:r>
      <w:r w:rsidR="00BC572D">
        <w:t>w</w:t>
      </w:r>
      <w:r w:rsidR="00296174">
        <w:t xml:space="preserve">inner’s </w:t>
      </w:r>
      <w:r w:rsidR="005078A8">
        <w:t>f</w:t>
      </w:r>
      <w:r w:rsidR="00296174">
        <w:t xml:space="preserve">ee as required by this Section 1.3.7 </w:t>
      </w:r>
      <w:r w:rsidR="00750245">
        <w:t>(</w:t>
      </w:r>
      <w:r w:rsidRPr="00750245" w:rsidR="00750245">
        <w:rPr>
          <w:i/>
          <w:iCs/>
        </w:rPr>
        <w:t>Payment of Winner’s Fee</w:t>
      </w:r>
      <w:r w:rsidR="00750245">
        <w:t>)</w:t>
      </w:r>
      <w:r w:rsidR="00296174">
        <w:t xml:space="preserve"> will be a</w:t>
      </w:r>
      <w:r w:rsidR="007E131D">
        <w:t xml:space="preserve"> Seller Event of Default.</w:t>
      </w:r>
    </w:p>
    <w:p w:rsidRPr="002D2A8F" w:rsidR="002D54C4" w:rsidP="00ED6839" w:rsidRDefault="002D54C4" w14:paraId="7995F232" w14:textId="77777777">
      <w:pPr>
        <w:pStyle w:val="zGTC01"/>
      </w:pPr>
      <w:bookmarkStart w:name="_Toc169778582" w:id="61"/>
      <w:bookmarkStart w:name="_Toc227451347" w:id="62"/>
      <w:r w:rsidRPr="002D2A8F">
        <w:t>Representations, Warranties, and Covenants</w:t>
      </w:r>
      <w:bookmarkEnd w:id="61"/>
      <w:bookmarkEnd w:id="62"/>
    </w:p>
    <w:p w:rsidRPr="002D2A8F" w:rsidR="002D54C4" w:rsidP="002D54C4" w:rsidRDefault="002D54C4" w14:paraId="08795A35" w14:textId="77777777">
      <w:pPr>
        <w:pStyle w:val="zGTC02"/>
        <w:rPr>
          <w:rFonts w:ascii="Arial" w:hAnsi="Arial" w:cs="Arial"/>
          <w:vanish/>
          <w:specVanish/>
        </w:rPr>
      </w:pPr>
      <w:bookmarkStart w:name="_Toc169778583" w:id="63"/>
      <w:bookmarkStart w:name="_Toc227451348" w:id="64"/>
      <w:r w:rsidRPr="002D2A8F">
        <w:rPr>
          <w:rFonts w:ascii="Arial" w:hAnsi="Arial" w:cs="Arial"/>
        </w:rPr>
        <w:t>Seller Representations, Warranties, and Covenants.</w:t>
      </w:r>
      <w:bookmarkStart w:name="_Toc158593181" w:id="65"/>
      <w:bookmarkStart w:name="_Toc158597460" w:id="66"/>
      <w:bookmarkStart w:name="_Toc158720084" w:id="67"/>
      <w:bookmarkStart w:name="_Toc158722838" w:id="68"/>
      <w:bookmarkStart w:name="_Toc158929369" w:id="69"/>
      <w:bookmarkEnd w:id="63"/>
      <w:bookmarkEnd w:id="64"/>
      <w:bookmarkEnd w:id="65"/>
      <w:bookmarkEnd w:id="66"/>
      <w:bookmarkEnd w:id="67"/>
      <w:bookmarkEnd w:id="68"/>
      <w:bookmarkEnd w:id="69"/>
    </w:p>
    <w:p w:rsidRPr="002D2A8F" w:rsidR="002D54C4" w:rsidP="002D54C4" w:rsidRDefault="002D54C4" w14:paraId="3286686A" w14:textId="1D060193">
      <w:pPr>
        <w:pStyle w:val="zGNormal"/>
      </w:pPr>
      <w:r w:rsidRPr="002D2A8F">
        <w:t xml:space="preserve"> Seller makes to GPC the following additional representations</w:t>
      </w:r>
      <w:r w:rsidR="00E40273">
        <w:t>,</w:t>
      </w:r>
      <w:r w:rsidR="00A819C5">
        <w:t xml:space="preserve"> warranties</w:t>
      </w:r>
      <w:r w:rsidR="00E40273">
        <w:t>, and covenants</w:t>
      </w:r>
      <w:r w:rsidR="00A819C5">
        <w:t xml:space="preserve"> </w:t>
      </w:r>
      <w:r w:rsidRPr="002D2A8F">
        <w:t>as the basis for the benefits and obligations contained in this PPA:</w:t>
      </w:r>
    </w:p>
    <w:p w:rsidRPr="002D2A8F" w:rsidR="002D54C4" w:rsidP="008759EF" w:rsidRDefault="002D54C4" w14:paraId="69607715" w14:textId="77777777">
      <w:pPr>
        <w:pStyle w:val="zGTC03"/>
        <w:rPr>
          <w:rFonts w:cs="Arial"/>
          <w:b/>
          <w:vanish/>
          <w:specVanish/>
        </w:rPr>
      </w:pPr>
      <w:r w:rsidRPr="002D2A8F">
        <w:rPr>
          <w:rFonts w:cs="Arial"/>
          <w:b/>
        </w:rPr>
        <w:t>Organization; Facility Ownership; Legal Power and Authority.</w:t>
      </w:r>
    </w:p>
    <w:p w:rsidRPr="002D2A8F" w:rsidR="002D54C4" w:rsidP="002D54C4" w:rsidRDefault="002D54C4" w14:paraId="34C552E5" w14:textId="2689598E">
      <w:pPr>
        <w:pStyle w:val="zGNormal"/>
      </w:pPr>
      <w:r w:rsidRPr="002D2A8F">
        <w:t xml:space="preserve"> Seller is</w:t>
      </w:r>
      <w:r w:rsidR="00C47C63">
        <w:t xml:space="preserve"> </w:t>
      </w:r>
      <w:r w:rsidRPr="002D2A8F">
        <w:t xml:space="preserve">duly organized </w:t>
      </w:r>
      <w:r w:rsidR="00FB778F">
        <w:t xml:space="preserve">and </w:t>
      </w:r>
      <w:r w:rsidRPr="002D2A8F">
        <w:t>validly existing</w:t>
      </w:r>
      <w:r w:rsidR="00C47C63">
        <w:t xml:space="preserve"> in accordance with the Seller information provided in </w:t>
      </w:r>
      <w:r w:rsidRPr="00534192" w:rsidR="00C47C63">
        <w:t>Exhibit A (</w:t>
      </w:r>
      <w:r w:rsidRPr="00534192" w:rsidR="00C47C63">
        <w:rPr>
          <w:i/>
        </w:rPr>
        <w:t>Facility Description and Additional Details</w:t>
      </w:r>
      <w:r w:rsidRPr="00534192" w:rsidR="00C47C63">
        <w:t>)</w:t>
      </w:r>
      <w:r w:rsidR="002F214F">
        <w:t>,</w:t>
      </w:r>
      <w:r w:rsidRPr="002D2A8F">
        <w:t xml:space="preserve"> in good standing</w:t>
      </w:r>
      <w:r w:rsidR="001D7871">
        <w:t xml:space="preserve"> under the laws of the state of Georgia</w:t>
      </w:r>
      <w:r w:rsidRPr="002D2A8F">
        <w:t>, qualified to do business in the state of Georgia, the sole owner and operator of the Facility, and has the legal power and authority to: (i) own its properties; (ii) carry on its business as now being conducted; (iii) enter into this PPA; (iv) to otherwise carry out the transactions contemplated by this PPA; and (v) perform and fulfill all covenants and obligations on Seller’s part to be performed under this PPA.</w:t>
      </w:r>
    </w:p>
    <w:p w:rsidRPr="002D2A8F" w:rsidR="002D54C4" w:rsidP="008759EF" w:rsidRDefault="002D54C4" w14:paraId="1109F51C" w14:textId="77777777">
      <w:pPr>
        <w:pStyle w:val="zGTC03"/>
        <w:rPr>
          <w:rFonts w:cs="Arial"/>
          <w:b/>
          <w:vanish/>
          <w:specVanish/>
        </w:rPr>
      </w:pPr>
      <w:r w:rsidRPr="002D2A8F">
        <w:rPr>
          <w:rFonts w:cs="Arial"/>
          <w:b/>
        </w:rPr>
        <w:t>Authorization.</w:t>
      </w:r>
    </w:p>
    <w:p w:rsidRPr="002D2A8F" w:rsidR="002D54C4" w:rsidP="002D54C4" w:rsidRDefault="002D54C4" w14:paraId="460CE573" w14:textId="709515CF">
      <w:pPr>
        <w:pStyle w:val="zGNormal"/>
      </w:pPr>
      <w:r w:rsidRPr="002D2A8F">
        <w:rPr>
          <w:b/>
        </w:rPr>
        <w:t xml:space="preserve"> </w:t>
      </w:r>
      <w:r w:rsidRPr="002D2A8F">
        <w:t>The execution, delivery, and performance by Seller of this PPA have been duly authorized by all necessary action and do not and will not require any consent or approval of any Person other than those already properly obtained.</w:t>
      </w:r>
    </w:p>
    <w:p w:rsidRPr="002D2A8F" w:rsidR="002D54C4" w:rsidP="008759EF" w:rsidRDefault="002D54C4" w14:paraId="77CB420B" w14:textId="77777777">
      <w:pPr>
        <w:pStyle w:val="zGTC03"/>
        <w:rPr>
          <w:rFonts w:cs="Arial"/>
          <w:b/>
          <w:vanish/>
          <w:specVanish/>
        </w:rPr>
      </w:pPr>
      <w:r w:rsidRPr="002D2A8F">
        <w:rPr>
          <w:rFonts w:cs="Arial"/>
          <w:b/>
        </w:rPr>
        <w:t>No Conflict or Breach.</w:t>
      </w:r>
    </w:p>
    <w:p w:rsidRPr="002D2A8F" w:rsidR="002D54C4" w:rsidP="002D54C4" w:rsidRDefault="002D54C4" w14:paraId="4BB194F5" w14:textId="219BE7DA">
      <w:pPr>
        <w:pStyle w:val="zGNormal"/>
      </w:pPr>
      <w:r w:rsidRPr="002D2A8F">
        <w:t xml:space="preserve"> The execution and delivery of this PPA, the consummation of the transactions contemplated by this PPA, and the fulfillment of and compliance with this PPA, do not and will not conflict with or constitute a breach of or a default under, any of the terms, conditions, or provisions of any applicable law, charter, bylaw, operating agreement or other formation or organizational document of Seller, or any deed of trust, mortgage, loan agreement, other evidence of Indebtedness, or any other agreement or instrument to which Seller is a party or by which Seller or any of its property is bound.</w:t>
      </w:r>
    </w:p>
    <w:p w:rsidRPr="002D2A8F" w:rsidR="002D54C4" w:rsidP="008759EF" w:rsidRDefault="002D54C4" w14:paraId="76AC69AC" w14:textId="46FDE685">
      <w:pPr>
        <w:pStyle w:val="zGTC03"/>
        <w:rPr>
          <w:rFonts w:cs="Arial"/>
          <w:b/>
          <w:vanish/>
          <w:specVanish/>
        </w:rPr>
      </w:pPr>
      <w:r w:rsidRPr="002D2A8F">
        <w:rPr>
          <w:rFonts w:cs="Arial"/>
          <w:b/>
        </w:rPr>
        <w:t>Legal, Valid, and Binding Obligations.</w:t>
      </w:r>
    </w:p>
    <w:p w:rsidRPr="002D2A8F" w:rsidR="002D54C4" w:rsidP="002D54C4" w:rsidRDefault="002D54C4" w14:paraId="4F5ED030" w14:textId="77777777">
      <w:pPr>
        <w:pStyle w:val="zGNormal"/>
      </w:pPr>
      <w:r w:rsidRPr="002D2A8F">
        <w:t xml:space="preserve"> This PPA contains the legal, valid, and binding obligations of Seller that are enforceable in accordance with their terms, except as the enforceability may be limited by bankruptcy, insolvency, reorganization, or similar laws relating to or affecting the enforcement of creditors’ rights generally or by general equitable principles, regardless of whether the enforceability is considered in a proceeding in equity or at law.</w:t>
      </w:r>
    </w:p>
    <w:p w:rsidRPr="002D2A8F" w:rsidR="002D54C4" w:rsidP="008759EF" w:rsidRDefault="002D54C4" w14:paraId="0365A013" w14:textId="77777777">
      <w:pPr>
        <w:pStyle w:val="zGTC03"/>
        <w:rPr>
          <w:rFonts w:cs="Arial"/>
          <w:b/>
          <w:vanish/>
          <w:specVanish/>
        </w:rPr>
      </w:pPr>
      <w:r w:rsidRPr="002D2A8F">
        <w:rPr>
          <w:rFonts w:cs="Arial"/>
          <w:b/>
        </w:rPr>
        <w:t>No Proceedings Impacting Legality, Validity, or Enforceability of this PPA.</w:t>
      </w:r>
    </w:p>
    <w:p w:rsidRPr="002D2A8F" w:rsidR="002D54C4" w:rsidP="002D54C4" w:rsidRDefault="002D54C4" w14:paraId="6CBABC30" w14:textId="776FC268">
      <w:pPr>
        <w:pStyle w:val="zGNormal"/>
      </w:pPr>
      <w:r w:rsidRPr="002D2A8F">
        <w:t xml:space="preserve"> </w:t>
      </w:r>
      <w:r w:rsidR="00C335F7">
        <w:t>As of the Effective Date, t</w:t>
      </w:r>
      <w:r w:rsidRPr="002D2A8F">
        <w:t>here is no pending, or to the knowledge of Seller, threatened action or proceeding affecting Seller before any Governmental Authority that purports to affect the legality, validity, or enforceability of this PPA or that could reasonably be expected to have a material adverse effect on Seller.</w:t>
      </w:r>
    </w:p>
    <w:p w:rsidRPr="002D2A8F" w:rsidR="002D54C4" w:rsidP="008759EF" w:rsidRDefault="002D54C4" w14:paraId="52D25B9F" w14:textId="3D0094DB">
      <w:pPr>
        <w:pStyle w:val="zGTC03"/>
        <w:rPr>
          <w:rFonts w:cs="Arial"/>
          <w:b/>
          <w:vanish/>
          <w:specVanish/>
        </w:rPr>
      </w:pPr>
      <w:r w:rsidRPr="002D2A8F">
        <w:rPr>
          <w:rFonts w:cs="Arial"/>
          <w:b/>
        </w:rPr>
        <w:t>No Bankruptcy Proceeding.</w:t>
      </w:r>
    </w:p>
    <w:p w:rsidRPr="002D2A8F" w:rsidR="002D54C4" w:rsidP="002D54C4" w:rsidRDefault="002D54C4" w14:paraId="6B11C909" w14:textId="77777777">
      <w:pPr>
        <w:pStyle w:val="zGNormal"/>
      </w:pPr>
      <w:r w:rsidRPr="002D2A8F">
        <w:t xml:space="preserve"> There are no bankruptcy proceedings pending or being contemplated by Seller or, to Seller’s knowledge, threatened against Seller.</w:t>
      </w:r>
    </w:p>
    <w:p w:rsidRPr="002D2A8F" w:rsidR="002D54C4" w:rsidP="00BB7345" w:rsidRDefault="002D54C4" w14:paraId="245A5C27" w14:textId="370CB57B">
      <w:pPr>
        <w:pStyle w:val="zGTC03"/>
        <w:rPr>
          <w:rFonts w:cs="Arial"/>
          <w:b/>
          <w:vanish/>
          <w:specVanish/>
        </w:rPr>
      </w:pPr>
      <w:r w:rsidRPr="002D2A8F">
        <w:rPr>
          <w:rFonts w:cs="Arial"/>
          <w:b/>
        </w:rPr>
        <w:t xml:space="preserve">No </w:t>
      </w:r>
      <w:r w:rsidRPr="002D2A8F" w:rsidR="00291D6A">
        <w:rPr>
          <w:rFonts w:cs="Arial"/>
          <w:b/>
        </w:rPr>
        <w:t>Federal Debarment</w:t>
      </w:r>
      <w:r w:rsidRPr="002D2A8F">
        <w:rPr>
          <w:rFonts w:cs="Arial"/>
          <w:b/>
        </w:rPr>
        <w:t>.</w:t>
      </w:r>
    </w:p>
    <w:p w:rsidRPr="002D2A8F" w:rsidR="002D54C4" w:rsidP="002D54C4" w:rsidRDefault="002D54C4" w14:paraId="398DFDA4" w14:textId="77777777">
      <w:pPr>
        <w:pStyle w:val="zGNormal"/>
      </w:pPr>
      <w:r w:rsidRPr="002D2A8F">
        <w:t xml:space="preserve"> Seller is not debarred, suspended, or proposed for debarment as a contractor or subcontractor to any department, agency, or other division of the United States Government.</w:t>
      </w:r>
    </w:p>
    <w:p w:rsidRPr="002D2A8F" w:rsidR="002D54C4" w:rsidP="008759EF" w:rsidRDefault="002D54C4" w14:paraId="17483C45" w14:textId="0A772AC3">
      <w:pPr>
        <w:pStyle w:val="zGTC03"/>
        <w:rPr>
          <w:rFonts w:cs="Arial"/>
          <w:b/>
          <w:vanish/>
          <w:specVanish/>
        </w:rPr>
      </w:pPr>
      <w:r w:rsidRPr="002D2A8F">
        <w:rPr>
          <w:rFonts w:cs="Arial"/>
          <w:b/>
        </w:rPr>
        <w:t>VIE Certification.</w:t>
      </w:r>
    </w:p>
    <w:p w:rsidR="002D54C4" w:rsidP="002D54C4" w:rsidRDefault="002D54C4" w14:paraId="493CE5AD" w14:textId="211E5561">
      <w:pPr>
        <w:pStyle w:val="zGNormal"/>
        <w:rPr>
          <w:b/>
        </w:rPr>
      </w:pPr>
      <w:r w:rsidRPr="002D2A8F">
        <w:rPr>
          <w:b/>
        </w:rPr>
        <w:t xml:space="preserve"> </w:t>
      </w:r>
    </w:p>
    <w:p w:rsidRPr="00CC02E5" w:rsidR="00CC02E5" w:rsidP="004E786D" w:rsidRDefault="00CC02E5" w14:paraId="65F49CDF" w14:textId="06C1D5FC">
      <w:pPr>
        <w:numPr>
          <w:ilvl w:val="3"/>
          <w:numId w:val="27"/>
        </w:numPr>
        <w:spacing w:before="120" w:after="120" w:line="240" w:lineRule="auto"/>
        <w:jc w:val="both"/>
        <w:rPr>
          <w:rFonts w:ascii="Arial" w:hAnsi="Arial" w:eastAsia="Times New Roman" w:cs="Times New Roman"/>
          <w:kern w:val="2"/>
          <w:sz w:val="20"/>
          <w:szCs w:val="24"/>
          <w14:ligatures w14:val="standardContextual"/>
        </w:rPr>
      </w:pPr>
      <w:r w:rsidRPr="00CC02E5">
        <w:rPr>
          <w:rFonts w:ascii="Arial" w:hAnsi="Arial" w:eastAsia="Times New Roman" w:cs="Times New Roman"/>
          <w:kern w:val="2"/>
          <w:sz w:val="20"/>
          <w:szCs w:val="24"/>
          <w14:ligatures w14:val="standardContextual"/>
        </w:rPr>
        <w:t xml:space="preserve">As of the Effective Date, Seller has determined that Seller does </w:t>
      </w:r>
      <w:r w:rsidRPr="00F5521A">
        <w:rPr>
          <w:rFonts w:ascii="Arial" w:hAnsi="Arial"/>
          <w:kern w:val="2"/>
          <w:sz w:val="20"/>
          <w14:ligatures w14:val="standardContextual"/>
        </w:rPr>
        <w:t xml:space="preserve">not </w:t>
      </w:r>
      <w:r w:rsidRPr="00CC02E5">
        <w:rPr>
          <w:rFonts w:ascii="Arial" w:hAnsi="Arial" w:eastAsia="Times New Roman" w:cs="Times New Roman"/>
          <w:kern w:val="2"/>
          <w:sz w:val="20"/>
          <w:szCs w:val="24"/>
          <w14:ligatures w14:val="standardContextual"/>
        </w:rPr>
        <w:t>constitute a VIE for which GPC is the Primary Beneficiary and therefore that GPC is not</w:t>
      </w:r>
      <w:r w:rsidRPr="00F5521A">
        <w:rPr>
          <w:rFonts w:ascii="Arial" w:hAnsi="Arial"/>
          <w:kern w:val="2"/>
          <w:sz w:val="20"/>
          <w14:ligatures w14:val="standardContextual"/>
        </w:rPr>
        <w:t xml:space="preserve"> required </w:t>
      </w:r>
      <w:r w:rsidRPr="00261AEB">
        <w:rPr>
          <w:rFonts w:ascii="Arial" w:hAnsi="Arial"/>
          <w:kern w:val="2"/>
          <w:sz w:val="20"/>
          <w14:ligatures w14:val="standardContextual"/>
        </w:rPr>
        <w:t xml:space="preserve">to consolidate Seller or any of </w:t>
      </w:r>
      <w:r w:rsidRPr="00CC02E5">
        <w:rPr>
          <w:rFonts w:ascii="Arial" w:hAnsi="Arial" w:eastAsia="Times New Roman" w:cs="Times New Roman"/>
          <w:kern w:val="2"/>
          <w:sz w:val="20"/>
          <w:szCs w:val="24"/>
          <w14:ligatures w14:val="standardContextual"/>
        </w:rPr>
        <w:t>its</w:t>
      </w:r>
      <w:r w:rsidRPr="00261AEB">
        <w:rPr>
          <w:rFonts w:ascii="Arial" w:hAnsi="Arial"/>
          <w:kern w:val="2"/>
          <w:sz w:val="20"/>
          <w14:ligatures w14:val="standardContextual"/>
        </w:rPr>
        <w:t xml:space="preserve"> Affiliates in GPC’s financial statements</w:t>
      </w:r>
      <w:r w:rsidRPr="00CC02E5">
        <w:rPr>
          <w:rFonts w:ascii="Arial" w:hAnsi="Arial" w:eastAsia="Times New Roman" w:cs="Times New Roman"/>
          <w:kern w:val="2"/>
          <w:sz w:val="20"/>
          <w:szCs w:val="24"/>
          <w14:ligatures w14:val="standardContextual"/>
        </w:rPr>
        <w:t xml:space="preserve"> under ASC Topic 810 (Consolidation) and related applicable accounting standards (“</w:t>
      </w:r>
      <w:r w:rsidRPr="00CC02E5">
        <w:rPr>
          <w:rFonts w:ascii="Arial" w:hAnsi="Arial" w:eastAsia="Times New Roman" w:cs="Times New Roman"/>
          <w:b/>
          <w:kern w:val="2"/>
          <w:sz w:val="20"/>
          <w:szCs w:val="24"/>
          <w14:ligatures w14:val="standardContextual"/>
        </w:rPr>
        <w:t>GPC Consolidation</w:t>
      </w:r>
      <w:r w:rsidRPr="00CC02E5">
        <w:rPr>
          <w:rFonts w:ascii="Arial" w:hAnsi="Arial" w:eastAsia="Times New Roman" w:cs="Times New Roman"/>
          <w:kern w:val="2"/>
          <w:sz w:val="20"/>
          <w:szCs w:val="24"/>
          <w14:ligatures w14:val="standardContextual"/>
        </w:rPr>
        <w:t>”) as in effect on the Effective Date (“</w:t>
      </w:r>
      <w:r w:rsidRPr="00CC02E5">
        <w:rPr>
          <w:rFonts w:ascii="Arial" w:hAnsi="Arial" w:eastAsia="Times New Roman" w:cs="Times New Roman"/>
          <w:b/>
          <w:bCs/>
          <w:kern w:val="2"/>
          <w:sz w:val="20"/>
          <w:szCs w:val="24"/>
          <w14:ligatures w14:val="standardContextual"/>
        </w:rPr>
        <w:t>Effective Date Accounting Standards</w:t>
      </w:r>
      <w:r w:rsidRPr="00CC02E5">
        <w:rPr>
          <w:rFonts w:ascii="Arial" w:hAnsi="Arial" w:eastAsia="Times New Roman" w:cs="Times New Roman"/>
          <w:kern w:val="2"/>
          <w:sz w:val="20"/>
          <w:szCs w:val="24"/>
          <w14:ligatures w14:val="standardContextual"/>
        </w:rPr>
        <w:t>”).</w:t>
      </w:r>
    </w:p>
    <w:p w:rsidRPr="00CC02E5" w:rsidR="00CC02E5" w:rsidP="00C27F28" w:rsidRDefault="00CC02E5" w14:paraId="74330E38" w14:textId="2923C005">
      <w:pPr>
        <w:pStyle w:val="zGTC04"/>
        <w:spacing w:after="120"/>
        <w:rPr>
          <w:kern w:val="2"/>
          <w14:ligatures w14:val="standardContextual"/>
        </w:rPr>
      </w:pPr>
      <w:r w:rsidRPr="00CC02E5">
        <w:rPr>
          <w:kern w:val="2"/>
          <w14:ligatures w14:val="standardContextual"/>
        </w:rPr>
        <w:t>Seller must not take any action that would reasonably cause, and must take any commercially reasonable action necessary to avoid, GPC Consolidation.</w:t>
      </w:r>
    </w:p>
    <w:p w:rsidRPr="00CC02E5" w:rsidR="00CC02E5" w:rsidP="00C27F28" w:rsidRDefault="00CC02E5" w14:paraId="65B57A2B" w14:textId="7E3D565A">
      <w:pPr>
        <w:pStyle w:val="zGTC04"/>
        <w:spacing w:after="120"/>
        <w:rPr>
          <w:kern w:val="2"/>
          <w14:ligatures w14:val="standardContextual"/>
        </w:rPr>
      </w:pPr>
      <w:r w:rsidRPr="00261AEB">
        <w:rPr>
          <w:kern w:val="2"/>
          <w14:ligatures w14:val="standardContextual"/>
        </w:rPr>
        <w:lastRenderedPageBreak/>
        <w:t xml:space="preserve">Seller must promptly notify GPC </w:t>
      </w:r>
      <w:r w:rsidRPr="00CC02E5">
        <w:rPr>
          <w:kern w:val="2"/>
          <w14:ligatures w14:val="standardContextual"/>
        </w:rPr>
        <w:t>of</w:t>
      </w:r>
      <w:r w:rsidRPr="00261AEB">
        <w:rPr>
          <w:kern w:val="2"/>
          <w14:ligatures w14:val="standardContextual"/>
        </w:rPr>
        <w:t xml:space="preserve"> any determination made by Seller or Seller’s independent auditor that</w:t>
      </w:r>
      <w:r w:rsidRPr="00CC02E5">
        <w:rPr>
          <w:kern w:val="2"/>
          <w14:ligatures w14:val="standardContextual"/>
        </w:rPr>
        <w:t>: (a) Seller’s VIE status has changed; or (b)</w:t>
      </w:r>
      <w:r w:rsidRPr="00261AEB">
        <w:rPr>
          <w:kern w:val="2"/>
          <w14:ligatures w14:val="standardContextual"/>
        </w:rPr>
        <w:t xml:space="preserve"> Seller constitutes a VIE for which GPC is the Primary Beneficiary, </w:t>
      </w:r>
      <w:r w:rsidR="000C1C91">
        <w:rPr>
          <w:kern w:val="2"/>
          <w14:ligatures w14:val="standardContextual"/>
        </w:rPr>
        <w:t>considering this PPA</w:t>
      </w:r>
      <w:r w:rsidRPr="00261AEB" w:rsidR="000C1C91">
        <w:rPr>
          <w:kern w:val="2"/>
          <w14:ligatures w14:val="standardContextual"/>
        </w:rPr>
        <w:t xml:space="preserve"> </w:t>
      </w:r>
      <w:r w:rsidRPr="00261AEB">
        <w:rPr>
          <w:kern w:val="2"/>
          <w14:ligatures w14:val="standardContextual"/>
        </w:rPr>
        <w:t xml:space="preserve">individually or together with any other power purchase </w:t>
      </w:r>
      <w:r w:rsidRPr="00CC02E5">
        <w:rPr>
          <w:kern w:val="2"/>
          <w14:ligatures w14:val="standardContextual"/>
        </w:rPr>
        <w:t>agreement</w:t>
      </w:r>
      <w:r w:rsidRPr="00261AEB">
        <w:rPr>
          <w:kern w:val="2"/>
          <w14:ligatures w14:val="standardContextual"/>
        </w:rPr>
        <w:t xml:space="preserve"> between Seller and GPC. </w:t>
      </w:r>
    </w:p>
    <w:p w:rsidRPr="00CC02E5" w:rsidR="00CC02E5" w:rsidP="00C27F28" w:rsidRDefault="00CC02E5" w14:paraId="7E1CBF53" w14:textId="731EF866">
      <w:pPr>
        <w:pStyle w:val="zGTC04"/>
        <w:spacing w:after="120"/>
        <w:rPr>
          <w:kern w:val="2"/>
          <w14:ligatures w14:val="standardContextual"/>
        </w:rPr>
      </w:pPr>
      <w:r>
        <w:rPr>
          <w:kern w:val="2"/>
          <w14:ligatures w14:val="standardContextual"/>
        </w:rPr>
        <w:t xml:space="preserve"> </w:t>
      </w:r>
      <w:r w:rsidRPr="00CC02E5">
        <w:rPr>
          <w:kern w:val="2"/>
          <w14:ligatures w14:val="standardContextual"/>
        </w:rPr>
        <w:t>If during the Term (x) existing accounting standards are modified or new standards are adopted and implemented by FASB that supersede the Effective Date Accounting Standards (“</w:t>
      </w:r>
      <w:r w:rsidRPr="00CC02E5">
        <w:rPr>
          <w:b/>
          <w:bCs/>
          <w:kern w:val="2"/>
          <w14:ligatures w14:val="standardContextual"/>
        </w:rPr>
        <w:t>Change in Accounting Standards</w:t>
      </w:r>
      <w:r w:rsidRPr="00CC02E5">
        <w:rPr>
          <w:kern w:val="2"/>
          <w14:ligatures w14:val="standardContextual"/>
        </w:rPr>
        <w:t xml:space="preserve">”) and GPC or its independent auditor determines in good faith that GPC Consolidation is required, Seller and GPC must, as soon as practicable, cooperate in good faith to implement contractual or operational modifications to avoid such determination. If, despite the Parties’ best efforts, the Parties are unable to avoid the GPC Consolidation </w:t>
      </w:r>
      <w:r w:rsidR="000C1C91">
        <w:rPr>
          <w:kern w:val="2"/>
          <w14:ligatures w14:val="standardContextual"/>
        </w:rPr>
        <w:t>d</w:t>
      </w:r>
      <w:r w:rsidRPr="00CC02E5">
        <w:rPr>
          <w:kern w:val="2"/>
          <w14:ligatures w14:val="standardContextual"/>
        </w:rPr>
        <w:t>etermination before the fifth Business Day before the end of the first reporting period during which such GPC Consolidation is required, GPC may terminate this PPA upon notice to Seller under this Section 2.1.8 and the Parties will have no further liability or obligation except for any liability or obligation arising before the termination.</w:t>
      </w:r>
    </w:p>
    <w:p w:rsidRPr="008B0481" w:rsidR="00CC02E5" w:rsidP="00C27F28" w:rsidRDefault="00CC02E5" w14:paraId="2FE4CF16" w14:textId="062C5CB1">
      <w:pPr>
        <w:pStyle w:val="zGTC04"/>
        <w:spacing w:after="120"/>
        <w:rPr>
          <w:kern w:val="2"/>
          <w14:ligatures w14:val="standardContextual"/>
        </w:rPr>
      </w:pPr>
      <w:r w:rsidRPr="00261AEB">
        <w:rPr>
          <w:kern w:val="2"/>
          <w14:ligatures w14:val="standardContextual"/>
        </w:rPr>
        <w:t xml:space="preserve">Seller must provide to GPC a VIE certification </w:t>
      </w:r>
      <w:r w:rsidRPr="008B0481">
        <w:rPr>
          <w:kern w:val="2"/>
          <w14:ligatures w14:val="standardContextual"/>
        </w:rPr>
        <w:t xml:space="preserve">substantially </w:t>
      </w:r>
      <w:r w:rsidRPr="00261AEB">
        <w:rPr>
          <w:kern w:val="2"/>
          <w14:ligatures w14:val="standardContextual"/>
        </w:rPr>
        <w:t xml:space="preserve">in the form of Exhibit </w:t>
      </w:r>
      <w:r w:rsidRPr="00261AEB" w:rsidR="0065415B">
        <w:rPr>
          <w:kern w:val="2"/>
          <w14:ligatures w14:val="standardContextual"/>
        </w:rPr>
        <w:t>M</w:t>
      </w:r>
      <w:r w:rsidRPr="00261AEB">
        <w:rPr>
          <w:kern w:val="2"/>
          <w14:ligatures w14:val="standardContextual"/>
        </w:rPr>
        <w:t xml:space="preserve"> (</w:t>
      </w:r>
      <w:r w:rsidRPr="00261AEB">
        <w:rPr>
          <w:i/>
          <w:kern w:val="2"/>
          <w14:ligatures w14:val="standardContextual"/>
        </w:rPr>
        <w:t>VIE Certification</w:t>
      </w:r>
      <w:r w:rsidRPr="00261AEB">
        <w:rPr>
          <w:kern w:val="2"/>
          <w14:ligatures w14:val="standardContextual"/>
        </w:rPr>
        <w:t>) signed by the chief financial officer of Seller: (</w:t>
      </w:r>
      <w:r w:rsidRPr="008B0481">
        <w:rPr>
          <w:kern w:val="2"/>
          <w14:ligatures w14:val="standardContextual"/>
        </w:rPr>
        <w:t>a</w:t>
      </w:r>
      <w:r w:rsidRPr="00261AEB">
        <w:rPr>
          <w:kern w:val="2"/>
          <w14:ligatures w14:val="standardContextual"/>
        </w:rPr>
        <w:t>) at the time of execution of this PPA</w:t>
      </w:r>
      <w:r w:rsidRPr="008B0481">
        <w:rPr>
          <w:kern w:val="2"/>
          <w14:ligatures w14:val="standardContextual"/>
        </w:rPr>
        <w:t>; (b</w:t>
      </w:r>
      <w:r w:rsidRPr="00261AEB">
        <w:rPr>
          <w:kern w:val="2"/>
          <w14:ligatures w14:val="standardContextual"/>
        </w:rPr>
        <w:t xml:space="preserve">) before each </w:t>
      </w:r>
      <w:r w:rsidRPr="008B0481">
        <w:rPr>
          <w:kern w:val="2"/>
          <w14:ligatures w14:val="standardContextual"/>
        </w:rPr>
        <w:t>Delivery Commencement Date</w:t>
      </w:r>
      <w:r w:rsidRPr="00261AEB">
        <w:rPr>
          <w:kern w:val="2"/>
          <w14:ligatures w14:val="standardContextual"/>
        </w:rPr>
        <w:t xml:space="preserve"> anniversary during the Term</w:t>
      </w:r>
      <w:r w:rsidRPr="008B0481">
        <w:rPr>
          <w:kern w:val="2"/>
          <w14:ligatures w14:val="standardContextual"/>
        </w:rPr>
        <w:t>; (c</w:t>
      </w:r>
      <w:r w:rsidRPr="00261AEB">
        <w:rPr>
          <w:kern w:val="2"/>
          <w14:ligatures w14:val="standardContextual"/>
        </w:rPr>
        <w:t>) at any time this PPA is amended by the Parties</w:t>
      </w:r>
      <w:r w:rsidR="00461CCD">
        <w:rPr>
          <w:kern w:val="2"/>
          <w14:ligatures w14:val="standardContextual"/>
        </w:rPr>
        <w:t>; and (</w:t>
      </w:r>
      <w:r w:rsidR="001457E9">
        <w:rPr>
          <w:kern w:val="2"/>
          <w14:ligatures w14:val="standardContextual"/>
        </w:rPr>
        <w:t>d) with any Change of Control Transaction</w:t>
      </w:r>
      <w:r w:rsidRPr="008B0481">
        <w:rPr>
          <w:kern w:val="2"/>
          <w14:ligatures w14:val="standardContextual"/>
        </w:rPr>
        <w:t xml:space="preserve">. </w:t>
      </w:r>
    </w:p>
    <w:p w:rsidRPr="00261AEB" w:rsidR="00CC02E5" w:rsidP="00C27F28" w:rsidRDefault="00CC02E5" w14:paraId="0D1F1914" w14:textId="018C83AD">
      <w:pPr>
        <w:pStyle w:val="zGTC04"/>
        <w:spacing w:after="120"/>
      </w:pPr>
      <w:r w:rsidRPr="008B0481">
        <w:rPr>
          <w:kern w:val="2"/>
          <w14:ligatures w14:val="standardContextual"/>
        </w:rPr>
        <w:t>If existing accounting standards are modified</w:t>
      </w:r>
      <w:r w:rsidRPr="00F5521A">
        <w:rPr>
          <w:kern w:val="2"/>
          <w14:ligatures w14:val="standardContextual"/>
        </w:rPr>
        <w:t xml:space="preserve"> or </w:t>
      </w:r>
      <w:r w:rsidRPr="008B0481">
        <w:rPr>
          <w:kern w:val="2"/>
          <w14:ligatures w14:val="standardContextual"/>
        </w:rPr>
        <w:t>new standards are adopted that supersede the Effective Date Accounting Standards, Seller must</w:t>
      </w:r>
      <w:r w:rsidRPr="00261AEB">
        <w:rPr>
          <w:kern w:val="2"/>
          <w14:ligatures w14:val="standardContextual"/>
        </w:rPr>
        <w:t xml:space="preserve"> provide GPC </w:t>
      </w:r>
      <w:r w:rsidRPr="008B0481">
        <w:rPr>
          <w:kern w:val="2"/>
          <w14:ligatures w14:val="standardContextual"/>
        </w:rPr>
        <w:t xml:space="preserve">with </w:t>
      </w:r>
      <w:r w:rsidRPr="00261AEB">
        <w:rPr>
          <w:kern w:val="2"/>
          <w14:ligatures w14:val="standardContextual"/>
        </w:rPr>
        <w:t xml:space="preserve">a </w:t>
      </w:r>
      <w:r w:rsidRPr="008B0481">
        <w:rPr>
          <w:kern w:val="2"/>
          <w14:ligatures w14:val="standardContextual"/>
        </w:rPr>
        <w:t>then current</w:t>
      </w:r>
      <w:r w:rsidRPr="00261AEB">
        <w:rPr>
          <w:kern w:val="2"/>
          <w14:ligatures w14:val="standardContextual"/>
        </w:rPr>
        <w:t xml:space="preserve"> certification in the form of Exhibit </w:t>
      </w:r>
      <w:r w:rsidR="00845E29">
        <w:rPr>
          <w:kern w:val="2"/>
          <w14:ligatures w14:val="standardContextual"/>
        </w:rPr>
        <w:t>M</w:t>
      </w:r>
      <w:r w:rsidRPr="008B0481">
        <w:rPr>
          <w:kern w:val="2"/>
          <w14:ligatures w14:val="standardContextual"/>
        </w:rPr>
        <w:t xml:space="preserve">, modified accordingly to account for and comply with any modification to existing accounting standards or adoption of new accounting standards. </w:t>
      </w:r>
    </w:p>
    <w:p w:rsidRPr="002D2A8F" w:rsidR="002D54C4" w:rsidP="008759EF" w:rsidRDefault="002D54C4" w14:paraId="40440A0B" w14:textId="77777777">
      <w:pPr>
        <w:pStyle w:val="zGTC03"/>
        <w:rPr>
          <w:rFonts w:cs="Arial"/>
          <w:b/>
          <w:vanish/>
          <w:specVanish/>
        </w:rPr>
      </w:pPr>
      <w:r w:rsidRPr="002D2A8F">
        <w:rPr>
          <w:rFonts w:cs="Arial"/>
          <w:b/>
        </w:rPr>
        <w:t xml:space="preserve">Facility Modifications </w:t>
      </w:r>
      <w:bookmarkStart w:name="_Hlk158375077" w:id="70"/>
      <w:r w:rsidRPr="002D2A8F">
        <w:rPr>
          <w:rFonts w:cs="Arial"/>
          <w:b/>
        </w:rPr>
        <w:t>Resulting in Material Adverse Effect</w:t>
      </w:r>
      <w:bookmarkEnd w:id="70"/>
      <w:r w:rsidRPr="002D2A8F">
        <w:rPr>
          <w:rFonts w:cs="Arial"/>
          <w:b/>
        </w:rPr>
        <w:t>.</w:t>
      </w:r>
    </w:p>
    <w:p w:rsidRPr="002D2A8F" w:rsidR="002D54C4" w:rsidP="002D54C4" w:rsidRDefault="002D54C4" w14:paraId="0D422CEE" w14:textId="22BE47A7">
      <w:pPr>
        <w:pStyle w:val="zGNormal"/>
      </w:pPr>
      <w:r w:rsidRPr="002D2A8F">
        <w:t xml:space="preserve"> No modification to, or expansion of, the Facility that would have a material adverse effect on GPC’s rights or obligations under this PPA will occur without GPC</w:t>
      </w:r>
      <w:r w:rsidRPr="002D2A8F" w:rsidR="00CC3F03">
        <w:t>’</w:t>
      </w:r>
      <w:r w:rsidRPr="002D2A8F">
        <w:t>s prior written consent, which consent will not be unreasonably withheld, conditioned, or delayed.</w:t>
      </w:r>
    </w:p>
    <w:p w:rsidRPr="002D2A8F" w:rsidR="002D54C4" w:rsidP="008759EF" w:rsidRDefault="002D54C4" w14:paraId="3EC24D46" w14:textId="77777777">
      <w:pPr>
        <w:pStyle w:val="zGTC03"/>
        <w:rPr>
          <w:rFonts w:cs="Arial"/>
          <w:b/>
          <w:vanish/>
          <w:specVanish/>
        </w:rPr>
      </w:pPr>
      <w:r w:rsidRPr="002D2A8F">
        <w:rPr>
          <w:rFonts w:cs="Arial"/>
          <w:b/>
        </w:rPr>
        <w:t>Sale, Lease, Transfer, or Other Disposal of Business or Assets Resulting in Material Adverse Effect.</w:t>
      </w:r>
    </w:p>
    <w:p w:rsidRPr="002D2A8F" w:rsidR="002D54C4" w:rsidP="0086731F" w:rsidRDefault="002D54C4" w14:paraId="3F1B53B7" w14:textId="5E24420D">
      <w:pPr>
        <w:pStyle w:val="zGNormal"/>
      </w:pPr>
      <w:r w:rsidRPr="002D2A8F">
        <w:t xml:space="preserve"> Seller must not sell, lease, transfer, or otherwise dispose of all or substantially all of its business or assets, whether now owned or later acquired, to the extent that the sale, lease, transfer, or other disposition would have a material adverse effect on GPC’s rights or obligations under this PPA without GPC’s prior written consent, </w:t>
      </w:r>
      <w:r w:rsidRPr="002D2A8F">
        <w:rPr>
          <w:rStyle w:val="DeltaViewInsertion"/>
          <w:color w:val="auto"/>
          <w:u w:val="none"/>
        </w:rPr>
        <w:t>which consent will not be unreasonably withheld, conditioned, or delayed</w:t>
      </w:r>
      <w:r w:rsidR="00E46862">
        <w:rPr>
          <w:rStyle w:val="DeltaViewInsertion"/>
          <w:color w:val="auto"/>
          <w:u w:val="none"/>
        </w:rPr>
        <w:t>,</w:t>
      </w:r>
      <w:r w:rsidR="00D61F9D">
        <w:rPr>
          <w:rStyle w:val="DeltaViewInsertion"/>
          <w:color w:val="auto"/>
          <w:u w:val="none"/>
        </w:rPr>
        <w:t xml:space="preserve"> subject to </w:t>
      </w:r>
      <w:r w:rsidR="007B0422">
        <w:rPr>
          <w:rStyle w:val="DeltaViewInsertion"/>
          <w:color w:val="auto"/>
          <w:u w:val="none"/>
        </w:rPr>
        <w:t xml:space="preserve">Seller’s compliance with </w:t>
      </w:r>
      <w:r w:rsidR="00D81DD7">
        <w:rPr>
          <w:rStyle w:val="DeltaViewInsertion"/>
          <w:color w:val="auto"/>
          <w:u w:val="none"/>
        </w:rPr>
        <w:t xml:space="preserve">all requirements in </w:t>
      </w:r>
      <w:r w:rsidR="00D61F9D">
        <w:rPr>
          <w:rStyle w:val="DeltaViewInsertion"/>
          <w:color w:val="auto"/>
          <w:u w:val="none"/>
        </w:rPr>
        <w:t>Part 18</w:t>
      </w:r>
      <w:r w:rsidR="00433642">
        <w:rPr>
          <w:rStyle w:val="DeltaViewInsertion"/>
          <w:color w:val="auto"/>
          <w:u w:val="none"/>
        </w:rPr>
        <w:t xml:space="preserve"> (</w:t>
      </w:r>
      <w:r w:rsidRPr="00433642" w:rsidR="00433642">
        <w:rPr>
          <w:rStyle w:val="DeltaViewInsertion"/>
          <w:i/>
          <w:iCs/>
          <w:color w:val="auto"/>
          <w:u w:val="none"/>
        </w:rPr>
        <w:t>Assignment, Transfers, and Changes of Control</w:t>
      </w:r>
      <w:r w:rsidR="00433642">
        <w:rPr>
          <w:rStyle w:val="DeltaViewInsertion"/>
          <w:color w:val="auto"/>
          <w:u w:val="none"/>
        </w:rPr>
        <w:t>)</w:t>
      </w:r>
      <w:r w:rsidRPr="002D2A8F">
        <w:t>.</w:t>
      </w:r>
      <w:r w:rsidR="00810A25">
        <w:t xml:space="preserve"> </w:t>
      </w:r>
    </w:p>
    <w:p w:rsidRPr="002D2A8F" w:rsidR="002D54C4" w:rsidP="008759EF" w:rsidRDefault="002D54C4" w14:paraId="166772CB" w14:textId="5428F392">
      <w:pPr>
        <w:pStyle w:val="zGTC03"/>
        <w:rPr>
          <w:rStyle w:val="DeltaViewInsertion"/>
          <w:rFonts w:cs="Arial"/>
          <w:b/>
          <w:vanish/>
          <w:color w:val="auto"/>
          <w:u w:val="none"/>
          <w:specVanish/>
        </w:rPr>
      </w:pPr>
      <w:r w:rsidRPr="002D2A8F">
        <w:rPr>
          <w:rStyle w:val="DeltaViewInsertion"/>
          <w:rFonts w:cs="Arial"/>
          <w:b/>
          <w:color w:val="auto"/>
          <w:u w:val="none"/>
        </w:rPr>
        <w:t>Legal Right to Possess and Operate Facility and Deliver Capacity, Energy, and Ancillary Services.</w:t>
      </w:r>
    </w:p>
    <w:p w:rsidRPr="002D2A8F" w:rsidR="002D54C4" w:rsidDel="00FE5E58" w:rsidP="00330D75" w:rsidRDefault="009A4D3B" w14:paraId="19AB8B06" w14:textId="1225BB95">
      <w:pPr>
        <w:pStyle w:val="zGNormal"/>
        <w:rPr>
          <w:rStyle w:val="DeltaViewInsertion"/>
          <w:color w:val="auto"/>
          <w:u w:val="none"/>
        </w:rPr>
      </w:pPr>
      <w:r w:rsidRPr="002D2A8F">
        <w:rPr>
          <w:rStyle w:val="DeltaViewInsertion"/>
          <w:b/>
          <w:color w:val="auto"/>
          <w:u w:val="none"/>
        </w:rPr>
        <w:t xml:space="preserve"> </w:t>
      </w:r>
      <w:r w:rsidRPr="002D2A8F" w:rsidR="002D54C4">
        <w:rPr>
          <w:rStyle w:val="DeltaViewInsertion"/>
          <w:color w:val="auto"/>
          <w:u w:val="none"/>
        </w:rPr>
        <w:t xml:space="preserve">Except as may be allowed under </w:t>
      </w:r>
      <w:r w:rsidRPr="00534192" w:rsidR="002D54C4">
        <w:rPr>
          <w:rStyle w:val="DeltaViewInsertion"/>
          <w:color w:val="auto"/>
          <w:u w:val="none"/>
        </w:rPr>
        <w:t>Sections 2.1.10 (</w:t>
      </w:r>
      <w:r w:rsidRPr="00534192" w:rsidR="002D54C4">
        <w:rPr>
          <w:rStyle w:val="DeltaViewInsertion"/>
          <w:i/>
          <w:color w:val="auto"/>
          <w:u w:val="none"/>
        </w:rPr>
        <w:t>Sa</w:t>
      </w:r>
      <w:r w:rsidRPr="00534192" w:rsidR="002D54C4">
        <w:rPr>
          <w:i/>
        </w:rPr>
        <w:t>le, Lease, Transfer, or Other Disposal of Business or Assets Resulting in Material Adverse Effect</w:t>
      </w:r>
      <w:r w:rsidRPr="00534192" w:rsidR="002D54C4">
        <w:rPr>
          <w:rStyle w:val="DeltaViewInsertion"/>
          <w:color w:val="auto"/>
          <w:u w:val="none"/>
        </w:rPr>
        <w:t xml:space="preserve">), </w:t>
      </w:r>
      <w:r w:rsidRPr="00534192" w:rsidR="009C3B61">
        <w:rPr>
          <w:rStyle w:val="DeltaViewInsertion"/>
          <w:color w:val="auto"/>
          <w:w w:val="0"/>
          <w:u w:val="none"/>
        </w:rPr>
        <w:t>18.2 (</w:t>
      </w:r>
      <w:r w:rsidR="00983417">
        <w:rPr>
          <w:rStyle w:val="DeltaViewInsertion"/>
          <w:i/>
          <w:color w:val="auto"/>
          <w:w w:val="0"/>
          <w:u w:val="none"/>
        </w:rPr>
        <w:t>Financing Assign</w:t>
      </w:r>
      <w:r w:rsidR="00365071">
        <w:rPr>
          <w:rStyle w:val="DeltaViewInsertion"/>
          <w:i/>
          <w:color w:val="auto"/>
          <w:w w:val="0"/>
          <w:u w:val="none"/>
        </w:rPr>
        <w:t>ment; Estoppels</w:t>
      </w:r>
      <w:r w:rsidRPr="00534192" w:rsidR="009C3B61">
        <w:rPr>
          <w:rStyle w:val="DeltaViewInsertion"/>
          <w:color w:val="auto"/>
          <w:w w:val="0"/>
          <w:u w:val="none"/>
        </w:rPr>
        <w:t>)</w:t>
      </w:r>
      <w:r w:rsidRPr="001664F8" w:rsidR="002D54C4">
        <w:rPr>
          <w:rStyle w:val="DeltaViewInsertion"/>
          <w:color w:val="auto"/>
          <w:u w:val="none"/>
        </w:rPr>
        <w:t xml:space="preserve">, or any other provision of this PPA, Seller must maintain the legal right to and will possess and operate </w:t>
      </w:r>
      <w:r w:rsidRPr="002D2A8F" w:rsidR="002D54C4">
        <w:rPr>
          <w:rStyle w:val="DeltaViewInsertion"/>
          <w:color w:val="auto"/>
          <w:u w:val="none"/>
        </w:rPr>
        <w:t xml:space="preserve">the Facility and deliver the capacity, </w:t>
      </w:r>
      <w:r w:rsidR="00C3752B">
        <w:rPr>
          <w:rStyle w:val="DeltaViewInsertion"/>
          <w:color w:val="auto"/>
          <w:u w:val="none"/>
        </w:rPr>
        <w:t xml:space="preserve">energy, </w:t>
      </w:r>
      <w:r w:rsidRPr="002D2A8F" w:rsidR="002D54C4">
        <w:rPr>
          <w:rStyle w:val="DeltaViewInsertion"/>
          <w:color w:val="auto"/>
          <w:u w:val="none"/>
        </w:rPr>
        <w:t>energy</w:t>
      </w:r>
      <w:r w:rsidR="00B03118">
        <w:rPr>
          <w:rStyle w:val="DeltaViewInsertion"/>
          <w:color w:val="auto"/>
          <w:u w:val="none"/>
        </w:rPr>
        <w:t xml:space="preserve"> storage services</w:t>
      </w:r>
      <w:r w:rsidRPr="002D2A8F" w:rsidR="002D54C4">
        <w:rPr>
          <w:rStyle w:val="DeltaViewInsertion"/>
          <w:color w:val="auto"/>
          <w:u w:val="none"/>
        </w:rPr>
        <w:t xml:space="preserve">, </w:t>
      </w:r>
      <w:r w:rsidRPr="002D2A8F" w:rsidR="002D54C4">
        <w:t xml:space="preserve">and Ancillary Services </w:t>
      </w:r>
      <w:r w:rsidRPr="002D2A8F" w:rsidR="002D54C4">
        <w:rPr>
          <w:rStyle w:val="DeltaViewInsertion"/>
          <w:color w:val="auto"/>
          <w:u w:val="none"/>
        </w:rPr>
        <w:t xml:space="preserve">of the Facility to </w:t>
      </w:r>
      <w:r w:rsidRPr="002D2A8F" w:rsidR="002D54C4">
        <w:t>GPC</w:t>
      </w:r>
      <w:r w:rsidRPr="002D2A8F" w:rsidR="002D54C4">
        <w:rPr>
          <w:rStyle w:val="DeltaViewInsertion"/>
          <w:color w:val="auto"/>
          <w:u w:val="none"/>
        </w:rPr>
        <w:t xml:space="preserve"> in accordance</w:t>
      </w:r>
      <w:r w:rsidR="00DB0D05">
        <w:rPr>
          <w:rStyle w:val="DeltaViewInsertion"/>
          <w:color w:val="auto"/>
          <w:u w:val="none"/>
        </w:rPr>
        <w:t xml:space="preserve"> with</w:t>
      </w:r>
      <w:r w:rsidRPr="002D2A8F" w:rsidR="002D54C4">
        <w:rPr>
          <w:rStyle w:val="DeltaViewInsertion"/>
          <w:color w:val="auto"/>
          <w:u w:val="none"/>
        </w:rPr>
        <w:t xml:space="preserve"> this PPA</w:t>
      </w:r>
      <w:r w:rsidR="0090316B">
        <w:rPr>
          <w:rStyle w:val="DeltaViewInsertion"/>
          <w:color w:val="auto"/>
          <w:u w:val="none"/>
        </w:rPr>
        <w:t>, including maintaining the right for GPC to direct Charging Energy and Discharging Energy</w:t>
      </w:r>
      <w:r w:rsidRPr="002D2A8F" w:rsidR="002D54C4">
        <w:rPr>
          <w:rStyle w:val="DeltaViewInsertion"/>
          <w:color w:val="auto"/>
          <w:u w:val="none"/>
        </w:rPr>
        <w:t xml:space="preserve">. </w:t>
      </w:r>
    </w:p>
    <w:p w:rsidRPr="002D2A8F" w:rsidR="002D54C4" w:rsidP="008759EF" w:rsidRDefault="002D54C4" w14:paraId="65011E46" w14:textId="04E57608">
      <w:pPr>
        <w:pStyle w:val="zGTC03"/>
        <w:rPr>
          <w:rFonts w:cs="Arial"/>
          <w:b/>
          <w:vanish/>
          <w:specVanish/>
        </w:rPr>
      </w:pPr>
      <w:r w:rsidRPr="002D2A8F">
        <w:rPr>
          <w:rFonts w:cs="Arial"/>
          <w:b/>
        </w:rPr>
        <w:t>GPC</w:t>
      </w:r>
      <w:r w:rsidRPr="002D2A8F" w:rsidR="00CC3F03">
        <w:rPr>
          <w:rFonts w:cs="Arial"/>
          <w:b/>
        </w:rPr>
        <w:t>’</w:t>
      </w:r>
      <w:r w:rsidRPr="002D2A8F">
        <w:rPr>
          <w:rFonts w:cs="Arial"/>
          <w:b/>
        </w:rPr>
        <w:t>s Exclusive Right to Environmental Attributes.</w:t>
      </w:r>
    </w:p>
    <w:p w:rsidRPr="002D2A8F" w:rsidR="000D2093" w:rsidDel="00FE5E58" w:rsidP="002D54C4" w:rsidRDefault="00330D75" w14:paraId="7F440698" w14:textId="6EEC9AAF">
      <w:pPr>
        <w:pStyle w:val="zGNormal"/>
      </w:pPr>
      <w:r w:rsidRPr="002D2A8F">
        <w:t xml:space="preserve"> </w:t>
      </w:r>
      <w:r w:rsidRPr="002D2A8F" w:rsidR="002D54C4">
        <w:rPr>
          <w:rStyle w:val="DeltaViewInsertion"/>
          <w:color w:val="auto"/>
          <w:u w:val="none"/>
        </w:rPr>
        <w:t xml:space="preserve">GPC will have exclusive rights to </w:t>
      </w:r>
      <w:r w:rsidR="007060F5">
        <w:rPr>
          <w:rStyle w:val="DeltaViewInsertion"/>
          <w:color w:val="auto"/>
          <w:u w:val="none"/>
        </w:rPr>
        <w:t>a</w:t>
      </w:r>
      <w:r w:rsidR="00764263">
        <w:rPr>
          <w:rStyle w:val="DeltaViewInsertion"/>
          <w:color w:val="auto"/>
          <w:u w:val="none"/>
        </w:rPr>
        <w:t>ll</w:t>
      </w:r>
      <w:r w:rsidRPr="002D2A8F" w:rsidR="002D54C4">
        <w:rPr>
          <w:rStyle w:val="DeltaViewInsertion"/>
          <w:color w:val="auto"/>
          <w:u w:val="none"/>
        </w:rPr>
        <w:t xml:space="preserve"> Environmental Attribute</w:t>
      </w:r>
      <w:r w:rsidR="00764263">
        <w:rPr>
          <w:rStyle w:val="DeltaViewInsertion"/>
          <w:color w:val="auto"/>
          <w:u w:val="none"/>
        </w:rPr>
        <w:t>s</w:t>
      </w:r>
      <w:r w:rsidRPr="002D2A8F" w:rsidR="002D54C4">
        <w:rPr>
          <w:rStyle w:val="DeltaViewInsertion"/>
          <w:color w:val="auto"/>
          <w:u w:val="none"/>
        </w:rPr>
        <w:t xml:space="preserve"> associated with the Facility, which include the exclusive right to: (i) report to any Governmental Authority</w:t>
      </w:r>
      <w:r w:rsidRPr="002D2A8F" w:rsidR="00212C7C">
        <w:rPr>
          <w:rStyle w:val="DeltaViewInsertion"/>
          <w:color w:val="auto"/>
          <w:u w:val="none"/>
        </w:rPr>
        <w:t>,</w:t>
      </w:r>
      <w:r w:rsidRPr="002D2A8F" w:rsidR="002D54C4">
        <w:rPr>
          <w:rStyle w:val="DeltaViewInsertion"/>
          <w:color w:val="auto"/>
          <w:u w:val="none"/>
        </w:rPr>
        <w:t xml:space="preserve"> or other Person for compliance with any applicable law or other purpose, that it owns the Environmental Attributes; and (</w:t>
      </w:r>
      <w:r w:rsidRPr="002D2A8F" w:rsidR="00212C7C">
        <w:rPr>
          <w:rStyle w:val="DeltaViewInsertion"/>
          <w:color w:val="auto"/>
          <w:u w:val="none"/>
        </w:rPr>
        <w:t>ii</w:t>
      </w:r>
      <w:r w:rsidRPr="002D2A8F" w:rsidR="002D54C4">
        <w:rPr>
          <w:rStyle w:val="DeltaViewInsertion"/>
          <w:color w:val="auto"/>
          <w:u w:val="none"/>
        </w:rPr>
        <w:t>) claim the Environmental Attributes to customers or potential customers for purposes of marketing and advertising</w:t>
      </w:r>
      <w:r w:rsidRPr="002D2A8F" w:rsidR="00212C7C">
        <w:rPr>
          <w:rStyle w:val="DeltaViewInsertion"/>
          <w:color w:val="auto"/>
          <w:u w:val="none"/>
        </w:rPr>
        <w:t>. However</w:t>
      </w:r>
      <w:r w:rsidRPr="002D2A8F" w:rsidR="002D54C4">
        <w:rPr>
          <w:rStyle w:val="DeltaViewInsertion"/>
          <w:color w:val="auto"/>
          <w:u w:val="none"/>
        </w:rPr>
        <w:t xml:space="preserve">, Seller and Seller’s Affiliates </w:t>
      </w:r>
      <w:r w:rsidRPr="002D2A8F" w:rsidR="00212C7C">
        <w:rPr>
          <w:rStyle w:val="DeltaViewInsertion"/>
          <w:color w:val="auto"/>
          <w:u w:val="none"/>
        </w:rPr>
        <w:t>may</w:t>
      </w:r>
      <w:r w:rsidRPr="002D2A8F" w:rsidR="002D54C4">
        <w:rPr>
          <w:rStyle w:val="DeltaViewInsertion"/>
          <w:color w:val="auto"/>
          <w:u w:val="none"/>
        </w:rPr>
        <w:t xml:space="preserve"> issue marketing materials and other statements regarding their respective operations and business activities so long as the issuance of the materials and statements does not</w:t>
      </w:r>
      <w:r w:rsidRPr="002D2A8F" w:rsidR="006F4E1C">
        <w:rPr>
          <w:rStyle w:val="DeltaViewInsertion"/>
          <w:color w:val="auto"/>
          <w:u w:val="none"/>
        </w:rPr>
        <w:t>: (a)</w:t>
      </w:r>
      <w:r w:rsidRPr="002D2A8F" w:rsidR="002D54C4">
        <w:rPr>
          <w:rStyle w:val="DeltaViewInsertion"/>
          <w:color w:val="auto"/>
          <w:u w:val="none"/>
        </w:rPr>
        <w:t xml:space="preserve"> reduce the economic value to GPC of the Environmental </w:t>
      </w:r>
      <w:r w:rsidRPr="002D2A8F" w:rsidR="002D54C4">
        <w:rPr>
          <w:rStyle w:val="DeltaViewInsertion"/>
          <w:color w:val="auto"/>
          <w:u w:val="none"/>
        </w:rPr>
        <w:lastRenderedPageBreak/>
        <w:t>Attributes</w:t>
      </w:r>
      <w:r w:rsidRPr="002D2A8F" w:rsidR="006F4E1C">
        <w:rPr>
          <w:rStyle w:val="DeltaViewInsertion"/>
          <w:color w:val="auto"/>
          <w:u w:val="none"/>
        </w:rPr>
        <w:t xml:space="preserve">; (b) </w:t>
      </w:r>
      <w:r w:rsidRPr="002D2A8F" w:rsidR="002D54C4">
        <w:rPr>
          <w:rStyle w:val="DeltaViewInsertion"/>
          <w:color w:val="auto"/>
          <w:u w:val="none"/>
        </w:rPr>
        <w:t>reduce GPC’s claims to the Environmental Attributes</w:t>
      </w:r>
      <w:r w:rsidRPr="002D2A8F" w:rsidR="006F4E1C">
        <w:rPr>
          <w:rStyle w:val="DeltaViewInsertion"/>
          <w:color w:val="auto"/>
          <w:u w:val="none"/>
        </w:rPr>
        <w:t>;</w:t>
      </w:r>
      <w:r w:rsidRPr="002D2A8F" w:rsidR="002D54C4">
        <w:rPr>
          <w:rStyle w:val="DeltaViewInsertion"/>
          <w:color w:val="auto"/>
          <w:u w:val="none"/>
        </w:rPr>
        <w:t xml:space="preserve"> or </w:t>
      </w:r>
      <w:r w:rsidRPr="002D2A8F" w:rsidR="006F4E1C">
        <w:rPr>
          <w:rStyle w:val="DeltaViewInsertion"/>
          <w:color w:val="auto"/>
          <w:u w:val="none"/>
        </w:rPr>
        <w:t xml:space="preserve">(c) </w:t>
      </w:r>
      <w:r w:rsidRPr="002D2A8F" w:rsidR="002D54C4">
        <w:rPr>
          <w:rStyle w:val="DeltaViewInsertion"/>
          <w:color w:val="auto"/>
          <w:u w:val="none"/>
        </w:rPr>
        <w:t>result in the double counting of the Environmental Attributes.</w:t>
      </w:r>
    </w:p>
    <w:p w:rsidRPr="002D2A8F" w:rsidR="002D54C4" w:rsidP="00A25B40" w:rsidRDefault="002D54C4" w14:paraId="6EDDF694" w14:textId="4803EFFC">
      <w:pPr>
        <w:pStyle w:val="zGTC03"/>
        <w:rPr>
          <w:rFonts w:cs="Arial"/>
          <w:b/>
          <w:vanish/>
          <w:specVanish/>
        </w:rPr>
      </w:pPr>
      <w:r w:rsidRPr="002D2A8F">
        <w:rPr>
          <w:rFonts w:cs="Arial"/>
          <w:b/>
        </w:rPr>
        <w:t>Information Regarding Environmental Attributes.</w:t>
      </w:r>
    </w:p>
    <w:p w:rsidR="002D54C4" w:rsidP="00405A96" w:rsidRDefault="002D54C4" w14:paraId="54497617" w14:textId="1AA43D12">
      <w:pPr>
        <w:pStyle w:val="zGNormal"/>
        <w:spacing w:before="120" w:after="120"/>
      </w:pPr>
      <w:r w:rsidRPr="002D2A8F">
        <w:t xml:space="preserve"> </w:t>
      </w:r>
      <w:r w:rsidR="007060F5">
        <w:t>To the extent applicable during the Term,</w:t>
      </w:r>
      <w:r w:rsidRPr="002D2A8F">
        <w:t xml:space="preserve"> Seller must maintain and provide to GPC (or, if directed by GPC, other applicable Persons) the information as necessary to substantiate, account for, or track the quantity of Environmental Attributes</w:t>
      </w:r>
      <w:r w:rsidR="000A7B47">
        <w:t>, if any,</w:t>
      </w:r>
      <w:r w:rsidRPr="002D2A8F">
        <w:t xml:space="preserve"> delivered to GPC under this PPA, including all information necessary for GPC to comply with the requirements of any Governmental Authority or other certifying or standard-setting body relating to the Environmental Attributes. Seller must provide GPC with attestations regarding the accuracy of the information as reasonably requested by GPC. Upon GPC’s request, Seller, at Seller’s expense, </w:t>
      </w:r>
      <w:r w:rsidR="001E35F5">
        <w:t xml:space="preserve">must </w:t>
      </w:r>
      <w:r w:rsidRPr="002D2A8F">
        <w:t xml:space="preserve">cooperate with GPC to obtain compliance with any required documentation or reporting obligation under any federal or state renewable energy plan to certify the Facility or the Environmental Attributes. Additionally, upon GPC’s request, Seller, at Seller’s expense, </w:t>
      </w:r>
      <w:r w:rsidRPr="002D2A8F" w:rsidR="00B258C6">
        <w:t>must</w:t>
      </w:r>
      <w:r w:rsidRPr="002D2A8F">
        <w:t xml:space="preserve"> use reasonable efforts to obtain verification from a certification authority mutually agreed upon by the Parties that the Environmental Attributes sold to GPC in accordance with this PPA </w:t>
      </w:r>
      <w:r w:rsidRPr="002D2A8F" w:rsidR="00077E5A">
        <w:t>comply</w:t>
      </w:r>
      <w:r w:rsidRPr="002D2A8F">
        <w:t xml:space="preserve"> with the standards set by the certification authority. Seller is responsible for the costs associated with registering, qualifying, or recording any Environmental Attributes with any applicable Governmental Authority or other certifying or standard-setting body at GPC’s request. GPC will have the right to disclose the information publicly or to any third party, without Seller’s prior consent, as reasonably required in connection with the operation of GPC’s business, including disclosures: (i) to any Person that purchases the Environmental Attributes from GPC; (ii) to any Governmental Authority; (iii) to any auditor or any Person that certifies or sets standards with respect to Environmental Attributes; </w:t>
      </w:r>
      <w:r w:rsidRPr="002D2A8F" w:rsidR="0035692D">
        <w:t xml:space="preserve">or </w:t>
      </w:r>
      <w:r w:rsidRPr="002D2A8F">
        <w:t>(iv) as necessary for GPC to defend, verify, or substantiate its ownership of the Environmental Attributes.</w:t>
      </w:r>
    </w:p>
    <w:p w:rsidRPr="00363BE2" w:rsidR="00416F3C" w:rsidP="004E786D" w:rsidRDefault="00416F3C" w14:paraId="39A9021E" w14:textId="05F7281C">
      <w:pPr>
        <w:numPr>
          <w:ilvl w:val="3"/>
          <w:numId w:val="27"/>
        </w:numPr>
        <w:spacing w:before="120" w:after="120" w:line="240" w:lineRule="auto"/>
        <w:jc w:val="both"/>
        <w:rPr>
          <w:rFonts w:ascii="Arial" w:hAnsi="Arial" w:cs="Arial"/>
          <w:sz w:val="20"/>
          <w:szCs w:val="20"/>
        </w:rPr>
      </w:pPr>
      <w:r w:rsidRPr="00363BE2">
        <w:rPr>
          <w:rFonts w:ascii="Arial" w:hAnsi="Arial" w:cs="Arial"/>
          <w:sz w:val="20"/>
          <w:szCs w:val="20"/>
        </w:rPr>
        <w:t>If during the Term a Governmental Authority or certification body establishes an Environmental Attribute applicable to the BESS and the cost for Seller to track, attest to, register, or verify that Environmental Attribute materially exceeds costs typically incurred to perform those same activities for RECs, the Parties will negotiate in good faith a mutually agreeable cost-sharing arrangement for BESS-specific tracking, attestation, registration, or verification costs.</w:t>
      </w:r>
    </w:p>
    <w:p w:rsidRPr="002D2A8F" w:rsidR="002D54C4" w:rsidP="008759EF" w:rsidRDefault="002D54C4" w14:paraId="2144209B" w14:textId="19F7EC25">
      <w:pPr>
        <w:pStyle w:val="zGTC03"/>
        <w:rPr>
          <w:rStyle w:val="DeltaViewInsertion"/>
          <w:rFonts w:cs="Arial"/>
          <w:vanish/>
          <w:color w:val="auto"/>
          <w:szCs w:val="20"/>
          <w:u w:val="none"/>
          <w:specVanish/>
        </w:rPr>
      </w:pPr>
      <w:r w:rsidRPr="002D2A8F">
        <w:rPr>
          <w:rStyle w:val="DeltaViewInsertion"/>
          <w:rFonts w:cs="Arial"/>
          <w:b/>
          <w:color w:val="auto"/>
          <w:u w:val="none"/>
        </w:rPr>
        <w:t>Environmental</w:t>
      </w:r>
      <w:r w:rsidRPr="002D2A8F">
        <w:rPr>
          <w:rStyle w:val="DeltaViewInsertion"/>
          <w:rFonts w:cs="Arial"/>
          <w:b/>
          <w:color w:val="auto"/>
          <w:w w:val="0"/>
          <w:szCs w:val="20"/>
          <w:u w:val="none"/>
        </w:rPr>
        <w:t xml:space="preserve"> Compliance Certification.</w:t>
      </w:r>
    </w:p>
    <w:p w:rsidRPr="002D2A8F" w:rsidR="002D54C4" w:rsidP="002D54C4" w:rsidRDefault="004A5553" w14:paraId="4DA3A264" w14:textId="75CA6973">
      <w:pPr>
        <w:pStyle w:val="zGNormal"/>
      </w:pPr>
      <w:r w:rsidRPr="002D2A8F">
        <w:t xml:space="preserve"> </w:t>
      </w:r>
      <w:r w:rsidRPr="002D2A8F" w:rsidR="002D54C4">
        <w:t xml:space="preserve">On each anniversary of the Commercial Operation Date through the end of the Term, Seller </w:t>
      </w:r>
      <w:r w:rsidR="000D2093">
        <w:t>must</w:t>
      </w:r>
      <w:r w:rsidRPr="002D2A8F" w:rsidR="002D54C4">
        <w:t xml:space="preserve"> provide to GPC an Environmental Compliance certificate in the form of </w:t>
      </w:r>
      <w:r w:rsidRPr="00534192" w:rsidR="002D54C4">
        <w:t xml:space="preserve">Exhibit </w:t>
      </w:r>
      <w:r w:rsidRPr="00534192" w:rsidR="00F84EE7">
        <w:t>P</w:t>
      </w:r>
      <w:r w:rsidRPr="00534192" w:rsidR="00A25B40">
        <w:t xml:space="preserve"> </w:t>
      </w:r>
      <w:r w:rsidRPr="00534192" w:rsidR="002D54C4">
        <w:t>(</w:t>
      </w:r>
      <w:r w:rsidRPr="00534192" w:rsidR="002D54C4">
        <w:rPr>
          <w:i/>
        </w:rPr>
        <w:t>Environmental Compliance Certification</w:t>
      </w:r>
      <w:r w:rsidRPr="00534192" w:rsidR="002D54C4">
        <w:t>)</w:t>
      </w:r>
      <w:r w:rsidRPr="002D2A8F" w:rsidR="002D54C4">
        <w:t xml:space="preserve"> signed by a duly authorized officer of Seller.</w:t>
      </w:r>
    </w:p>
    <w:p w:rsidRPr="002D2A8F" w:rsidR="00176636" w:rsidP="00F15006" w:rsidRDefault="00176636" w14:paraId="1DC752FE" w14:textId="322B087C">
      <w:pPr>
        <w:pStyle w:val="zGTC03"/>
        <w:tabs>
          <w:tab w:val="num" w:pos="2160"/>
        </w:tabs>
        <w:rPr>
          <w:rFonts w:cs="Arial"/>
        </w:rPr>
      </w:pPr>
      <w:r w:rsidRPr="002D2A8F">
        <w:rPr>
          <w:rFonts w:cs="Arial"/>
          <w:b/>
          <w:bCs/>
        </w:rPr>
        <w:t>Extreme Weather Technical Requirements.</w:t>
      </w:r>
      <w:r w:rsidRPr="002D2A8F">
        <w:rPr>
          <w:rFonts w:cs="Arial"/>
        </w:rPr>
        <w:t xml:space="preserve"> </w:t>
      </w:r>
      <w:r w:rsidR="00824B8A">
        <w:rPr>
          <w:rFonts w:cs="Arial"/>
        </w:rPr>
        <w:t>Throughout the Term, t</w:t>
      </w:r>
      <w:r w:rsidRPr="002D2A8F">
        <w:rPr>
          <w:rFonts w:cs="Arial"/>
        </w:rPr>
        <w:t xml:space="preserve">he Facility </w:t>
      </w:r>
      <w:r w:rsidR="00824B8A">
        <w:rPr>
          <w:rFonts w:cs="Arial"/>
        </w:rPr>
        <w:t xml:space="preserve">will </w:t>
      </w:r>
      <w:r w:rsidRPr="002D2A8F">
        <w:rPr>
          <w:rFonts w:cs="Arial"/>
        </w:rPr>
        <w:t>compl</w:t>
      </w:r>
      <w:r w:rsidR="00824B8A">
        <w:rPr>
          <w:rFonts w:cs="Arial"/>
        </w:rPr>
        <w:t>y</w:t>
      </w:r>
      <w:r w:rsidRPr="002D2A8F">
        <w:rPr>
          <w:rFonts w:cs="Arial"/>
        </w:rPr>
        <w:t xml:space="preserve"> with NERC EOP</w:t>
      </w:r>
      <w:r w:rsidR="00B32F57">
        <w:rPr>
          <w:rFonts w:cs="Arial"/>
        </w:rPr>
        <w:t>-</w:t>
      </w:r>
      <w:r w:rsidRPr="002D2A8F" w:rsidR="00DF2035">
        <w:rPr>
          <w:rFonts w:cs="Arial"/>
        </w:rPr>
        <w:t>12-1 (</w:t>
      </w:r>
      <w:r w:rsidRPr="002D2A8F" w:rsidR="00DF2035">
        <w:rPr>
          <w:rFonts w:cs="Arial"/>
          <w:i/>
          <w:iCs/>
        </w:rPr>
        <w:t>Extreme Cold Weather Preparedness and Operations</w:t>
      </w:r>
      <w:r w:rsidRPr="002D2A8F" w:rsidR="00DF2035">
        <w:rPr>
          <w:rFonts w:cs="Arial"/>
        </w:rPr>
        <w:t>)</w:t>
      </w:r>
      <w:r w:rsidR="000A291A">
        <w:rPr>
          <w:rFonts w:cs="Arial"/>
        </w:rPr>
        <w:t xml:space="preserve"> </w:t>
      </w:r>
      <w:r w:rsidR="00BB37A0">
        <w:rPr>
          <w:rFonts w:cs="Arial"/>
        </w:rPr>
        <w:t>or</w:t>
      </w:r>
      <w:r w:rsidRPr="00320E1E" w:rsidR="000A291A">
        <w:rPr>
          <w:rFonts w:cs="Arial"/>
        </w:rPr>
        <w:t xml:space="preserve"> successor reliability standard, to the extent applicable, as further described in Section 7.1.1 (</w:t>
      </w:r>
      <w:r w:rsidRPr="00320E1E" w:rsidR="000A291A">
        <w:rPr>
          <w:rFonts w:cs="Arial"/>
          <w:i/>
        </w:rPr>
        <w:t>Facility Design</w:t>
      </w:r>
      <w:r w:rsidRPr="00320E1E" w:rsidR="000A291A">
        <w:t>)</w:t>
      </w:r>
      <w:r w:rsidRPr="002D2A8F" w:rsidR="00DF2035">
        <w:rPr>
          <w:rFonts w:cs="Arial"/>
        </w:rPr>
        <w:t>.</w:t>
      </w:r>
    </w:p>
    <w:p w:rsidRPr="002D2A8F" w:rsidR="002D54C4" w:rsidP="002D54C4" w:rsidRDefault="002D54C4" w14:paraId="1999A621" w14:textId="146D85A9">
      <w:pPr>
        <w:pStyle w:val="zGTC02"/>
        <w:rPr>
          <w:rFonts w:ascii="Arial" w:hAnsi="Arial" w:cs="Arial"/>
          <w:vanish/>
          <w:specVanish/>
        </w:rPr>
      </w:pPr>
      <w:bookmarkStart w:name="_Toc169778584" w:id="71"/>
      <w:bookmarkStart w:name="_Toc227451349" w:id="72"/>
      <w:r w:rsidRPr="002D2A8F">
        <w:rPr>
          <w:rFonts w:ascii="Arial" w:hAnsi="Arial" w:cs="Arial"/>
        </w:rPr>
        <w:t>GPC Representations</w:t>
      </w:r>
      <w:r w:rsidRPr="002D2A8F" w:rsidR="006F7B67">
        <w:rPr>
          <w:rFonts w:ascii="Arial" w:hAnsi="Arial" w:cs="Arial"/>
          <w:szCs w:val="20"/>
        </w:rPr>
        <w:t>,</w:t>
      </w:r>
      <w:r w:rsidRPr="002D2A8F">
        <w:rPr>
          <w:rFonts w:ascii="Arial" w:hAnsi="Arial" w:cs="Arial"/>
          <w:szCs w:val="20"/>
        </w:rPr>
        <w:t xml:space="preserve"> Warranties</w:t>
      </w:r>
      <w:r w:rsidRPr="002D2A8F" w:rsidR="006F7B67">
        <w:rPr>
          <w:rFonts w:ascii="Arial" w:hAnsi="Arial" w:cs="Arial"/>
          <w:szCs w:val="20"/>
        </w:rPr>
        <w:t>, and Covenants</w:t>
      </w:r>
      <w:r w:rsidRPr="002D2A8F">
        <w:rPr>
          <w:rFonts w:ascii="Arial" w:hAnsi="Arial" w:cs="Arial"/>
        </w:rPr>
        <w:t>.</w:t>
      </w:r>
      <w:bookmarkStart w:name="_Toc158593182" w:id="73"/>
      <w:bookmarkStart w:name="_Toc158597461" w:id="74"/>
      <w:bookmarkStart w:name="_Toc158720085" w:id="75"/>
      <w:bookmarkStart w:name="_Toc158722839" w:id="76"/>
      <w:bookmarkStart w:name="_Toc158929370" w:id="77"/>
      <w:bookmarkEnd w:id="71"/>
      <w:bookmarkEnd w:id="72"/>
      <w:bookmarkEnd w:id="73"/>
      <w:bookmarkEnd w:id="74"/>
      <w:bookmarkEnd w:id="75"/>
      <w:bookmarkEnd w:id="76"/>
      <w:bookmarkEnd w:id="77"/>
    </w:p>
    <w:p w:rsidRPr="002D2A8F" w:rsidR="002D54C4" w:rsidP="002D54C4" w:rsidRDefault="002D54C4" w14:paraId="368704A0" w14:textId="37F1444E">
      <w:pPr>
        <w:pStyle w:val="zGNormal"/>
      </w:pPr>
      <w:r w:rsidRPr="002D2A8F">
        <w:t xml:space="preserve"> GPC makes the following representations</w:t>
      </w:r>
      <w:r w:rsidRPr="002D2A8F" w:rsidR="00BA4628">
        <w:t>,</w:t>
      </w:r>
      <w:r w:rsidRPr="002D2A8F">
        <w:t xml:space="preserve"> warranties</w:t>
      </w:r>
      <w:r w:rsidRPr="002D2A8F" w:rsidR="00BA4628">
        <w:t xml:space="preserve">, </w:t>
      </w:r>
      <w:r w:rsidR="00344A6B">
        <w:t>and</w:t>
      </w:r>
      <w:r w:rsidRPr="002D2A8F" w:rsidR="00BA4628">
        <w:t xml:space="preserve"> covenants</w:t>
      </w:r>
      <w:r w:rsidRPr="002D2A8F">
        <w:t xml:space="preserve"> to Seller </w:t>
      </w:r>
      <w:r w:rsidR="00F1395D">
        <w:t xml:space="preserve">as of the Effective Date </w:t>
      </w:r>
      <w:r w:rsidRPr="002D2A8F" w:rsidR="00BA4628">
        <w:t>as the basis for the benefits and obligations contained in this PPA</w:t>
      </w:r>
      <w:r w:rsidRPr="002D2A8F">
        <w:t>:</w:t>
      </w:r>
    </w:p>
    <w:p w:rsidRPr="002D2A8F" w:rsidR="002D54C4" w:rsidP="008759EF" w:rsidRDefault="002D54C4" w14:paraId="74C93049" w14:textId="2BC81C86">
      <w:pPr>
        <w:pStyle w:val="zGTC03"/>
        <w:rPr>
          <w:rFonts w:cs="Arial"/>
          <w:b/>
          <w:vanish/>
          <w:specVanish/>
        </w:rPr>
      </w:pPr>
      <w:r w:rsidRPr="002D2A8F">
        <w:rPr>
          <w:rFonts w:cs="Arial"/>
          <w:b/>
        </w:rPr>
        <w:t>Organization; Facility Ownership; Legal Power and Authority</w:t>
      </w:r>
      <w:r w:rsidRPr="002D2A8F" w:rsidR="004A5553">
        <w:rPr>
          <w:rFonts w:cs="Arial"/>
          <w:b/>
        </w:rPr>
        <w:t>.</w:t>
      </w:r>
    </w:p>
    <w:p w:rsidRPr="002D2A8F" w:rsidR="002D54C4" w:rsidP="002D54C4" w:rsidRDefault="002D54C4" w14:paraId="654E4944" w14:textId="77777777">
      <w:pPr>
        <w:pStyle w:val="zGNormal"/>
      </w:pPr>
      <w:r w:rsidRPr="002D2A8F">
        <w:rPr>
          <w:b/>
        </w:rPr>
        <w:t xml:space="preserve"> </w:t>
      </w:r>
      <w:r w:rsidRPr="002D2A8F">
        <w:t>GPC is a corporation, duly organized, validly existing, and in good standing under the laws of the state of Georgia, that is qualified to do business in the state of Georgia and has the legal power and authority to own its properties, to carry on its business as now being conducted and to enter into this PPA and carry out the transactions contemplated by this PPA, and perform and fulfill all covenants and obligations on its part to be performed under this PPA.</w:t>
      </w:r>
    </w:p>
    <w:p w:rsidRPr="002D2A8F" w:rsidR="002D54C4" w:rsidP="008759EF" w:rsidRDefault="002D54C4" w14:paraId="075DB383" w14:textId="77777777">
      <w:pPr>
        <w:pStyle w:val="zGTC03"/>
        <w:rPr>
          <w:rFonts w:cs="Arial"/>
          <w:vanish/>
          <w:specVanish/>
        </w:rPr>
      </w:pPr>
      <w:r w:rsidRPr="002D2A8F">
        <w:rPr>
          <w:rFonts w:cs="Arial"/>
          <w:b/>
        </w:rPr>
        <w:t>Authorization.</w:t>
      </w:r>
      <w:r w:rsidRPr="002D2A8F">
        <w:rPr>
          <w:rFonts w:cs="Arial"/>
        </w:rPr>
        <w:t xml:space="preserve"> </w:t>
      </w:r>
    </w:p>
    <w:p w:rsidRPr="002D2A8F" w:rsidR="002D54C4" w:rsidP="00E11EDA" w:rsidRDefault="002D54C4" w14:paraId="30BC5B18" w14:textId="4730B0AE">
      <w:pPr>
        <w:pStyle w:val="zGTC03"/>
        <w:rPr>
          <w:rFonts w:cs="Arial"/>
        </w:rPr>
      </w:pPr>
      <w:r w:rsidRPr="002D2A8F">
        <w:rPr>
          <w:rFonts w:cs="Arial"/>
        </w:rPr>
        <w:t>The execution, delivery, and performance by GPC</w:t>
      </w:r>
      <w:r w:rsidRPr="002D2A8F" w:rsidDel="00177A61">
        <w:rPr>
          <w:rFonts w:cs="Arial"/>
        </w:rPr>
        <w:t xml:space="preserve"> </w:t>
      </w:r>
      <w:r w:rsidRPr="002D2A8F">
        <w:rPr>
          <w:rFonts w:cs="Arial"/>
        </w:rPr>
        <w:t>of this PPA have been duly authorized by all necessary corporate action and does not and will not require any consent or approval of GPC’s board of directors or shareholders other than that already obtained.</w:t>
      </w:r>
    </w:p>
    <w:p w:rsidRPr="008423E7" w:rsidR="002D54C4" w:rsidP="00D94D93" w:rsidRDefault="002D54C4" w14:paraId="44FF6B87" w14:textId="36FB18B9">
      <w:pPr>
        <w:pStyle w:val="zGTC03"/>
        <w:numPr>
          <w:ilvl w:val="2"/>
          <w:numId w:val="43"/>
        </w:numPr>
        <w:rPr>
          <w:rFonts w:cs="Arial"/>
          <w:b/>
          <w:vanish/>
          <w:specVanish/>
        </w:rPr>
      </w:pPr>
      <w:r w:rsidRPr="008423E7">
        <w:rPr>
          <w:rFonts w:cs="Arial"/>
          <w:b/>
        </w:rPr>
        <w:lastRenderedPageBreak/>
        <w:t>No Conflict or Breach.</w:t>
      </w:r>
    </w:p>
    <w:p w:rsidRPr="002D2A8F" w:rsidR="002D54C4" w:rsidP="002D54C4" w:rsidRDefault="002D54C4" w14:paraId="15CD02A5" w14:textId="3DD63436">
      <w:pPr>
        <w:pStyle w:val="zGNormal"/>
      </w:pPr>
      <w:r w:rsidRPr="002D2A8F">
        <w:rPr>
          <w:b/>
        </w:rPr>
        <w:t xml:space="preserve"> </w:t>
      </w:r>
      <w:r w:rsidRPr="002D2A8F">
        <w:t xml:space="preserve">Subject to </w:t>
      </w:r>
      <w:r w:rsidRPr="00534192">
        <w:t>Section 1.3 (</w:t>
      </w:r>
      <w:r w:rsidRPr="00534192">
        <w:rPr>
          <w:i/>
        </w:rPr>
        <w:t>Conditions Subsequent</w:t>
      </w:r>
      <w:r w:rsidRPr="00534192">
        <w:t>)</w:t>
      </w:r>
      <w:r w:rsidRPr="002D2A8F">
        <w:t xml:space="preserve">, the execution and delivery of this PPA, the consummation of the transactions contemplated by this PPA, and the fulfillment of and compliance with this PPA do not and will not conflict with any of the terms, conditions, or provisions of any applicable laws applicable to GPC, or of any partnership agreement, deed of trust, mortgage, loan agreement, other evidence of </w:t>
      </w:r>
      <w:r w:rsidR="00344A6B">
        <w:t>I</w:t>
      </w:r>
      <w:r w:rsidRPr="002D2A8F">
        <w:t>ndebtedness, or any other agreement or instrument to which GPC is a party or by which GPC or any of its property is bound, or result in a breach of or a default under any of the foregoing.</w:t>
      </w:r>
    </w:p>
    <w:p w:rsidRPr="002D2A8F" w:rsidR="002D54C4" w:rsidP="008759EF" w:rsidRDefault="002D54C4" w14:paraId="74EB3D4B" w14:textId="5E442354">
      <w:pPr>
        <w:pStyle w:val="zGTC03"/>
        <w:rPr>
          <w:rFonts w:cs="Arial"/>
          <w:b/>
          <w:vanish/>
          <w:specVanish/>
        </w:rPr>
      </w:pPr>
      <w:r w:rsidRPr="002D2A8F">
        <w:rPr>
          <w:rFonts w:cs="Arial"/>
          <w:b/>
        </w:rPr>
        <w:t>Legal, Valid, and Binding Obligations</w:t>
      </w:r>
      <w:r w:rsidRPr="002D2A8F" w:rsidR="004A5553">
        <w:rPr>
          <w:rFonts w:cs="Arial"/>
          <w:b/>
        </w:rPr>
        <w:t>.</w:t>
      </w:r>
    </w:p>
    <w:p w:rsidRPr="002D2A8F" w:rsidR="002D54C4" w:rsidP="002D54C4" w:rsidRDefault="002D54C4" w14:paraId="7F9B5FC7" w14:textId="77777777">
      <w:pPr>
        <w:pStyle w:val="zGNormal"/>
      </w:pPr>
      <w:r w:rsidRPr="002D2A8F">
        <w:t xml:space="preserve"> This PPA constitutes the legal, valid, and binding obligation of GPC</w:t>
      </w:r>
      <w:r w:rsidRPr="002D2A8F" w:rsidDel="00177A61">
        <w:t xml:space="preserve"> </w:t>
      </w:r>
      <w:r w:rsidRPr="002D2A8F">
        <w:t>that is enforceable in accordance with its terms, except as such enforceability may be limited by bankruptcy, insolvency, reorganization, or similar laws relating to or affecting the enforcement of creditors’ rights generally or by general equitable principles, regardless of whether such enforceability is considered in a proceeding in equity or at law.</w:t>
      </w:r>
    </w:p>
    <w:p w:rsidRPr="002D2A8F" w:rsidR="002D54C4" w:rsidP="008759EF" w:rsidRDefault="002D54C4" w14:paraId="06B6471D" w14:textId="541DC1AF">
      <w:pPr>
        <w:pStyle w:val="zGTC03"/>
        <w:rPr>
          <w:rFonts w:cs="Arial"/>
          <w:b/>
          <w:vanish/>
          <w:specVanish/>
        </w:rPr>
      </w:pPr>
      <w:r w:rsidRPr="002D2A8F">
        <w:rPr>
          <w:rFonts w:cs="Arial"/>
          <w:b/>
        </w:rPr>
        <w:t>No Proceeding Impacting Legality, Validity, or Enforceability of this PPA</w:t>
      </w:r>
      <w:r w:rsidRPr="002D2A8F" w:rsidR="004A5553">
        <w:rPr>
          <w:rFonts w:cs="Arial"/>
          <w:b/>
        </w:rPr>
        <w:t>.</w:t>
      </w:r>
    </w:p>
    <w:p w:rsidRPr="002D2A8F" w:rsidR="002D54C4" w:rsidP="002D54C4" w:rsidRDefault="002D54C4" w14:paraId="19D2D3B7" w14:textId="6CA92FA3">
      <w:pPr>
        <w:pStyle w:val="zGNormal"/>
      </w:pPr>
      <w:r w:rsidRPr="002D2A8F">
        <w:t xml:space="preserve"> There is no pending or, to the knowledge of GPC, threatened action or proceeding affecting GPC</w:t>
      </w:r>
      <w:r w:rsidRPr="002D2A8F" w:rsidDel="00177A61">
        <w:t xml:space="preserve"> </w:t>
      </w:r>
      <w:r w:rsidRPr="002D2A8F">
        <w:t xml:space="preserve">before any Governmental Authority </w:t>
      </w:r>
      <w:r w:rsidRPr="002D2A8F" w:rsidR="00AE2EBA">
        <w:t xml:space="preserve">that </w:t>
      </w:r>
      <w:r w:rsidRPr="002D2A8F">
        <w:t>purports to materially adversely affect the legality, validity, or enforceability of this PPA or that reasonably could be expected to have a material adverse effect on GPC’s ability to perform its obligations under this PPA.</w:t>
      </w:r>
    </w:p>
    <w:p w:rsidRPr="002D2A8F" w:rsidR="002D54C4" w:rsidP="008759EF" w:rsidRDefault="002D54C4" w14:paraId="4810E574" w14:textId="5FC5EEE7">
      <w:pPr>
        <w:pStyle w:val="zGTC03"/>
        <w:rPr>
          <w:rFonts w:cs="Arial"/>
          <w:b/>
          <w:bCs/>
          <w:vanish/>
          <w:specVanish/>
        </w:rPr>
      </w:pPr>
      <w:r w:rsidRPr="002D2A8F">
        <w:rPr>
          <w:rFonts w:cs="Arial"/>
          <w:b/>
          <w:bCs/>
        </w:rPr>
        <w:t>Creditworthiness and No Bankruptcy Proceedings.</w:t>
      </w:r>
    </w:p>
    <w:p w:rsidRPr="00261AEB" w:rsidR="00CD6A5B" w:rsidP="00CD6A5B" w:rsidRDefault="002D54C4" w14:paraId="7132022A" w14:textId="3D53CD13">
      <w:pPr>
        <w:pStyle w:val="zGNormal"/>
      </w:pPr>
      <w:r w:rsidRPr="002D2A8F">
        <w:t xml:space="preserve"> GPC</w:t>
      </w:r>
      <w:r w:rsidRPr="002D2A8F" w:rsidDel="00177A61">
        <w:t xml:space="preserve"> </w:t>
      </w:r>
      <w:r w:rsidRPr="002D2A8F">
        <w:t xml:space="preserve">is Creditworthy </w:t>
      </w:r>
      <w:r w:rsidR="00DE2E46">
        <w:t xml:space="preserve">(determined solely by clause (i) of the definition of Creditworthy) </w:t>
      </w:r>
      <w:r w:rsidRPr="002D2A8F">
        <w:t>and there are no bankruptcy proceedings pending or being contemplated by it or, to its knowledge, threatened against it.</w:t>
      </w:r>
    </w:p>
    <w:p w:rsidRPr="002D2A8F" w:rsidR="002D54C4" w:rsidP="00ED6839" w:rsidRDefault="002D54C4" w14:paraId="103308EA" w14:textId="15EAF126">
      <w:pPr>
        <w:pStyle w:val="zGTC01"/>
        <w:rPr>
          <w:rFonts w:ascii="Arial" w:hAnsi="Arial"/>
          <w:szCs w:val="20"/>
        </w:rPr>
      </w:pPr>
      <w:bookmarkStart w:name="_Toc169778585" w:id="78"/>
      <w:bookmarkStart w:name="_Toc227451350" w:id="79"/>
      <w:r w:rsidRPr="002D2A8F">
        <w:rPr>
          <w:rFonts w:ascii="Arial" w:hAnsi="Arial"/>
        </w:rPr>
        <w:t>Preservation of Terms; Consents; Taxes</w:t>
      </w:r>
      <w:bookmarkEnd w:id="78"/>
      <w:bookmarkEnd w:id="79"/>
    </w:p>
    <w:p w:rsidRPr="002D2A8F" w:rsidR="002D54C4" w:rsidP="002D54C4" w:rsidRDefault="002D54C4" w14:paraId="10E9B6E7" w14:textId="77777777">
      <w:pPr>
        <w:pStyle w:val="zGTC02"/>
        <w:rPr>
          <w:rFonts w:ascii="Arial" w:hAnsi="Arial" w:cs="Arial"/>
          <w:vanish/>
          <w:specVanish/>
        </w:rPr>
      </w:pPr>
      <w:bookmarkStart w:name="_Toc169778586" w:id="80"/>
      <w:bookmarkStart w:name="_Toc227451351" w:id="81"/>
      <w:r w:rsidRPr="002D2A8F">
        <w:rPr>
          <w:rFonts w:ascii="Arial" w:hAnsi="Arial" w:cs="Arial"/>
        </w:rPr>
        <w:t>Preservation of Terms.</w:t>
      </w:r>
      <w:bookmarkStart w:name="_Toc158593184" w:id="82"/>
      <w:bookmarkStart w:name="_Toc158597463" w:id="83"/>
      <w:bookmarkStart w:name="_Toc158720087" w:id="84"/>
      <w:bookmarkStart w:name="_Toc158722841" w:id="85"/>
      <w:bookmarkStart w:name="_Toc158929372" w:id="86"/>
      <w:bookmarkEnd w:id="80"/>
      <w:bookmarkEnd w:id="81"/>
      <w:bookmarkEnd w:id="82"/>
      <w:bookmarkEnd w:id="83"/>
      <w:bookmarkEnd w:id="84"/>
      <w:bookmarkEnd w:id="85"/>
      <w:bookmarkEnd w:id="86"/>
    </w:p>
    <w:p w:rsidRPr="002D2A8F" w:rsidR="002D54C4" w:rsidP="002D54C4" w:rsidRDefault="002D54C4" w14:paraId="711A70BD" w14:textId="1380310C">
      <w:pPr>
        <w:pStyle w:val="zGNormal"/>
      </w:pPr>
      <w:r w:rsidRPr="002D2A8F">
        <w:t xml:space="preserve">  Each Party agrees that, subject to </w:t>
      </w:r>
      <w:r w:rsidRPr="00534192">
        <w:t>Section 3.2 (</w:t>
      </w:r>
      <w:r w:rsidRPr="00534192">
        <w:rPr>
          <w:i/>
        </w:rPr>
        <w:t>Other Approvals</w:t>
      </w:r>
      <w:r w:rsidRPr="00534192">
        <w:t>)</w:t>
      </w:r>
      <w:r w:rsidRPr="002D2A8F">
        <w:t>, except with the prior written consent of the other Party, the Party will not institute or voluntarily cooperate in the institution or conduct of any claim, action, or proceeding before FERC under Section 205, Section 206</w:t>
      </w:r>
      <w:r w:rsidRPr="002D2A8F" w:rsidR="007D24AC">
        <w:t>,</w:t>
      </w:r>
      <w:r w:rsidRPr="002D2A8F">
        <w:t xml:space="preserve"> or any other portion of the Federal Power Act, or </w:t>
      </w:r>
      <w:r w:rsidR="004C339B">
        <w:t xml:space="preserve">before </w:t>
      </w:r>
      <w:r w:rsidRPr="002D2A8F">
        <w:t>any other Governmental Authority under any applicable law that is intended to, or could reasonably be expected to, change PPA terms then in effect. Without limiting the preceding sentence, but subject to the terms of this PPA, the Parties agree that the rates for service specified in this PPA will remain in effect for the Term and will not be subject to change through application to FERC in accordance with Section 205 or 206 of the Federal Power Act, or to any other Governmental Authority under any provision of federal law, Georgia state or local law, or any other applicable law, absent written agreement of the Parties.</w:t>
      </w:r>
    </w:p>
    <w:p w:rsidRPr="00A009F6" w:rsidR="002D54C4" w:rsidP="008759EF" w:rsidRDefault="002D54C4" w14:paraId="1E64050A" w14:textId="77777777">
      <w:pPr>
        <w:pStyle w:val="zGTC03"/>
        <w:rPr>
          <w:rFonts w:cs="Arial"/>
          <w:b/>
          <w:bCs/>
          <w:vanish/>
          <w:specVanish/>
        </w:rPr>
      </w:pPr>
      <w:r w:rsidRPr="00A009F6">
        <w:rPr>
          <w:rFonts w:cs="Arial"/>
          <w:b/>
          <w:bCs/>
        </w:rPr>
        <w:t>FERC Filings Waiver; Standard of Review.</w:t>
      </w:r>
    </w:p>
    <w:p w:rsidRPr="002D2A8F" w:rsidR="002D54C4" w:rsidP="002D54C4" w:rsidRDefault="002D54C4" w14:paraId="7E220634" w14:textId="77777777">
      <w:pPr>
        <w:pStyle w:val="zGNormal6"/>
      </w:pPr>
      <w:r w:rsidRPr="002D2A8F">
        <w:t xml:space="preserve"> Each Party waives all rights to submit filings to FERC seeking modification or rescission of this PPA under Section 205 or 206 of the Federal Power Act. </w:t>
      </w:r>
    </w:p>
    <w:p w:rsidRPr="002D2A8F" w:rsidR="002D54C4" w:rsidP="00C1276B" w:rsidRDefault="002D54C4" w14:paraId="7A54F438" w14:textId="35ACCAC2">
      <w:pPr>
        <w:pStyle w:val="zGTC04"/>
        <w:numPr>
          <w:ilvl w:val="3"/>
          <w:numId w:val="10"/>
        </w:numPr>
        <w:rPr>
          <w:rFonts w:cs="Arial"/>
          <w:szCs w:val="20"/>
        </w:rPr>
      </w:pPr>
      <w:r w:rsidRPr="002D2A8F">
        <w:rPr>
          <w:rFonts w:cs="Arial"/>
          <w:b/>
          <w:bCs/>
          <w:szCs w:val="20"/>
        </w:rPr>
        <w:t xml:space="preserve">FERC Standard of Review. </w:t>
      </w:r>
      <w:r w:rsidRPr="002D2A8F">
        <w:rPr>
          <w:rFonts w:cs="Arial"/>
          <w:szCs w:val="20"/>
        </w:rPr>
        <w:t xml:space="preserve">In any proceeding before FERC involving this PPA, the Parties will request that FERC review all aspects of this PPA under the “public interest” application of the “just and reasonable” standard of review in </w:t>
      </w:r>
      <w:r w:rsidRPr="002D2A8F">
        <w:rPr>
          <w:rFonts w:cs="Arial"/>
          <w:szCs w:val="20"/>
          <w:u w:val="single"/>
        </w:rPr>
        <w:t>United Gas Pipe Line Co. v. Mobile Gas Service Corp.</w:t>
      </w:r>
      <w:r w:rsidRPr="002D2A8F">
        <w:rPr>
          <w:rFonts w:cs="Arial"/>
          <w:szCs w:val="20"/>
        </w:rPr>
        <w:t xml:space="preserve">, 350 U.S. 332 (1956) and </w:t>
      </w:r>
      <w:r w:rsidRPr="002D2A8F">
        <w:rPr>
          <w:rFonts w:cs="Arial"/>
          <w:szCs w:val="20"/>
          <w:u w:val="single"/>
        </w:rPr>
        <w:t>Federal Power Commission v. Sierra Pacific Power Co.</w:t>
      </w:r>
      <w:r w:rsidRPr="002D2A8F">
        <w:rPr>
          <w:rFonts w:cs="Arial"/>
          <w:szCs w:val="20"/>
        </w:rPr>
        <w:t xml:space="preserve">, 350 U.S. 348 (1956), each clarified by </w:t>
      </w:r>
      <w:r w:rsidRPr="002D2A8F">
        <w:rPr>
          <w:rFonts w:cs="Arial"/>
          <w:szCs w:val="20"/>
          <w:u w:val="single"/>
        </w:rPr>
        <w:t>NRG Power Marketing LLC v. Maine Public Utility Commission</w:t>
      </w:r>
      <w:r w:rsidRPr="002D2A8F">
        <w:rPr>
          <w:rFonts w:cs="Arial"/>
          <w:szCs w:val="20"/>
        </w:rPr>
        <w:t xml:space="preserve">, 130 S. Ct. 693 (2010). </w:t>
      </w:r>
    </w:p>
    <w:p w:rsidRPr="002D2A8F" w:rsidR="002D54C4" w:rsidP="002D54C4" w:rsidRDefault="002D54C4" w14:paraId="282A07F3" w14:textId="77777777">
      <w:pPr>
        <w:pStyle w:val="zGTC02"/>
        <w:rPr>
          <w:rFonts w:ascii="Arial" w:hAnsi="Arial" w:cs="Arial"/>
          <w:vanish/>
          <w:specVanish/>
        </w:rPr>
      </w:pPr>
      <w:bookmarkStart w:name="_Toc169778587" w:id="87"/>
      <w:bookmarkStart w:name="_Toc227451352" w:id="88"/>
      <w:r w:rsidRPr="002D2A8F">
        <w:rPr>
          <w:rFonts w:ascii="Arial" w:hAnsi="Arial" w:cs="Arial"/>
        </w:rPr>
        <w:t>Other Approvals.</w:t>
      </w:r>
      <w:bookmarkStart w:name="_Toc158593185" w:id="89"/>
      <w:bookmarkStart w:name="_Toc158597464" w:id="90"/>
      <w:bookmarkStart w:name="_Toc158720088" w:id="91"/>
      <w:bookmarkStart w:name="_Toc158722842" w:id="92"/>
      <w:bookmarkStart w:name="_Toc158929373" w:id="93"/>
      <w:bookmarkEnd w:id="87"/>
      <w:bookmarkEnd w:id="88"/>
      <w:bookmarkEnd w:id="89"/>
      <w:bookmarkEnd w:id="90"/>
      <w:bookmarkEnd w:id="91"/>
      <w:bookmarkEnd w:id="92"/>
      <w:bookmarkEnd w:id="93"/>
    </w:p>
    <w:p w:rsidRPr="002D2A8F" w:rsidR="002D54C4" w:rsidP="002D54C4" w:rsidRDefault="002D54C4" w14:paraId="6F7FB5A3" w14:textId="662515DD">
      <w:pPr>
        <w:pStyle w:val="zGNormal"/>
      </w:pPr>
      <w:r w:rsidRPr="002D2A8F">
        <w:t xml:space="preserve"> Throughout the Term, each Party will diligently seek to obtain, </w:t>
      </w:r>
      <w:r w:rsidR="00F001A1">
        <w:t xml:space="preserve">achieve, </w:t>
      </w:r>
      <w:r w:rsidRPr="002D2A8F">
        <w:t xml:space="preserve">maintain, pursue, or cause to be pursued, comply with, and, as necessary, renew </w:t>
      </w:r>
      <w:r w:rsidRPr="002D2A8F" w:rsidR="00222AF7">
        <w:t xml:space="preserve">or </w:t>
      </w:r>
      <w:r w:rsidRPr="002D2A8F">
        <w:t xml:space="preserve">modify all other Consents required to be possessed by the Party in a manner that is reasonably expected to enable the Party to perform its PPA obligations. Each Party agrees to assist and support the other Party, in a timely manner and to the extent reasonably requested by either Party, in obtaining the Consents. Upon request, </w:t>
      </w:r>
      <w:r w:rsidR="00DE2E46">
        <w:t>a Party</w:t>
      </w:r>
      <w:r w:rsidRPr="002D2A8F" w:rsidR="00DE2E46">
        <w:t xml:space="preserve"> </w:t>
      </w:r>
      <w:r w:rsidRPr="002D2A8F">
        <w:t xml:space="preserve">will provide a copy of Consents to </w:t>
      </w:r>
      <w:r w:rsidR="00DE2E46">
        <w:t>the requesting Party</w:t>
      </w:r>
      <w:r w:rsidRPr="002D2A8F">
        <w:t>.</w:t>
      </w:r>
    </w:p>
    <w:p w:rsidRPr="002D2A8F" w:rsidR="002D54C4" w:rsidP="002D54C4" w:rsidRDefault="002D54C4" w14:paraId="11682F8B" w14:textId="77777777">
      <w:pPr>
        <w:pStyle w:val="zGTC02"/>
        <w:rPr>
          <w:rFonts w:ascii="Arial" w:hAnsi="Arial" w:cs="Arial"/>
          <w:specVanish/>
        </w:rPr>
      </w:pPr>
      <w:bookmarkStart w:name="_Toc169778588" w:id="94"/>
      <w:bookmarkStart w:name="_Toc227451353" w:id="95"/>
      <w:r w:rsidRPr="002D2A8F">
        <w:rPr>
          <w:rFonts w:ascii="Arial" w:hAnsi="Arial" w:cs="Arial"/>
        </w:rPr>
        <w:t>Taxes.</w:t>
      </w:r>
      <w:bookmarkStart w:name="_Toc158593186" w:id="96"/>
      <w:bookmarkStart w:name="_Toc158597465" w:id="97"/>
      <w:bookmarkStart w:name="_Toc158720089" w:id="98"/>
      <w:bookmarkStart w:name="_Toc158722843" w:id="99"/>
      <w:bookmarkStart w:name="_Toc158929374" w:id="100"/>
      <w:bookmarkEnd w:id="94"/>
      <w:bookmarkEnd w:id="95"/>
      <w:bookmarkEnd w:id="96"/>
      <w:bookmarkEnd w:id="97"/>
      <w:bookmarkEnd w:id="98"/>
      <w:bookmarkEnd w:id="99"/>
      <w:bookmarkEnd w:id="100"/>
    </w:p>
    <w:p w:rsidRPr="002D2A8F" w:rsidR="002D54C4" w:rsidP="008759EF" w:rsidRDefault="002D54C4" w14:paraId="19E0F1FD" w14:textId="77777777">
      <w:pPr>
        <w:pStyle w:val="zGTC03"/>
        <w:rPr>
          <w:rFonts w:cs="Arial"/>
          <w:b/>
          <w:vanish/>
          <w:specVanish/>
        </w:rPr>
      </w:pPr>
      <w:r w:rsidRPr="002D2A8F">
        <w:rPr>
          <w:rFonts w:cs="Arial"/>
          <w:b/>
        </w:rPr>
        <w:t>Payment by Seller.</w:t>
      </w:r>
    </w:p>
    <w:p w:rsidRPr="002D2A8F" w:rsidR="002D54C4" w:rsidP="002D54C4" w:rsidRDefault="002D54C4" w14:paraId="65B04283" w14:textId="574AA6CB">
      <w:pPr>
        <w:pStyle w:val="zGNormal"/>
      </w:pPr>
      <w:r w:rsidRPr="002D2A8F">
        <w:rPr>
          <w:b/>
        </w:rPr>
        <w:t xml:space="preserve"> </w:t>
      </w:r>
      <w:r w:rsidRPr="002D2A8F">
        <w:t xml:space="preserve">Subject to </w:t>
      </w:r>
      <w:r w:rsidRPr="00534192">
        <w:t>Section 17.1 (</w:t>
      </w:r>
      <w:r w:rsidRPr="00534192">
        <w:rPr>
          <w:i/>
        </w:rPr>
        <w:t>Change of Law</w:t>
      </w:r>
      <w:r w:rsidRPr="00534192">
        <w:t>)</w:t>
      </w:r>
      <w:r w:rsidRPr="002D2A8F">
        <w:t xml:space="preserve">, Seller will be responsible for, and must pay, or cause to be paid, all Taxes on or regarding: (i) the Facility, including its development, permitting, design, engineering, procurement, construction, testing, startup, </w:t>
      </w:r>
      <w:r w:rsidRPr="002D2A8F">
        <w:lastRenderedPageBreak/>
        <w:t>ownership, leasing, financing, operation, and maintenance; and (ii) the production, storage, and delivery of energy and Ancillary Services to be provided to GPC</w:t>
      </w:r>
      <w:r w:rsidRPr="002D2A8F" w:rsidDel="00B74E23">
        <w:t xml:space="preserve"> </w:t>
      </w:r>
      <w:r w:rsidRPr="002D2A8F">
        <w:t>arising, in the case of energy, before the time of Seller’s delivery of energy to GPC</w:t>
      </w:r>
      <w:r w:rsidRPr="002D2A8F" w:rsidDel="00B74E23">
        <w:t xml:space="preserve"> </w:t>
      </w:r>
      <w:r w:rsidRPr="002D2A8F">
        <w:t>at the POI, or, in the case of Ancillary Services, before the time the Ancillary Services are made available to GPC.</w:t>
      </w:r>
    </w:p>
    <w:p w:rsidRPr="002D2A8F" w:rsidR="002D54C4" w:rsidP="008759EF" w:rsidRDefault="002D54C4" w14:paraId="35F47FFF" w14:textId="77777777">
      <w:pPr>
        <w:pStyle w:val="zGTC03"/>
        <w:rPr>
          <w:rFonts w:cs="Arial"/>
          <w:b/>
          <w:vanish/>
          <w:specVanish/>
        </w:rPr>
      </w:pPr>
      <w:r w:rsidRPr="002D2A8F">
        <w:rPr>
          <w:rFonts w:cs="Arial"/>
          <w:b/>
        </w:rPr>
        <w:t>Payment by GPC.</w:t>
      </w:r>
    </w:p>
    <w:p w:rsidRPr="002D2A8F" w:rsidR="002D54C4" w:rsidP="002D54C4" w:rsidRDefault="002D54C4" w14:paraId="7FDF1C65" w14:textId="3AC3ED6A">
      <w:pPr>
        <w:pStyle w:val="zGNormal"/>
      </w:pPr>
      <w:r w:rsidRPr="002D2A8F">
        <w:t xml:space="preserve"> GPC</w:t>
      </w:r>
      <w:r w:rsidRPr="002D2A8F" w:rsidDel="00B74E23">
        <w:t xml:space="preserve"> </w:t>
      </w:r>
      <w:r w:rsidRPr="002D2A8F">
        <w:t>will pay or cause to be paid all Taxes on or regarding: (i) energy received by GPC arising at and after the time the energy is delivered by Seller to the POI; and (ii) Ancillary Services received by GPC</w:t>
      </w:r>
      <w:r w:rsidRPr="002D2A8F" w:rsidDel="00B74E23">
        <w:t xml:space="preserve"> </w:t>
      </w:r>
      <w:r w:rsidRPr="002D2A8F">
        <w:t>arising at and after the time the Ancillary Services are made available to GPC. The Taxes will include sales, use, excise, or other similar Taxes on the sale to GPC</w:t>
      </w:r>
      <w:r w:rsidRPr="002D2A8F" w:rsidDel="00B74E23">
        <w:t xml:space="preserve"> </w:t>
      </w:r>
      <w:r w:rsidRPr="002D2A8F">
        <w:t>and purchase from Seller of capacity, energy, and Ancillary Services in accordance with this PPA.</w:t>
      </w:r>
    </w:p>
    <w:p w:rsidRPr="002D2A8F" w:rsidR="002D54C4" w:rsidP="008759EF" w:rsidRDefault="002D54C4" w14:paraId="2D5148D3" w14:textId="77777777">
      <w:pPr>
        <w:pStyle w:val="zGTC03"/>
        <w:rPr>
          <w:rFonts w:cs="Arial"/>
          <w:b/>
          <w:vanish/>
          <w:specVanish/>
        </w:rPr>
      </w:pPr>
      <w:r w:rsidRPr="002D2A8F">
        <w:rPr>
          <w:rFonts w:cs="Arial"/>
          <w:b/>
        </w:rPr>
        <w:t>Efforts to Implement PPA Provisions to Minimize Taxes.</w:t>
      </w:r>
    </w:p>
    <w:p w:rsidRPr="002D2A8F" w:rsidR="002D54C4" w:rsidP="002D54C4" w:rsidRDefault="002D54C4" w14:paraId="2263A37E" w14:textId="0854E07C">
      <w:pPr>
        <w:pStyle w:val="zGNormal"/>
      </w:pPr>
      <w:r w:rsidRPr="002D2A8F">
        <w:rPr>
          <w:b/>
        </w:rPr>
        <w:t xml:space="preserve"> </w:t>
      </w:r>
      <w:r w:rsidRPr="002D2A8F">
        <w:t>Each Party will</w:t>
      </w:r>
      <w:r w:rsidRPr="002D2A8F" w:rsidDel="00FE1BE9">
        <w:t xml:space="preserve"> </w:t>
      </w:r>
      <w:r w:rsidRPr="002D2A8F">
        <w:t xml:space="preserve">use reasonable efforts to implement and administer the PPA provisions to minimize Taxes </w:t>
      </w:r>
      <w:r w:rsidR="004D6077">
        <w:t xml:space="preserve">on the other Party </w:t>
      </w:r>
      <w:r w:rsidRPr="002D2A8F">
        <w:t>so long as neither Party is materially adversely affected by such efforts.</w:t>
      </w:r>
    </w:p>
    <w:p w:rsidRPr="002D2A8F" w:rsidR="002D54C4" w:rsidP="008759EF" w:rsidRDefault="002D54C4" w14:paraId="6383CE45" w14:textId="77777777">
      <w:pPr>
        <w:pStyle w:val="zGTC03"/>
        <w:rPr>
          <w:rFonts w:cs="Arial"/>
          <w:b/>
          <w:vanish/>
          <w:specVanish/>
        </w:rPr>
      </w:pPr>
      <w:r w:rsidRPr="002D2A8F">
        <w:rPr>
          <w:rFonts w:cs="Arial"/>
          <w:b/>
        </w:rPr>
        <w:t>GPC Reimbursement or Deduction for Taxes.</w:t>
      </w:r>
    </w:p>
    <w:p w:rsidRPr="002D2A8F" w:rsidR="002D54C4" w:rsidP="002D54C4" w:rsidRDefault="002D54C4" w14:paraId="528D216E" w14:textId="67F77C65">
      <w:pPr>
        <w:pStyle w:val="zGNormal"/>
      </w:pPr>
      <w:r w:rsidRPr="002D2A8F">
        <w:t xml:space="preserve"> If Seller is required by law or regulation to remit or pay Taxes that are GPC’s responsibility under this PPA, Seller may include the Taxes in the next Monthly Invoice and GPC will remit payment for the applicable Taxes</w:t>
      </w:r>
      <w:r w:rsidR="0089406B">
        <w:t xml:space="preserve"> on an After-Tax Basis</w:t>
      </w:r>
      <w:r w:rsidRPr="002D2A8F">
        <w:t xml:space="preserve"> in accordance with </w:t>
      </w:r>
      <w:r w:rsidRPr="00534192">
        <w:t>Part 5 (</w:t>
      </w:r>
      <w:r w:rsidRPr="00534192">
        <w:rPr>
          <w:i/>
        </w:rPr>
        <w:t>Billing and Collections</w:t>
      </w:r>
      <w:r w:rsidRPr="00534192">
        <w:t>)</w:t>
      </w:r>
      <w:r w:rsidRPr="002D2A8F">
        <w:t>. Conversely, if GPC is required by law or regulation to remit or pay Taxes that are Seller’s responsibility under this PPA, GPC may deduct those Taxes from the sums otherwise due to Seller under this PPA</w:t>
      </w:r>
      <w:r w:rsidRPr="002D2A8F" w:rsidR="002559A8">
        <w:t xml:space="preserve"> on an </w:t>
      </w:r>
      <w:r w:rsidRPr="002D2A8F" w:rsidR="009A2BAB">
        <w:t>A</w:t>
      </w:r>
      <w:r w:rsidRPr="002D2A8F" w:rsidR="002559A8">
        <w:t>fter-</w:t>
      </w:r>
      <w:r w:rsidRPr="002D2A8F" w:rsidR="009A2BAB">
        <w:t>T</w:t>
      </w:r>
      <w:r w:rsidRPr="002D2A8F" w:rsidR="002559A8">
        <w:t xml:space="preserve">ax </w:t>
      </w:r>
      <w:r w:rsidRPr="002D2A8F" w:rsidR="009A2BAB">
        <w:t>B</w:t>
      </w:r>
      <w:r w:rsidRPr="002D2A8F" w:rsidR="002559A8">
        <w:t>asis</w:t>
      </w:r>
      <w:r w:rsidRPr="002D2A8F">
        <w:t>. Any refund associated with the Taxes will be handled in the same manner. Nothing in this PPA will obligate or cause a Party to pay or be liable to pay any Taxes from which the Party is exempt under applicable law.</w:t>
      </w:r>
    </w:p>
    <w:p w:rsidRPr="002D2A8F" w:rsidR="002D54C4" w:rsidP="00ED6839" w:rsidRDefault="002D54C4" w14:paraId="0B48562D" w14:textId="30010510">
      <w:pPr>
        <w:pStyle w:val="zGTC01"/>
        <w:rPr>
          <w:rFonts w:ascii="Arial" w:hAnsi="Arial"/>
        </w:rPr>
      </w:pPr>
      <w:bookmarkStart w:name="_Toc169778589" w:id="101"/>
      <w:bookmarkStart w:name="_Toc227451354" w:id="102"/>
      <w:r w:rsidRPr="002D2A8F">
        <w:rPr>
          <w:rFonts w:ascii="Arial" w:hAnsi="Arial"/>
        </w:rPr>
        <w:t xml:space="preserve">Sale and Delivery of Capacity </w:t>
      </w:r>
      <w:bookmarkEnd w:id="101"/>
      <w:r w:rsidR="00DD4201">
        <w:rPr>
          <w:rFonts w:ascii="Arial" w:hAnsi="Arial"/>
        </w:rPr>
        <w:t>and Ene</w:t>
      </w:r>
      <w:r w:rsidR="00A80D9E">
        <w:rPr>
          <w:rFonts w:ascii="Arial" w:hAnsi="Arial"/>
        </w:rPr>
        <w:t>rgy</w:t>
      </w:r>
      <w:bookmarkEnd w:id="102"/>
    </w:p>
    <w:p w:rsidRPr="002D2A8F" w:rsidR="002D54C4" w:rsidP="002D54C4" w:rsidRDefault="002D54C4" w14:paraId="711EAE52" w14:textId="6F89D24C">
      <w:pPr>
        <w:pStyle w:val="zGTC02"/>
        <w:rPr>
          <w:rFonts w:ascii="Arial" w:hAnsi="Arial" w:cs="Arial"/>
          <w:specVanish/>
        </w:rPr>
      </w:pPr>
      <w:bookmarkStart w:name="_Toc156309755" w:id="103"/>
      <w:bookmarkStart w:name="_Toc169778590" w:id="104"/>
      <w:bookmarkStart w:name="_Toc227451355" w:id="105"/>
      <w:r w:rsidRPr="002D2A8F">
        <w:rPr>
          <w:rFonts w:ascii="Arial" w:hAnsi="Arial" w:cs="Arial"/>
        </w:rPr>
        <w:t>Agreement to Sell and Purchase.</w:t>
      </w:r>
      <w:bookmarkStart w:name="_Toc158593188" w:id="106"/>
      <w:bookmarkStart w:name="_Toc158597467" w:id="107"/>
      <w:bookmarkStart w:name="_Toc158720091" w:id="108"/>
      <w:bookmarkStart w:name="_Toc158722845" w:id="109"/>
      <w:bookmarkStart w:name="_Toc158929376" w:id="110"/>
      <w:bookmarkEnd w:id="103"/>
      <w:bookmarkEnd w:id="104"/>
      <w:bookmarkEnd w:id="105"/>
      <w:bookmarkEnd w:id="106"/>
      <w:bookmarkEnd w:id="107"/>
      <w:bookmarkEnd w:id="108"/>
      <w:bookmarkEnd w:id="109"/>
      <w:bookmarkEnd w:id="110"/>
    </w:p>
    <w:p w:rsidRPr="002D2A8F" w:rsidR="002D54C4" w:rsidP="008759EF" w:rsidRDefault="002D54C4" w14:paraId="7EA81AE0" w14:textId="77777777">
      <w:pPr>
        <w:pStyle w:val="zGTC03"/>
        <w:rPr>
          <w:rFonts w:cs="Arial"/>
          <w:b/>
          <w:vanish/>
          <w:specVanish/>
        </w:rPr>
      </w:pPr>
      <w:bookmarkStart w:name="_Toc158593189" w:id="111"/>
      <w:bookmarkStart w:name="_Toc158597468" w:id="112"/>
      <w:bookmarkStart w:name="_Toc158720092" w:id="113"/>
      <w:bookmarkStart w:name="_Toc158722846" w:id="114"/>
      <w:bookmarkStart w:name="_Toc158929377" w:id="115"/>
      <w:bookmarkEnd w:id="111"/>
      <w:bookmarkEnd w:id="112"/>
      <w:bookmarkEnd w:id="113"/>
      <w:bookmarkEnd w:id="114"/>
      <w:bookmarkEnd w:id="115"/>
      <w:r w:rsidRPr="002D2A8F">
        <w:rPr>
          <w:rFonts w:cs="Arial"/>
          <w:b/>
        </w:rPr>
        <w:t>Sale and Purchase Obligations During the Term.</w:t>
      </w:r>
    </w:p>
    <w:p w:rsidRPr="002D2A8F" w:rsidR="002D54C4" w:rsidP="002D54C4" w:rsidRDefault="002D54C4" w14:paraId="121BFE69" w14:textId="772F88D9">
      <w:pPr>
        <w:pStyle w:val="zGNormal"/>
      </w:pPr>
      <w:r w:rsidRPr="002D2A8F">
        <w:rPr>
          <w:b/>
        </w:rPr>
        <w:t xml:space="preserve"> </w:t>
      </w:r>
      <w:r w:rsidRPr="002D2A8F">
        <w:t>From the Delivery Commencement Date through the end of the Term, but subject to the terms of this PPA, Seller must sell to GPC: (i)</w:t>
      </w:r>
      <w:r w:rsidRPr="002D2A8F" w:rsidDel="00B74E23">
        <w:t xml:space="preserve"> </w:t>
      </w:r>
      <w:r w:rsidRPr="002D2A8F">
        <w:t>the entire electrical capability of the Facility</w:t>
      </w:r>
      <w:r w:rsidRPr="002D2A8F" w:rsidDel="000F38E9">
        <w:t>,</w:t>
      </w:r>
      <w:r w:rsidRPr="002D2A8F">
        <w:t xml:space="preserve"> net of any Station Service; and (ii) all associated </w:t>
      </w:r>
      <w:r w:rsidR="00211673">
        <w:t xml:space="preserve">energy storage services and </w:t>
      </w:r>
      <w:r w:rsidRPr="002D2A8F">
        <w:t xml:space="preserve">Ancillary Services. </w:t>
      </w:r>
      <w:r w:rsidRPr="002D2A8F" w:rsidDel="00F52B7D">
        <w:t xml:space="preserve">The </w:t>
      </w:r>
      <w:r w:rsidR="00BF5814">
        <w:t xml:space="preserve">receipt </w:t>
      </w:r>
      <w:r w:rsidR="000E49A7">
        <w:t>and</w:t>
      </w:r>
      <w:r w:rsidRPr="002D2A8F" w:rsidDel="00F52B7D">
        <w:t xml:space="preserve"> delivery of</w:t>
      </w:r>
      <w:r w:rsidR="00BF5814">
        <w:t xml:space="preserve"> </w:t>
      </w:r>
      <w:r w:rsidRPr="002D2A8F">
        <w:t>e</w:t>
      </w:r>
      <w:r w:rsidRPr="002D2A8F" w:rsidDel="00F52B7D">
        <w:t xml:space="preserve">nergy to the POI includes the transfer to GPC of all Ancillary Services associated with the energy. </w:t>
      </w:r>
      <w:r w:rsidRPr="002D2A8F" w:rsidR="002520E3">
        <w:t>Seller must make available and provide</w:t>
      </w:r>
      <w:r w:rsidRPr="002D2A8F" w:rsidR="00B97D3C">
        <w:t xml:space="preserve"> to GPC all</w:t>
      </w:r>
      <w:r w:rsidRPr="002D2A8F" w:rsidR="002520E3">
        <w:t xml:space="preserve"> </w:t>
      </w:r>
      <w:r w:rsidRPr="002D2A8F" w:rsidR="00B97D3C">
        <w:t>Ancillary Services</w:t>
      </w:r>
      <w:r w:rsidRPr="002D2A8F" w:rsidR="002520E3">
        <w:t xml:space="preserve"> as instructed by </w:t>
      </w:r>
      <w:r w:rsidRPr="002D2A8F" w:rsidR="00B97D3C">
        <w:t>GPC</w:t>
      </w:r>
      <w:r w:rsidRPr="002D2A8F" w:rsidR="002520E3">
        <w:t xml:space="preserve"> at all power output levels and during periods that the Facility is not </w:t>
      </w:r>
      <w:r w:rsidRPr="002D2A8F" w:rsidR="00B646CB">
        <w:t xml:space="preserve">actively </w:t>
      </w:r>
      <w:r w:rsidRPr="002D2A8F" w:rsidR="002520E3">
        <w:t xml:space="preserve">delivering energy. </w:t>
      </w:r>
      <w:r w:rsidRPr="002D2A8F">
        <w:t xml:space="preserve">The Monthly Capacity Payment (subject to </w:t>
      </w:r>
      <w:r w:rsidR="001633E4">
        <w:t>the Monthly Capacity</w:t>
      </w:r>
      <w:r w:rsidRPr="002D2A8F" w:rsidR="00887347">
        <w:t xml:space="preserve"> </w:t>
      </w:r>
      <w:r w:rsidRPr="002D2A8F" w:rsidR="001B1E5F">
        <w:t xml:space="preserve">Reduction </w:t>
      </w:r>
      <w:r w:rsidRPr="002D2A8F">
        <w:t xml:space="preserve">in accordance with </w:t>
      </w:r>
      <w:r w:rsidRPr="00534192">
        <w:t xml:space="preserve">Exhibit </w:t>
      </w:r>
      <w:r w:rsidRPr="00534192" w:rsidR="001633E4">
        <w:t>C</w:t>
      </w:r>
      <w:r w:rsidRPr="00534192">
        <w:t xml:space="preserve"> (</w:t>
      </w:r>
      <w:r w:rsidRPr="00534192" w:rsidR="00F41301">
        <w:rPr>
          <w:i/>
        </w:rPr>
        <w:t>Monthly Capacity Payments; Monthly Capacity Reductions; AGC Performance</w:t>
      </w:r>
      <w:r w:rsidRPr="004C6ED4" w:rsidR="004C6ED4">
        <w:rPr>
          <w:b/>
          <w:i/>
        </w:rPr>
        <w:t xml:space="preserve"> </w:t>
      </w:r>
      <w:r w:rsidRPr="004C6ED4" w:rsidR="004C6ED4">
        <w:rPr>
          <w:bCs/>
          <w:i/>
        </w:rPr>
        <w:t>Metrics and</w:t>
      </w:r>
      <w:r w:rsidRPr="00534192" w:rsidR="00F41301">
        <w:rPr>
          <w:i/>
        </w:rPr>
        <w:t xml:space="preserve"> Requirements</w:t>
      </w:r>
      <w:r w:rsidRPr="00534192">
        <w:t>)</w:t>
      </w:r>
      <w:r w:rsidRPr="002D2A8F">
        <w:t xml:space="preserve"> is the exclusive compensation owed to Seller for capacity, energy</w:t>
      </w:r>
      <w:r w:rsidR="00AD6F8C">
        <w:t>, energy</w:t>
      </w:r>
      <w:r w:rsidR="004A2A47">
        <w:t xml:space="preserve"> storage services</w:t>
      </w:r>
      <w:r w:rsidRPr="002D2A8F">
        <w:t xml:space="preserve">, and Ancillary Services under this PPA. All Renewable Energy, whether </w:t>
      </w:r>
      <w:r w:rsidR="00AE5E8A">
        <w:t>dispat</w:t>
      </w:r>
      <w:r w:rsidR="002A0367">
        <w:t>ched</w:t>
      </w:r>
      <w:r w:rsidRPr="002D2A8F">
        <w:t xml:space="preserve"> to the POI or the </w:t>
      </w:r>
      <w:r w:rsidRPr="00B22FBB" w:rsidR="00B22FBB">
        <w:t>B</w:t>
      </w:r>
      <w:r w:rsidRPr="002D2A8F">
        <w:t xml:space="preserve">ESS, will be provided to GPC for no additional cost beyond the Monthly Capacity Payment. GPC will have full discretion </w:t>
      </w:r>
      <w:r w:rsidRPr="002D2A8F" w:rsidR="0080523A">
        <w:t xml:space="preserve">to dispatch the Renewable Resource or </w:t>
      </w:r>
      <w:r w:rsidR="00B22FBB">
        <w:t>B</w:t>
      </w:r>
      <w:r w:rsidRPr="002D2A8F" w:rsidR="0080523A">
        <w:t>ESS to cause</w:t>
      </w:r>
      <w:r w:rsidRPr="002D2A8F">
        <w:t xml:space="preserve"> Renewable Energy </w:t>
      </w:r>
      <w:r w:rsidRPr="002D2A8F" w:rsidR="00D46F57">
        <w:t>or</w:t>
      </w:r>
      <w:r w:rsidRPr="002D2A8F">
        <w:t xml:space="preserve"> Grid</w:t>
      </w:r>
      <w:r w:rsidR="00F01404">
        <w:t xml:space="preserve"> Charging</w:t>
      </w:r>
      <w:r w:rsidRPr="002D2A8F">
        <w:t xml:space="preserve"> Energy to be stored in the </w:t>
      </w:r>
      <w:r w:rsidR="00B22FBB">
        <w:t>B</w:t>
      </w:r>
      <w:r w:rsidRPr="002D2A8F">
        <w:t>ESS or sent to the POI, and GPC will owe no separate payment for any energy delivered under this PPA, regardless of the source of the energy.</w:t>
      </w:r>
      <w:r w:rsidR="00D10FE4">
        <w:t xml:space="preserve"> Seller </w:t>
      </w:r>
      <w:r w:rsidR="00D9578B">
        <w:t xml:space="preserve">must </w:t>
      </w:r>
      <w:r w:rsidR="00D10FE4">
        <w:t>maintain throughout the Term GPC’s right to direct Charging Energy and Discharging Energy.</w:t>
      </w:r>
    </w:p>
    <w:p w:rsidRPr="002D2A8F" w:rsidR="002D54C4" w:rsidP="00BB7345" w:rsidRDefault="002D54C4" w14:paraId="56FBBF82" w14:textId="3ECA17AD">
      <w:pPr>
        <w:pStyle w:val="zGTC03"/>
        <w:rPr>
          <w:rFonts w:cs="Arial"/>
          <w:b/>
          <w:vanish/>
          <w:specVanish/>
        </w:rPr>
      </w:pPr>
      <w:r w:rsidRPr="002D2A8F">
        <w:rPr>
          <w:rFonts w:cs="Arial"/>
          <w:b/>
        </w:rPr>
        <w:t>Dispatch and Energy Delivery</w:t>
      </w:r>
      <w:r w:rsidRPr="002D2A8F" w:rsidR="00813399">
        <w:rPr>
          <w:rFonts w:cs="Arial"/>
          <w:b/>
        </w:rPr>
        <w:t>.</w:t>
      </w:r>
    </w:p>
    <w:p w:rsidRPr="002D2A8F" w:rsidR="002D54C4" w:rsidP="002D54C4" w:rsidRDefault="002D54C4" w14:paraId="12EED55E" w14:textId="15AFCAD7">
      <w:pPr>
        <w:pStyle w:val="zGNormal"/>
      </w:pPr>
      <w:r w:rsidRPr="002D2A8F">
        <w:t xml:space="preserve"> </w:t>
      </w:r>
      <w:r w:rsidR="00B71945">
        <w:t xml:space="preserve">GPC may dispatch the </w:t>
      </w:r>
      <w:r w:rsidR="00BA190D">
        <w:t xml:space="preserve">BESS and the </w:t>
      </w:r>
      <w:r w:rsidR="00B71945">
        <w:t xml:space="preserve">Renewable Resource </w:t>
      </w:r>
      <w:r w:rsidR="006B13A0">
        <w:t xml:space="preserve">by sending AGC Setpoint signals </w:t>
      </w:r>
      <w:r w:rsidR="007D661A">
        <w:t xml:space="preserve">every six seconds </w:t>
      </w:r>
      <w:r w:rsidR="006B13A0">
        <w:t xml:space="preserve">or </w:t>
      </w:r>
      <w:r w:rsidR="005F47B7">
        <w:t>instructions from the Dispatch Center, in each case in accordance</w:t>
      </w:r>
      <w:r w:rsidR="00340227">
        <w:t xml:space="preserve"> with the dispatch procedures set forth in Exhibit F (</w:t>
      </w:r>
      <w:r w:rsidRPr="00FB5D75" w:rsidR="00340227">
        <w:rPr>
          <w:i/>
          <w:iCs/>
        </w:rPr>
        <w:t>Facility Operating and Dispatching Requirements</w:t>
      </w:r>
      <w:r w:rsidR="00340227">
        <w:t>)</w:t>
      </w:r>
      <w:r w:rsidR="00B71945">
        <w:t>,</w:t>
      </w:r>
      <w:r w:rsidR="00112BAA">
        <w:t xml:space="preserve"> subject to</w:t>
      </w:r>
      <w:r w:rsidR="00340227">
        <w:t xml:space="preserve"> </w:t>
      </w:r>
      <w:r w:rsidR="008F74F0">
        <w:t xml:space="preserve">the </w:t>
      </w:r>
      <w:r w:rsidR="00340227">
        <w:t>Technical Limits</w:t>
      </w:r>
      <w:r w:rsidR="008F74F0">
        <w:t>,</w:t>
      </w:r>
      <w:r w:rsidR="00340227">
        <w:t xml:space="preserve"> Interconnection Limit</w:t>
      </w:r>
      <w:r w:rsidR="008F74F0">
        <w:t xml:space="preserve">, and Section </w:t>
      </w:r>
      <w:r w:rsidR="00440707">
        <w:t xml:space="preserve">11.2 </w:t>
      </w:r>
      <w:r w:rsidRPr="00440707" w:rsidR="00440707">
        <w:rPr>
          <w:u w:val="single"/>
        </w:rPr>
        <w:t>(</w:t>
      </w:r>
      <w:r w:rsidRPr="00440707" w:rsidR="00440707">
        <w:rPr>
          <w:i/>
          <w:iCs/>
          <w:u w:val="single"/>
        </w:rPr>
        <w:t>Limit on Delivered Energy; Curtailment of Energy from Renewable Resource</w:t>
      </w:r>
      <w:r w:rsidRPr="00440707" w:rsidR="00440707">
        <w:rPr>
          <w:u w:val="single"/>
        </w:rPr>
        <w:t>)</w:t>
      </w:r>
      <w:r w:rsidR="004563CC">
        <w:t>.</w:t>
      </w:r>
      <w:r w:rsidRPr="002D2A8F">
        <w:t xml:space="preserve"> If the Renewable Resource is not being curtailed, the AGC </w:t>
      </w:r>
      <w:r w:rsidRPr="002D2A8F" w:rsidR="0006018E">
        <w:t>S</w:t>
      </w:r>
      <w:r w:rsidRPr="002D2A8F">
        <w:t>etpoint</w:t>
      </w:r>
      <w:r w:rsidRPr="002D2A8F" w:rsidR="0006018E">
        <w:t xml:space="preserve"> signal</w:t>
      </w:r>
      <w:r w:rsidRPr="002D2A8F">
        <w:t xml:space="preserve"> will echo either the </w:t>
      </w:r>
      <w:r w:rsidRPr="002D2A8F">
        <w:rPr>
          <w:bCs/>
        </w:rPr>
        <w:t>Operating</w:t>
      </w:r>
      <w:r w:rsidRPr="002D2A8F">
        <w:rPr>
          <w:b/>
        </w:rPr>
        <w:t xml:space="preserve"> </w:t>
      </w:r>
      <w:r w:rsidRPr="002D2A8F">
        <w:t xml:space="preserve">High Limit or the Potential High Limit of the Renewable Resource. GPC retains full control of energy delivery, whether through AGC or specific directives from GPC, from both the Renewable Resource and the </w:t>
      </w:r>
      <w:r w:rsidR="00B22FBB">
        <w:t>B</w:t>
      </w:r>
      <w:r w:rsidRPr="002D2A8F">
        <w:t>ESS.</w:t>
      </w:r>
    </w:p>
    <w:p w:rsidRPr="002D2A8F" w:rsidR="002D54C4" w:rsidP="008759EF" w:rsidRDefault="002D54C4" w14:paraId="6F7C2347" w14:textId="374DD3F4">
      <w:pPr>
        <w:pStyle w:val="zGTC03"/>
        <w:rPr>
          <w:rFonts w:cs="Arial"/>
          <w:b/>
          <w:vanish/>
          <w:specVanish/>
        </w:rPr>
      </w:pPr>
      <w:r w:rsidRPr="002D2A8F">
        <w:rPr>
          <w:rFonts w:cs="Arial"/>
          <w:b/>
        </w:rPr>
        <w:lastRenderedPageBreak/>
        <w:t>Station Service.</w:t>
      </w:r>
    </w:p>
    <w:p w:rsidRPr="002D2A8F" w:rsidR="002D54C4" w:rsidP="002D54C4" w:rsidRDefault="002D54C4" w14:paraId="08625A79" w14:textId="7C9561EC">
      <w:pPr>
        <w:pStyle w:val="zGNormal"/>
      </w:pPr>
      <w:r w:rsidRPr="002D2A8F">
        <w:t xml:space="preserve"> Seller </w:t>
      </w:r>
      <w:r w:rsidRPr="002D2A8F" w:rsidR="006F65E5">
        <w:t xml:space="preserve">is responsible for all Station Service at Seller’s expense. </w:t>
      </w:r>
      <w:r w:rsidRPr="002D2A8F" w:rsidR="0053750E">
        <w:t xml:space="preserve">If the Facility is located within the state of Georgia, Seller must arrange Station Service for the Facility in accordance with the Georgia Territorial Electric Service Act (O.C.G.A. §§ 46-3-1 through 46-3-15). </w:t>
      </w:r>
      <w:r w:rsidRPr="002D2A8F">
        <w:t xml:space="preserve">Seller may, at Seller’s discretion, use energy generated by the Renewable Resource but not stored in the </w:t>
      </w:r>
      <w:r w:rsidR="00B22FBB">
        <w:t>B</w:t>
      </w:r>
      <w:r w:rsidRPr="002D2A8F">
        <w:t xml:space="preserve">ESS to provide Station Service. Seller must separately meter Auxiliary Operational Load at all times, and Auxiliary Operational Load will not be netted as part of Charging </w:t>
      </w:r>
      <w:r w:rsidR="00A7594B">
        <w:t xml:space="preserve">Energy </w:t>
      </w:r>
      <w:r w:rsidRPr="002D2A8F">
        <w:t>or Discharging Energy. Seller will be responsible for all costs associated with Station Service</w:t>
      </w:r>
      <w:r w:rsidR="002E4A96">
        <w:t>, including Station Service</w:t>
      </w:r>
      <w:r w:rsidRPr="002D2A8F">
        <w:t xml:space="preserve"> used for the operation of equipment (e.g. power conversion stations) during periods when the Renewable Resource is not </w:t>
      </w:r>
      <w:r w:rsidRPr="002D2A8F" w:rsidR="00090F49">
        <w:t>generating,</w:t>
      </w:r>
      <w:r w:rsidRPr="002D2A8F">
        <w:t xml:space="preserve"> or the </w:t>
      </w:r>
      <w:r w:rsidR="00B22FBB">
        <w:t>B</w:t>
      </w:r>
      <w:r w:rsidRPr="002D2A8F">
        <w:t xml:space="preserve">ESS is not charging or discharging (e.g. idle). </w:t>
      </w:r>
    </w:p>
    <w:p w:rsidRPr="002D2A8F" w:rsidR="002D54C4" w:rsidP="008759EF" w:rsidRDefault="002D54C4" w14:paraId="63905CDA" w14:textId="26489B91">
      <w:pPr>
        <w:pStyle w:val="zGTC03"/>
        <w:rPr>
          <w:rFonts w:cs="Arial"/>
          <w:b/>
          <w:vanish/>
          <w:specVanish/>
        </w:rPr>
      </w:pPr>
      <w:r w:rsidRPr="002D2A8F">
        <w:rPr>
          <w:rFonts w:cs="Arial"/>
          <w:b/>
        </w:rPr>
        <w:t>Delivery of Energy; Risk of Loss; Balancing Services.</w:t>
      </w:r>
    </w:p>
    <w:p w:rsidRPr="002D2A8F" w:rsidR="002D54C4" w:rsidP="002D54C4" w:rsidRDefault="002D54C4" w14:paraId="3447092A" w14:textId="4754F881">
      <w:pPr>
        <w:pStyle w:val="zGNormal"/>
      </w:pPr>
      <w:r w:rsidRPr="002D2A8F">
        <w:t xml:space="preserve"> Seller must</w:t>
      </w:r>
      <w:r w:rsidRPr="002D2A8F" w:rsidDel="00FE1BE9">
        <w:t xml:space="preserve"> </w:t>
      </w:r>
      <w:r w:rsidR="005F3857">
        <w:t xml:space="preserve">(i) </w:t>
      </w:r>
      <w:r w:rsidR="001C637F">
        <w:t xml:space="preserve">ensure the </w:t>
      </w:r>
      <w:r w:rsidR="00C92FA9">
        <w:t>Facility</w:t>
      </w:r>
      <w:r w:rsidR="009D6928">
        <w:t xml:space="preserve"> </w:t>
      </w:r>
      <w:r w:rsidR="001C637F">
        <w:t xml:space="preserve">is </w:t>
      </w:r>
      <w:r w:rsidR="00057B17">
        <w:t>A</w:t>
      </w:r>
      <w:r w:rsidR="001C637F">
        <w:t>vailable in accordance with this PPA</w:t>
      </w:r>
      <w:r w:rsidR="009D6928">
        <w:t xml:space="preserve"> </w:t>
      </w:r>
      <w:r w:rsidRPr="002D2A8F">
        <w:t xml:space="preserve">and </w:t>
      </w:r>
      <w:r w:rsidR="00622F97">
        <w:t xml:space="preserve">(ii) </w:t>
      </w:r>
      <w:r w:rsidR="00092136">
        <w:t xml:space="preserve">deliver </w:t>
      </w:r>
      <w:r w:rsidRPr="002D2A8F">
        <w:t>energy from the Facility to GPC</w:t>
      </w:r>
      <w:r w:rsidRPr="002D2A8F" w:rsidDel="00B74E23">
        <w:t xml:space="preserve"> </w:t>
      </w:r>
      <w:r w:rsidRPr="002D2A8F">
        <w:t>at the POI</w:t>
      </w:r>
      <w:r w:rsidR="00092136">
        <w:t xml:space="preserve"> in accordance with GPC’s AGC </w:t>
      </w:r>
      <w:r w:rsidR="005F70BF">
        <w:t xml:space="preserve">Setpoint </w:t>
      </w:r>
      <w:r w:rsidR="00092136">
        <w:t xml:space="preserve">signals or </w:t>
      </w:r>
      <w:r w:rsidR="005F70BF">
        <w:t>instructions from the Dispatch Center</w:t>
      </w:r>
      <w:r w:rsidRPr="002D2A8F">
        <w:t xml:space="preserve">. </w:t>
      </w:r>
      <w:r w:rsidR="00557955">
        <w:t>The risk of loss of</w:t>
      </w:r>
      <w:r w:rsidR="00954352">
        <w:t>: (i)</w:t>
      </w:r>
      <w:r w:rsidR="00557955">
        <w:t xml:space="preserve"> </w:t>
      </w:r>
      <w:r w:rsidR="00265CC9">
        <w:t xml:space="preserve">Grid </w:t>
      </w:r>
      <w:r w:rsidR="00557955">
        <w:t>Charging Energy will pass from GPC to Seller at the POI</w:t>
      </w:r>
      <w:r w:rsidR="00954352">
        <w:t xml:space="preserve">; </w:t>
      </w:r>
      <w:r w:rsidR="00FC36C1">
        <w:t xml:space="preserve">and </w:t>
      </w:r>
      <w:r w:rsidR="00954352">
        <w:t>(ii)</w:t>
      </w:r>
      <w:r w:rsidRPr="002D2A8F">
        <w:t xml:space="preserve"> </w:t>
      </w:r>
      <w:r w:rsidR="00DC4360">
        <w:t>Discharging E</w:t>
      </w:r>
      <w:r w:rsidRPr="002D2A8F">
        <w:t>nergy will</w:t>
      </w:r>
      <w:r w:rsidRPr="002D2A8F" w:rsidDel="00FE1BE9">
        <w:t xml:space="preserve"> </w:t>
      </w:r>
      <w:r w:rsidRPr="002D2A8F">
        <w:t>pass from Seller to GPC</w:t>
      </w:r>
      <w:r w:rsidRPr="002D2A8F" w:rsidDel="00B74E23">
        <w:t xml:space="preserve"> </w:t>
      </w:r>
      <w:r w:rsidRPr="002D2A8F">
        <w:t xml:space="preserve">at the POI. The Facility </w:t>
      </w:r>
      <w:r w:rsidR="00595DF7">
        <w:t>must</w:t>
      </w:r>
      <w:r w:rsidRPr="002D2A8F" w:rsidR="000411AA">
        <w:t xml:space="preserve"> </w:t>
      </w:r>
      <w:r w:rsidRPr="002D2A8F" w:rsidR="00661833">
        <w:t>interconnect</w:t>
      </w:r>
      <w:r w:rsidRPr="002D2A8F">
        <w:t xml:space="preserve"> </w:t>
      </w:r>
      <w:r w:rsidRPr="002D2A8F" w:rsidR="00CB34A1">
        <w:t xml:space="preserve">to </w:t>
      </w:r>
      <w:r w:rsidRPr="002D2A8F">
        <w:t xml:space="preserve">the </w:t>
      </w:r>
      <w:r w:rsidR="00595DF7">
        <w:t>Southern Company Transmission System</w:t>
      </w:r>
      <w:r w:rsidRPr="002D2A8F">
        <w:t xml:space="preserve"> </w:t>
      </w:r>
      <w:r w:rsidR="0037748B">
        <w:t xml:space="preserve">at the POI </w:t>
      </w:r>
      <w:r w:rsidRPr="002D2A8F">
        <w:t>and must</w:t>
      </w:r>
      <w:r w:rsidRPr="002D2A8F" w:rsidDel="00FE1BE9">
        <w:t xml:space="preserve"> </w:t>
      </w:r>
      <w:r w:rsidRPr="002D2A8F">
        <w:t xml:space="preserve">be situated such that GPC can provide balancing services and </w:t>
      </w:r>
      <w:r w:rsidR="00436D5B">
        <w:t xml:space="preserve">direct </w:t>
      </w:r>
      <w:r w:rsidRPr="002D2A8F">
        <w:t>Grid Charging under the Southern OATT. GPC will</w:t>
      </w:r>
      <w:r w:rsidRPr="002D2A8F" w:rsidDel="00FE1BE9">
        <w:t xml:space="preserve"> </w:t>
      </w:r>
      <w:r w:rsidRPr="002D2A8F">
        <w:t xml:space="preserve">be responsible for providing generator balancing services regarding the SBAA and Southern OATT necessary for the receipt of energy in accordance with GPC’s </w:t>
      </w:r>
      <w:r w:rsidR="00792068">
        <w:t>dispatch instructions</w:t>
      </w:r>
      <w:r w:rsidRPr="002D2A8F" w:rsidR="00792068">
        <w:t xml:space="preserve"> </w:t>
      </w:r>
      <w:r w:rsidRPr="002D2A8F">
        <w:t>and for any associated costs.</w:t>
      </w:r>
    </w:p>
    <w:p w:rsidRPr="002D2A8F" w:rsidR="002D54C4" w:rsidP="008759EF" w:rsidRDefault="002D54C4" w14:paraId="24374E4D" w14:textId="1DC9F90E">
      <w:pPr>
        <w:pStyle w:val="zGTC03"/>
        <w:rPr>
          <w:rFonts w:cs="Arial"/>
          <w:b/>
          <w:vanish/>
          <w:specVanish/>
        </w:rPr>
      </w:pPr>
      <w:r w:rsidRPr="002D2A8F">
        <w:rPr>
          <w:rFonts w:cs="Arial"/>
          <w:b/>
        </w:rPr>
        <w:t>Unavailability.</w:t>
      </w:r>
    </w:p>
    <w:p w:rsidRPr="002D2A8F" w:rsidR="002D54C4" w:rsidP="00C1276B" w:rsidRDefault="002D54C4" w14:paraId="78C3A2BB" w14:textId="6DEBE309">
      <w:pPr>
        <w:pStyle w:val="zGTC04"/>
        <w:numPr>
          <w:ilvl w:val="3"/>
          <w:numId w:val="8"/>
        </w:numPr>
        <w:tabs>
          <w:tab w:val="num" w:pos="1728"/>
        </w:tabs>
        <w:rPr>
          <w:rFonts w:cs="Arial"/>
        </w:rPr>
      </w:pPr>
      <w:r w:rsidRPr="002D2A8F">
        <w:rPr>
          <w:rFonts w:cs="Arial"/>
          <w:b/>
        </w:rPr>
        <w:t xml:space="preserve"> </w:t>
      </w:r>
      <w:r w:rsidRPr="002D2A8F">
        <w:rPr>
          <w:rFonts w:cs="Arial"/>
        </w:rPr>
        <w:t xml:space="preserve">Seller </w:t>
      </w:r>
      <w:r w:rsidRPr="002D2A8F" w:rsidR="00A0104B">
        <w:rPr>
          <w:rFonts w:cs="Arial"/>
        </w:rPr>
        <w:t>must</w:t>
      </w:r>
      <w:r w:rsidRPr="002D2A8F">
        <w:rPr>
          <w:rFonts w:cs="Arial"/>
        </w:rPr>
        <w:t xml:space="preserve"> promptly and accurately communicate to GPC any </w:t>
      </w:r>
      <w:r w:rsidR="00891B8D">
        <w:rPr>
          <w:rFonts w:cs="Arial"/>
        </w:rPr>
        <w:t>Facility</w:t>
      </w:r>
      <w:r w:rsidRPr="002D2A8F">
        <w:rPr>
          <w:rFonts w:cs="Arial"/>
        </w:rPr>
        <w:t xml:space="preserve"> outage, derate, or other operational limitation via GPC’s data systems and email as specified in the Operating Procedures.</w:t>
      </w:r>
      <w:r w:rsidRPr="002405B6" w:rsidR="002405B6">
        <w:t xml:space="preserve"> </w:t>
      </w:r>
    </w:p>
    <w:p w:rsidRPr="002D2A8F" w:rsidR="002D54C4" w:rsidP="008759EF" w:rsidRDefault="002D54C4" w14:paraId="0446DA12" w14:textId="2F0A155D">
      <w:pPr>
        <w:pStyle w:val="zGTC03"/>
        <w:rPr>
          <w:rFonts w:cs="Arial"/>
          <w:b/>
          <w:vanish/>
          <w:specVanish/>
        </w:rPr>
      </w:pPr>
      <w:r w:rsidRPr="002D2A8F">
        <w:rPr>
          <w:rFonts w:cs="Arial"/>
          <w:b/>
        </w:rPr>
        <w:t>GPC’s Dispatch Right for Storage Device Design Capacity and Ancillary Services.</w:t>
      </w:r>
    </w:p>
    <w:p w:rsidRPr="002D2A8F" w:rsidR="002D54C4" w:rsidP="002D54C4" w:rsidRDefault="002D54C4" w14:paraId="2D289B03" w14:textId="44427F83">
      <w:pPr>
        <w:pStyle w:val="zGNormal"/>
      </w:pPr>
      <w:r w:rsidRPr="002D2A8F">
        <w:t xml:space="preserve"> </w:t>
      </w:r>
      <w:r w:rsidRPr="002D2A8F" w:rsidDel="0097416C">
        <w:t>GPC will be entitled to dispatch</w:t>
      </w:r>
      <w:r w:rsidRPr="002D2A8F" w:rsidDel="0097416C">
        <w:rPr>
          <w:b/>
          <w:bCs/>
        </w:rPr>
        <w:t xml:space="preserve"> </w:t>
      </w:r>
      <w:r w:rsidRPr="002D2A8F" w:rsidDel="0097416C">
        <w:t>and receive, and if dispatched</w:t>
      </w:r>
      <w:r w:rsidRPr="002D2A8F" w:rsidDel="0097416C">
        <w:rPr>
          <w:b/>
          <w:bCs/>
        </w:rPr>
        <w:t xml:space="preserve"> </w:t>
      </w:r>
      <w:r w:rsidRPr="002D2A8F" w:rsidDel="0097416C">
        <w:t>by GPC</w:t>
      </w:r>
      <w:r w:rsidR="00716A01">
        <w:t xml:space="preserve"> in accordance with Section 4.1.2 (</w:t>
      </w:r>
      <w:r w:rsidRPr="00716A01" w:rsidR="00716A01">
        <w:rPr>
          <w:i/>
          <w:iCs/>
        </w:rPr>
        <w:t>Dispatch and Energy Delivery</w:t>
      </w:r>
      <w:r w:rsidR="00716A01">
        <w:t>)</w:t>
      </w:r>
      <w:r w:rsidRPr="002D2A8F">
        <w:t>,</w:t>
      </w:r>
      <w:r w:rsidRPr="002D2A8F" w:rsidDel="0097416C">
        <w:t xml:space="preserve"> Seller </w:t>
      </w:r>
      <w:r w:rsidDel="0097416C" w:rsidR="00765E2A">
        <w:t>must</w:t>
      </w:r>
      <w:r w:rsidR="00F641D1">
        <w:t>:</w:t>
      </w:r>
      <w:r w:rsidR="000C562A">
        <w:t xml:space="preserve"> (i)</w:t>
      </w:r>
      <w:r w:rsidR="00A63B52">
        <w:t xml:space="preserve"> </w:t>
      </w:r>
      <w:r w:rsidR="00AE5926">
        <w:t xml:space="preserve">discharge the BESS in accordance with GPC’s </w:t>
      </w:r>
      <w:r w:rsidR="006A1057">
        <w:t>AGC Setpoint signals or other direction, up to the SDDC</w:t>
      </w:r>
      <w:r w:rsidR="000C562A">
        <w:t xml:space="preserve">; and (ii) </w:t>
      </w:r>
      <w:r w:rsidR="009C68E6">
        <w:t xml:space="preserve">deliver </w:t>
      </w:r>
      <w:r w:rsidR="00446B73">
        <w:t>all</w:t>
      </w:r>
      <w:r w:rsidR="009C68E6">
        <w:t xml:space="preserve"> </w:t>
      </w:r>
      <w:r w:rsidR="00B94E92">
        <w:t>capacity, energy storage services, and</w:t>
      </w:r>
      <w:r w:rsidR="00446B73">
        <w:t xml:space="preserve"> </w:t>
      </w:r>
      <w:r w:rsidR="003228CC">
        <w:t>Ancillary Services</w:t>
      </w:r>
      <w:r w:rsidR="00924680">
        <w:t xml:space="preserve">, in each </w:t>
      </w:r>
      <w:r w:rsidR="001403E5">
        <w:t>of subsections (i) and (ii)</w:t>
      </w:r>
      <w:r w:rsidR="00924680">
        <w:t xml:space="preserve"> in accordance with Seller’s delivery obligations under this PPA, including Section 4.1.4 (</w:t>
      </w:r>
      <w:r w:rsidRPr="00F32A5C" w:rsidR="00924680">
        <w:rPr>
          <w:i/>
          <w:iCs/>
        </w:rPr>
        <w:t xml:space="preserve">Delivery of Energy; Risk of Loss; </w:t>
      </w:r>
      <w:r w:rsidRPr="00F32A5C" w:rsidR="00F32A5C">
        <w:rPr>
          <w:i/>
          <w:iCs/>
        </w:rPr>
        <w:t>Balancing Services</w:t>
      </w:r>
      <w:r w:rsidR="00F32A5C">
        <w:t>) and Part 12 (</w:t>
      </w:r>
      <w:r w:rsidRPr="00F32A5C" w:rsidR="00F32A5C">
        <w:rPr>
          <w:i/>
          <w:iCs/>
        </w:rPr>
        <w:t>Energy Dispatch</w:t>
      </w:r>
      <w:r w:rsidR="00F32A5C">
        <w:t>)</w:t>
      </w:r>
      <w:r w:rsidR="003228CC">
        <w:t>.</w:t>
      </w:r>
    </w:p>
    <w:p w:rsidRPr="002D2A8F" w:rsidR="002D54C4" w:rsidP="008759EF" w:rsidRDefault="002D54C4" w14:paraId="09CF9DF5" w14:textId="23C6D163">
      <w:pPr>
        <w:pStyle w:val="zGTC03"/>
        <w:rPr>
          <w:rFonts w:cs="Arial"/>
          <w:b/>
          <w:vanish/>
          <w:specVanish/>
        </w:rPr>
      </w:pPr>
      <w:r w:rsidRPr="002D2A8F">
        <w:rPr>
          <w:rFonts w:cs="Arial"/>
          <w:b/>
        </w:rPr>
        <w:t>Delivery of Renewable Energy.</w:t>
      </w:r>
    </w:p>
    <w:p w:rsidRPr="002D2A8F" w:rsidR="002D54C4" w:rsidP="002D54C4" w:rsidRDefault="002D54C4" w14:paraId="7CEB67A3" w14:textId="66622967">
      <w:pPr>
        <w:pStyle w:val="zGNormal"/>
      </w:pPr>
      <w:r w:rsidRPr="002D2A8F">
        <w:rPr>
          <w:b/>
        </w:rPr>
        <w:t xml:space="preserve"> </w:t>
      </w:r>
      <w:r w:rsidRPr="002D2A8F">
        <w:t xml:space="preserve">Commencing on the </w:t>
      </w:r>
      <w:r w:rsidRPr="002D2A8F" w:rsidR="00364CE5">
        <w:t>Delivery Commencement Date</w:t>
      </w:r>
      <w:r w:rsidRPr="002D2A8F">
        <w:t xml:space="preserve"> and </w:t>
      </w:r>
      <w:r w:rsidRPr="002D2A8F" w:rsidR="00903F4A">
        <w:t>contin</w:t>
      </w:r>
      <w:r w:rsidRPr="002D2A8F" w:rsidR="00C26F9A">
        <w:t>uing throughout the Term</w:t>
      </w:r>
      <w:r w:rsidRPr="002D2A8F">
        <w:t xml:space="preserve">, subject to the terms and conditions of this PPA, GPC will receive from Seller at the POI or the </w:t>
      </w:r>
      <w:r w:rsidR="00B22FBB">
        <w:t>B</w:t>
      </w:r>
      <w:r w:rsidRPr="002D2A8F">
        <w:t xml:space="preserve">ESS all Renewable Energy produced by the </w:t>
      </w:r>
      <w:r w:rsidRPr="002D2A8F" w:rsidR="007D7757">
        <w:t>Renewable Resource</w:t>
      </w:r>
      <w:r w:rsidRPr="002D2A8F">
        <w:t>, less any Renewable Energy used as Station Service. However, (</w:t>
      </w:r>
      <w:r w:rsidRPr="002D2A8F" w:rsidR="00756E4C">
        <w:t>i</w:t>
      </w:r>
      <w:r w:rsidRPr="002D2A8F">
        <w:t xml:space="preserve">) Seller is prohibited from delivering, and GPC is not obligated to receive, </w:t>
      </w:r>
      <w:r w:rsidR="00B57CE2">
        <w:t>Renewable Energy</w:t>
      </w:r>
      <w:r w:rsidRPr="002D2A8F" w:rsidR="00B57CE2">
        <w:t xml:space="preserve"> </w:t>
      </w:r>
      <w:r w:rsidRPr="002D2A8F">
        <w:t>in an amount that exceeds the Interconnection Limit</w:t>
      </w:r>
      <w:r w:rsidRPr="002D2A8F" w:rsidR="00756E4C">
        <w:t>;</w:t>
      </w:r>
      <w:r w:rsidRPr="002D2A8F">
        <w:t xml:space="preserve"> and (</w:t>
      </w:r>
      <w:r w:rsidRPr="002D2A8F" w:rsidR="00756E4C">
        <w:t>ii</w:t>
      </w:r>
      <w:r w:rsidRPr="002D2A8F">
        <w:t xml:space="preserve">) Renewable Energy is subject to Curtailment through GPC’s AGC Setpoint signals </w:t>
      </w:r>
      <w:r w:rsidR="00271CC1">
        <w:t xml:space="preserve">or other </w:t>
      </w:r>
      <w:r w:rsidR="00BA60DA">
        <w:t xml:space="preserve">Dispatch Center </w:t>
      </w:r>
      <w:r w:rsidR="00271CC1">
        <w:t xml:space="preserve">instructions </w:t>
      </w:r>
      <w:r w:rsidRPr="002D2A8F">
        <w:t>as set forth in this PPA.</w:t>
      </w:r>
    </w:p>
    <w:p w:rsidRPr="002D2A8F" w:rsidR="002D54C4" w:rsidP="008759EF" w:rsidRDefault="002D54C4" w14:paraId="6DF3DBC9" w14:textId="12F9F1C7">
      <w:pPr>
        <w:pStyle w:val="zGTC03"/>
        <w:rPr>
          <w:rFonts w:cs="Arial"/>
          <w:b/>
          <w:vanish/>
          <w:specVanish/>
        </w:rPr>
      </w:pPr>
      <w:r w:rsidRPr="002D2A8F">
        <w:rPr>
          <w:rFonts w:cs="Arial"/>
          <w:b/>
        </w:rPr>
        <w:t>No Sale of Capacity, Energy, or Ancillary Services to a Third Party.</w:t>
      </w:r>
    </w:p>
    <w:p w:rsidRPr="002D2A8F" w:rsidR="002D54C4" w:rsidP="002D54C4" w:rsidRDefault="002D54C4" w14:paraId="3F43ACB9" w14:textId="1EC3854D">
      <w:pPr>
        <w:pStyle w:val="zGNormal"/>
      </w:pPr>
      <w:r w:rsidRPr="002D2A8F">
        <w:t xml:space="preserve"> </w:t>
      </w:r>
      <w:r w:rsidR="00E65403">
        <w:t xml:space="preserve">During the Term, </w:t>
      </w:r>
      <w:r w:rsidRPr="002D2A8F">
        <w:t>Seller must</w:t>
      </w:r>
      <w:r w:rsidRPr="002D2A8F" w:rsidDel="00CD43FD">
        <w:t xml:space="preserve"> </w:t>
      </w:r>
      <w:r w:rsidRPr="002D2A8F">
        <w:t xml:space="preserve">not sell any of the capacity, energy, </w:t>
      </w:r>
      <w:r w:rsidR="00312DAA">
        <w:t xml:space="preserve">energy storage services, </w:t>
      </w:r>
      <w:r w:rsidRPr="002D2A8F">
        <w:t xml:space="preserve">or Ancillary Services associated with the </w:t>
      </w:r>
      <w:r w:rsidR="00B22FBB">
        <w:t>B</w:t>
      </w:r>
      <w:r w:rsidRPr="002D2A8F">
        <w:t>ESS or the Renewable Resource to any Person</w:t>
      </w:r>
      <w:r w:rsidRPr="002D2A8F" w:rsidR="00182CF9">
        <w:t xml:space="preserve"> other than GPC</w:t>
      </w:r>
      <w:r w:rsidRPr="002D2A8F">
        <w:t>, including the sale of any energy not dispatched</w:t>
      </w:r>
      <w:r w:rsidRPr="002D2A8F">
        <w:rPr>
          <w:b/>
          <w:bCs/>
        </w:rPr>
        <w:t xml:space="preserve"> </w:t>
      </w:r>
      <w:r w:rsidRPr="002D2A8F">
        <w:t xml:space="preserve">by GPC or the sale of any Renewable </w:t>
      </w:r>
      <w:r w:rsidR="00371E35">
        <w:t>Energy</w:t>
      </w:r>
      <w:r w:rsidRPr="002D2A8F" w:rsidR="00371E35">
        <w:t xml:space="preserve"> </w:t>
      </w:r>
      <w:r w:rsidRPr="002D2A8F" w:rsidR="000B67C9">
        <w:t>C</w:t>
      </w:r>
      <w:r w:rsidRPr="002D2A8F">
        <w:t xml:space="preserve">urtailed by GPC under </w:t>
      </w:r>
      <w:r w:rsidRPr="00534192">
        <w:t xml:space="preserve">Section </w:t>
      </w:r>
      <w:r w:rsidRPr="00534192" w:rsidR="0037604E">
        <w:t>11.2</w:t>
      </w:r>
      <w:r w:rsidRPr="00534192">
        <w:t xml:space="preserve"> (</w:t>
      </w:r>
      <w:r w:rsidRPr="00534192">
        <w:rPr>
          <w:i/>
        </w:rPr>
        <w:t>Limit on Delivered Energy; Curtailment of Energy from Renewable Resource</w:t>
      </w:r>
      <w:r w:rsidRPr="00534192">
        <w:t>)</w:t>
      </w:r>
      <w:r w:rsidRPr="002D2A8F">
        <w:t>.</w:t>
      </w:r>
    </w:p>
    <w:p w:rsidRPr="002D2A8F" w:rsidR="002D54C4" w:rsidP="002D54C4" w:rsidRDefault="002D54C4" w14:paraId="2246150B" w14:textId="77777777">
      <w:pPr>
        <w:pStyle w:val="zGTC02"/>
        <w:rPr>
          <w:rFonts w:ascii="Arial" w:hAnsi="Arial" w:cs="Arial"/>
          <w:vanish/>
          <w:specVanish/>
        </w:rPr>
      </w:pPr>
      <w:bookmarkStart w:name="_Toc156309756" w:id="116"/>
      <w:bookmarkStart w:name="_Toc169778591" w:id="117"/>
      <w:bookmarkStart w:name="_Toc227451356" w:id="118"/>
      <w:r w:rsidRPr="002D2A8F">
        <w:rPr>
          <w:rFonts w:ascii="Arial" w:hAnsi="Arial" w:cs="Arial"/>
        </w:rPr>
        <w:t>Calculation of Monthly Capacity Payments.</w:t>
      </w:r>
      <w:bookmarkStart w:name="_Toc158593190" w:id="119"/>
      <w:bookmarkStart w:name="_Toc158597469" w:id="120"/>
      <w:bookmarkStart w:name="_Toc158720093" w:id="121"/>
      <w:bookmarkStart w:name="_Toc158722847" w:id="122"/>
      <w:bookmarkStart w:name="_Toc158929378" w:id="123"/>
      <w:bookmarkEnd w:id="116"/>
      <w:bookmarkEnd w:id="117"/>
      <w:bookmarkEnd w:id="118"/>
      <w:bookmarkEnd w:id="119"/>
      <w:bookmarkEnd w:id="120"/>
      <w:bookmarkEnd w:id="121"/>
      <w:bookmarkEnd w:id="122"/>
      <w:bookmarkEnd w:id="123"/>
    </w:p>
    <w:p w:rsidRPr="002D2A8F" w:rsidR="002D54C4" w:rsidP="002D54C4" w:rsidRDefault="002D54C4" w14:paraId="75A206AF" w14:textId="50435C92">
      <w:pPr>
        <w:pStyle w:val="zGNormal"/>
      </w:pPr>
      <w:r w:rsidRPr="002D2A8F">
        <w:t xml:space="preserve"> Subject to the terms of this PPA, GPC</w:t>
      </w:r>
      <w:r w:rsidRPr="002D2A8F" w:rsidDel="00681AF2">
        <w:t xml:space="preserve"> </w:t>
      </w:r>
      <w:r w:rsidRPr="002D2A8F">
        <w:t>will</w:t>
      </w:r>
      <w:r w:rsidRPr="002D2A8F" w:rsidDel="00CD43FD">
        <w:t xml:space="preserve"> </w:t>
      </w:r>
      <w:r w:rsidRPr="002D2A8F">
        <w:t>pay Seller a Monthly Capacity Payment calculated in accordance with</w:t>
      </w:r>
      <w:r w:rsidR="00E36D74">
        <w:t xml:space="preserve"> </w:t>
      </w:r>
      <w:r w:rsidR="00142EFB">
        <w:t>Section 1.2 (</w:t>
      </w:r>
      <w:r w:rsidRPr="00FB6E8D" w:rsidR="00142EFB">
        <w:rPr>
          <w:i/>
          <w:iCs/>
        </w:rPr>
        <w:t>Monthly Capacity Payment</w:t>
      </w:r>
      <w:r w:rsidR="00142EFB">
        <w:t>) of Exhibit C (</w:t>
      </w:r>
      <w:r w:rsidRPr="00FB6E8D" w:rsidR="00142EFB">
        <w:rPr>
          <w:i/>
          <w:iCs/>
        </w:rPr>
        <w:t xml:space="preserve">Monthly Capacity Payments; Monthly Capacity Reductions; </w:t>
      </w:r>
      <w:r w:rsidRPr="00FB6E8D" w:rsidR="00FB6E8D">
        <w:rPr>
          <w:i/>
          <w:iCs/>
        </w:rPr>
        <w:t>AGC Performance Metrics and Requirements</w:t>
      </w:r>
      <w:r w:rsidR="00FB6E8D">
        <w:t>)</w:t>
      </w:r>
      <w:r w:rsidR="00142EFB">
        <w:t xml:space="preserve"> </w:t>
      </w:r>
      <w:r w:rsidRPr="002D2A8F">
        <w:t xml:space="preserve">, subject to </w:t>
      </w:r>
      <w:r w:rsidR="005635E1">
        <w:t>the Monthly Capacity</w:t>
      </w:r>
      <w:r w:rsidRPr="002D2A8F">
        <w:t xml:space="preserve"> </w:t>
      </w:r>
      <w:r w:rsidRPr="002D2A8F" w:rsidR="006733AC">
        <w:t xml:space="preserve">Reduction </w:t>
      </w:r>
      <w:r w:rsidRPr="002D2A8F">
        <w:t xml:space="preserve">in accordance with </w:t>
      </w:r>
      <w:r w:rsidRPr="00534192">
        <w:t xml:space="preserve">Exhibit </w:t>
      </w:r>
      <w:r w:rsidRPr="00534192" w:rsidR="005635E1">
        <w:t>C</w:t>
      </w:r>
      <w:r w:rsidRPr="00534192">
        <w:t xml:space="preserve"> (</w:t>
      </w:r>
      <w:r w:rsidRPr="00534192" w:rsidR="00835515">
        <w:rPr>
          <w:i/>
        </w:rPr>
        <w:t xml:space="preserve">Monthly Capacity Payments; Monthly Capacity Reductions; AGC Performance </w:t>
      </w:r>
      <w:r w:rsidRPr="004C6ED4" w:rsidR="004C6ED4">
        <w:rPr>
          <w:bCs/>
          <w:i/>
        </w:rPr>
        <w:t>Metrics and</w:t>
      </w:r>
      <w:r w:rsidR="004C6ED4">
        <w:rPr>
          <w:b/>
          <w:i/>
        </w:rPr>
        <w:t xml:space="preserve"> </w:t>
      </w:r>
      <w:r w:rsidRPr="00534192" w:rsidR="00835515">
        <w:rPr>
          <w:i/>
        </w:rPr>
        <w:t>Requirements</w:t>
      </w:r>
      <w:r w:rsidRPr="00534192">
        <w:t>)</w:t>
      </w:r>
      <w:r w:rsidRPr="002D2A8F">
        <w:t xml:space="preserve">. </w:t>
      </w:r>
      <w:r w:rsidRPr="002D2A8F" w:rsidR="00BF335A">
        <w:t xml:space="preserve">Other than the Monthly Capacity </w:t>
      </w:r>
      <w:r w:rsidRPr="002D2A8F" w:rsidR="001B41A0">
        <w:t>Payments</w:t>
      </w:r>
      <w:r w:rsidRPr="002D2A8F" w:rsidR="00BF335A">
        <w:t xml:space="preserve">, </w:t>
      </w:r>
      <w:r w:rsidRPr="002D2A8F">
        <w:t xml:space="preserve">GPC will not owe Seller any payment or other compensation for the </w:t>
      </w:r>
      <w:r w:rsidRPr="002D2A8F" w:rsidR="00BF335A">
        <w:t xml:space="preserve">Facility’s </w:t>
      </w:r>
      <w:r w:rsidRPr="002D2A8F">
        <w:t>capacity</w:t>
      </w:r>
      <w:r w:rsidR="00541949">
        <w:t xml:space="preserve">, </w:t>
      </w:r>
      <w:r w:rsidR="002A3E74">
        <w:t>energy</w:t>
      </w:r>
      <w:r w:rsidR="006D5EA6">
        <w:t xml:space="preserve"> storage services</w:t>
      </w:r>
      <w:r w:rsidR="002A3E74">
        <w:t>, or Ancillary Services</w:t>
      </w:r>
      <w:r w:rsidRPr="002D2A8F">
        <w:t>.</w:t>
      </w:r>
    </w:p>
    <w:p w:rsidRPr="002D2A8F" w:rsidR="002D54C4" w:rsidP="008759EF" w:rsidRDefault="002D54C4" w14:paraId="63E7508C" w14:textId="77777777">
      <w:pPr>
        <w:pStyle w:val="zGTC03"/>
        <w:rPr>
          <w:rFonts w:cs="Arial"/>
          <w:b/>
          <w:vanish/>
          <w:szCs w:val="20"/>
          <w:specVanish/>
        </w:rPr>
      </w:pPr>
      <w:r w:rsidRPr="002D2A8F">
        <w:rPr>
          <w:rFonts w:cs="Arial"/>
          <w:b/>
          <w:szCs w:val="20"/>
        </w:rPr>
        <w:t>No Seller Entitlement to Payment or Other Compensation.</w:t>
      </w:r>
      <w:bookmarkStart w:name="_Hlk30413907" w:id="124"/>
    </w:p>
    <w:p w:rsidRPr="002D2A8F" w:rsidR="00747DD0" w:rsidP="00BC712F" w:rsidRDefault="002D54C4" w14:paraId="07CE0F57" w14:textId="41C73EB5">
      <w:pPr>
        <w:spacing w:before="120" w:after="0" w:line="240" w:lineRule="auto"/>
        <w:rPr>
          <w:rFonts w:ascii="Arial" w:hAnsi="Arial" w:cs="Arial"/>
          <w:sz w:val="20"/>
          <w:szCs w:val="20"/>
        </w:rPr>
      </w:pPr>
      <w:r w:rsidRPr="002D2A8F">
        <w:rPr>
          <w:rFonts w:ascii="Arial" w:hAnsi="Arial" w:cs="Arial"/>
          <w:szCs w:val="20"/>
        </w:rPr>
        <w:t xml:space="preserve"> </w:t>
      </w:r>
      <w:r w:rsidRPr="002D2A8F">
        <w:rPr>
          <w:rFonts w:ascii="Arial" w:hAnsi="Arial" w:cs="Arial"/>
          <w:sz w:val="20"/>
          <w:szCs w:val="20"/>
        </w:rPr>
        <w:t xml:space="preserve">GPC will not owe Seller any payment or other compensation for </w:t>
      </w:r>
      <w:bookmarkEnd w:id="124"/>
      <w:r w:rsidRPr="002D2A8F">
        <w:rPr>
          <w:rFonts w:ascii="Arial" w:hAnsi="Arial" w:cs="Arial"/>
          <w:sz w:val="20"/>
          <w:szCs w:val="20"/>
        </w:rPr>
        <w:t xml:space="preserve">energy losses associated with Round-Trip Efficiency of </w:t>
      </w:r>
      <w:r w:rsidRPr="002D2A8F">
        <w:rPr>
          <w:rFonts w:ascii="Arial" w:hAnsi="Arial" w:cs="Arial"/>
          <w:sz w:val="20"/>
          <w:szCs w:val="20"/>
        </w:rPr>
        <w:lastRenderedPageBreak/>
        <w:t xml:space="preserve">the </w:t>
      </w:r>
      <w:r w:rsidR="00B22FBB">
        <w:rPr>
          <w:rFonts w:ascii="Arial" w:hAnsi="Arial" w:cs="Arial"/>
          <w:sz w:val="20"/>
          <w:szCs w:val="20"/>
        </w:rPr>
        <w:t>B</w:t>
      </w:r>
      <w:r w:rsidRPr="002D2A8F">
        <w:rPr>
          <w:rFonts w:ascii="Arial" w:hAnsi="Arial" w:cs="Arial"/>
          <w:sz w:val="20"/>
          <w:szCs w:val="20"/>
        </w:rPr>
        <w:t xml:space="preserve">ESS or for any energy received or </w:t>
      </w:r>
      <w:r w:rsidRPr="002D2A8F" w:rsidR="00E7325A">
        <w:rPr>
          <w:rFonts w:ascii="Arial" w:hAnsi="Arial" w:cs="Arial"/>
          <w:sz w:val="20"/>
          <w:szCs w:val="20"/>
        </w:rPr>
        <w:t>C</w:t>
      </w:r>
      <w:r w:rsidRPr="002D2A8F">
        <w:rPr>
          <w:rFonts w:ascii="Arial" w:hAnsi="Arial" w:cs="Arial"/>
          <w:sz w:val="20"/>
          <w:szCs w:val="20"/>
        </w:rPr>
        <w:t xml:space="preserve">urtailed by GPC in accordance with </w:t>
      </w:r>
      <w:r w:rsidRPr="00534192">
        <w:rPr>
          <w:rFonts w:ascii="Arial" w:hAnsi="Arial" w:cs="Arial"/>
          <w:sz w:val="20"/>
          <w:szCs w:val="20"/>
        </w:rPr>
        <w:t xml:space="preserve">Section </w:t>
      </w:r>
      <w:r w:rsidRPr="00534192" w:rsidR="00A308CD">
        <w:rPr>
          <w:rFonts w:ascii="Arial" w:hAnsi="Arial" w:cs="Arial"/>
          <w:sz w:val="20"/>
          <w:szCs w:val="20"/>
        </w:rPr>
        <w:t xml:space="preserve">11.2 </w:t>
      </w:r>
      <w:r w:rsidRPr="00534192">
        <w:rPr>
          <w:rFonts w:ascii="Arial" w:hAnsi="Arial" w:cs="Arial"/>
          <w:sz w:val="20"/>
          <w:szCs w:val="20"/>
        </w:rPr>
        <w:t>(</w:t>
      </w:r>
      <w:r w:rsidRPr="00534192">
        <w:rPr>
          <w:rFonts w:ascii="Arial" w:hAnsi="Arial" w:cs="Arial"/>
          <w:i/>
          <w:sz w:val="20"/>
          <w:szCs w:val="20"/>
        </w:rPr>
        <w:t>Limit on Delivered Energy</w:t>
      </w:r>
      <w:r w:rsidRPr="00534192" w:rsidR="00A308CD">
        <w:rPr>
          <w:rFonts w:ascii="Arial" w:hAnsi="Arial" w:cs="Arial"/>
          <w:i/>
          <w:sz w:val="20"/>
          <w:szCs w:val="20"/>
        </w:rPr>
        <w:t>;</w:t>
      </w:r>
      <w:r w:rsidRPr="00534192">
        <w:rPr>
          <w:rFonts w:ascii="Arial" w:hAnsi="Arial" w:cs="Arial"/>
          <w:i/>
          <w:sz w:val="20"/>
          <w:szCs w:val="20"/>
        </w:rPr>
        <w:t xml:space="preserve"> Curtailment of Energy from Renewable Resource</w:t>
      </w:r>
      <w:r w:rsidRPr="00534192">
        <w:rPr>
          <w:rFonts w:ascii="Arial" w:hAnsi="Arial" w:cs="Arial"/>
          <w:sz w:val="20"/>
          <w:szCs w:val="20"/>
        </w:rPr>
        <w:t>)</w:t>
      </w:r>
      <w:r w:rsidRPr="002D2A8F">
        <w:rPr>
          <w:rFonts w:ascii="Arial" w:hAnsi="Arial" w:cs="Arial"/>
          <w:sz w:val="20"/>
          <w:szCs w:val="20"/>
        </w:rPr>
        <w:t xml:space="preserve">. Additionally, </w:t>
      </w:r>
      <w:r w:rsidR="00F65D05">
        <w:rPr>
          <w:rFonts w:ascii="Arial" w:hAnsi="Arial" w:cs="Arial"/>
          <w:sz w:val="20"/>
          <w:szCs w:val="20"/>
        </w:rPr>
        <w:t xml:space="preserve">with the </w:t>
      </w:r>
      <w:r w:rsidRPr="002D2A8F">
        <w:rPr>
          <w:rFonts w:ascii="Arial" w:hAnsi="Arial" w:cs="Arial"/>
          <w:sz w:val="20"/>
          <w:szCs w:val="20"/>
        </w:rPr>
        <w:t>except</w:t>
      </w:r>
      <w:r w:rsidR="00F65D05">
        <w:rPr>
          <w:rFonts w:ascii="Arial" w:hAnsi="Arial" w:cs="Arial"/>
          <w:sz w:val="20"/>
          <w:szCs w:val="20"/>
        </w:rPr>
        <w:t>ion of</w:t>
      </w:r>
      <w:r w:rsidRPr="002D2A8F">
        <w:rPr>
          <w:rFonts w:ascii="Arial" w:hAnsi="Arial" w:cs="Arial"/>
          <w:sz w:val="20"/>
          <w:szCs w:val="20"/>
        </w:rPr>
        <w:t xml:space="preserve"> the Monthly Capacity Payment, GPC will not owe Seller any payment or other compensation for </w:t>
      </w:r>
      <w:r w:rsidR="00725EBE">
        <w:rPr>
          <w:rFonts w:ascii="Arial" w:hAnsi="Arial" w:cs="Arial"/>
          <w:sz w:val="20"/>
          <w:szCs w:val="20"/>
        </w:rPr>
        <w:t>Renewable E</w:t>
      </w:r>
      <w:r w:rsidRPr="002D2A8F">
        <w:rPr>
          <w:rFonts w:ascii="Arial" w:hAnsi="Arial" w:cs="Arial"/>
          <w:sz w:val="20"/>
          <w:szCs w:val="20"/>
        </w:rPr>
        <w:t xml:space="preserve">nergy generated by the Renewable Resource and delivered directly to the </w:t>
      </w:r>
      <w:r w:rsidRPr="002D2A8F" w:rsidR="00747DD0">
        <w:rPr>
          <w:rFonts w:ascii="Arial" w:hAnsi="Arial" w:cs="Arial"/>
          <w:sz w:val="20"/>
          <w:szCs w:val="20"/>
        </w:rPr>
        <w:t>POI</w:t>
      </w:r>
      <w:r w:rsidR="00DF306C">
        <w:rPr>
          <w:rFonts w:ascii="Arial" w:hAnsi="Arial" w:cs="Arial"/>
          <w:sz w:val="20"/>
          <w:szCs w:val="20"/>
        </w:rPr>
        <w:t xml:space="preserve"> or the </w:t>
      </w:r>
      <w:r w:rsidR="00B22FBB">
        <w:rPr>
          <w:rFonts w:ascii="Arial" w:hAnsi="Arial" w:cs="Arial"/>
          <w:sz w:val="20"/>
          <w:szCs w:val="20"/>
        </w:rPr>
        <w:t>B</w:t>
      </w:r>
      <w:r w:rsidR="00DF306C">
        <w:rPr>
          <w:rFonts w:ascii="Arial" w:hAnsi="Arial" w:cs="Arial"/>
          <w:sz w:val="20"/>
          <w:szCs w:val="20"/>
        </w:rPr>
        <w:t>ESS</w:t>
      </w:r>
      <w:r w:rsidRPr="002D2A8F" w:rsidR="00747DD0">
        <w:rPr>
          <w:rFonts w:ascii="Arial" w:hAnsi="Arial" w:cs="Arial"/>
          <w:sz w:val="20"/>
          <w:szCs w:val="20"/>
        </w:rPr>
        <w:t>.</w:t>
      </w:r>
      <w:r w:rsidRPr="002D2A8F">
        <w:rPr>
          <w:rFonts w:ascii="Arial" w:hAnsi="Arial" w:cs="Arial"/>
          <w:sz w:val="20"/>
          <w:szCs w:val="20"/>
        </w:rPr>
        <w:t xml:space="preserve"> </w:t>
      </w:r>
      <w:r w:rsidR="009E0CED">
        <w:rPr>
          <w:rFonts w:ascii="Arial" w:hAnsi="Arial" w:cs="Arial"/>
          <w:sz w:val="20"/>
          <w:szCs w:val="20"/>
        </w:rPr>
        <w:t xml:space="preserve">GPC </w:t>
      </w:r>
      <w:r w:rsidR="00040A3F">
        <w:rPr>
          <w:rFonts w:ascii="Arial" w:hAnsi="Arial" w:cs="Arial"/>
          <w:sz w:val="20"/>
          <w:szCs w:val="20"/>
        </w:rPr>
        <w:t>retains</w:t>
      </w:r>
      <w:r w:rsidR="009E0CED">
        <w:rPr>
          <w:rFonts w:ascii="Arial" w:hAnsi="Arial" w:cs="Arial"/>
          <w:sz w:val="20"/>
          <w:szCs w:val="20"/>
        </w:rPr>
        <w:t xml:space="preserve"> sole title to </w:t>
      </w:r>
      <w:r w:rsidR="001843E1">
        <w:rPr>
          <w:rFonts w:ascii="Arial" w:hAnsi="Arial" w:cs="Arial"/>
          <w:sz w:val="20"/>
          <w:szCs w:val="20"/>
        </w:rPr>
        <w:t xml:space="preserve">Grid Charging Energy </w:t>
      </w:r>
      <w:r w:rsidR="00C33247">
        <w:rPr>
          <w:rFonts w:ascii="Arial" w:hAnsi="Arial" w:cs="Arial"/>
          <w:sz w:val="20"/>
          <w:szCs w:val="20"/>
        </w:rPr>
        <w:t xml:space="preserve">delivered to the </w:t>
      </w:r>
      <w:r w:rsidR="00040A3F">
        <w:rPr>
          <w:rFonts w:ascii="Arial" w:hAnsi="Arial" w:cs="Arial"/>
          <w:sz w:val="20"/>
          <w:szCs w:val="20"/>
        </w:rPr>
        <w:t>BESS</w:t>
      </w:r>
      <w:r w:rsidR="00C33247">
        <w:rPr>
          <w:rFonts w:ascii="Arial" w:hAnsi="Arial" w:cs="Arial"/>
          <w:sz w:val="20"/>
          <w:szCs w:val="20"/>
        </w:rPr>
        <w:t>.</w:t>
      </w:r>
    </w:p>
    <w:p w:rsidRPr="002D2A8F" w:rsidR="002D54C4" w:rsidP="00ED6839" w:rsidRDefault="002D54C4" w14:paraId="655A98E2" w14:textId="25E2B0C3">
      <w:pPr>
        <w:pStyle w:val="zGTC01"/>
        <w:rPr>
          <w:rFonts w:ascii="Arial" w:hAnsi="Arial" w:eastAsia="PMingLiU"/>
          <w:specVanish/>
        </w:rPr>
      </w:pPr>
      <w:bookmarkStart w:name="_Toc156309758" w:id="125"/>
      <w:bookmarkStart w:name="_Toc169778592" w:id="126"/>
      <w:bookmarkStart w:name="_Toc227451357" w:id="127"/>
      <w:r w:rsidRPr="002D2A8F">
        <w:rPr>
          <w:rFonts w:ascii="Arial" w:hAnsi="Arial"/>
        </w:rPr>
        <w:t>Billing and Collections</w:t>
      </w:r>
      <w:bookmarkEnd w:id="125"/>
      <w:bookmarkEnd w:id="126"/>
      <w:bookmarkEnd w:id="127"/>
    </w:p>
    <w:p w:rsidRPr="002D2A8F" w:rsidR="002D54C4" w:rsidP="002D54C4" w:rsidRDefault="002D54C4" w14:paraId="4BE89CFA" w14:textId="55C06D88">
      <w:pPr>
        <w:pStyle w:val="zGTC02"/>
        <w:rPr>
          <w:rFonts w:ascii="Arial" w:hAnsi="Arial" w:cs="Arial"/>
          <w:specVanish/>
        </w:rPr>
      </w:pPr>
      <w:bookmarkStart w:name="_Toc169778593" w:id="128"/>
      <w:bookmarkStart w:name="_Toc227451358" w:id="129"/>
      <w:r w:rsidRPr="002D2A8F">
        <w:rPr>
          <w:rFonts w:ascii="Arial" w:hAnsi="Arial" w:cs="Arial"/>
        </w:rPr>
        <w:t>Capacity Billing and Payment.</w:t>
      </w:r>
      <w:bookmarkStart w:name="_Toc158593192" w:id="130"/>
      <w:bookmarkStart w:name="_Toc158597471" w:id="131"/>
      <w:bookmarkStart w:name="_Toc158720095" w:id="132"/>
      <w:bookmarkStart w:name="_Toc158722849" w:id="133"/>
      <w:bookmarkStart w:name="_Toc158929379" w:id="134"/>
      <w:bookmarkEnd w:id="128"/>
      <w:bookmarkEnd w:id="129"/>
      <w:bookmarkEnd w:id="130"/>
      <w:bookmarkEnd w:id="131"/>
      <w:bookmarkEnd w:id="132"/>
      <w:bookmarkEnd w:id="133"/>
      <w:bookmarkEnd w:id="134"/>
    </w:p>
    <w:p w:rsidRPr="002D2A8F" w:rsidR="002D54C4" w:rsidP="008759EF" w:rsidRDefault="002D54C4" w14:paraId="2D666DB5" w14:textId="52DDA1F8">
      <w:pPr>
        <w:pStyle w:val="zGTC03"/>
        <w:rPr>
          <w:rFonts w:cs="Arial"/>
          <w:b/>
          <w:vanish/>
          <w:specVanish/>
        </w:rPr>
      </w:pPr>
      <w:r w:rsidRPr="002D2A8F">
        <w:rPr>
          <w:rFonts w:cs="Arial"/>
          <w:b/>
        </w:rPr>
        <w:t>Seller Invoices.</w:t>
      </w:r>
    </w:p>
    <w:p w:rsidR="002D54C4" w:rsidP="002D54C4" w:rsidRDefault="00151B76" w14:paraId="4D8B73B9" w14:textId="32059555">
      <w:pPr>
        <w:pStyle w:val="zGNormal"/>
      </w:pPr>
      <w:r w:rsidRPr="002D2A8F">
        <w:rPr>
          <w:b/>
        </w:rPr>
        <w:t xml:space="preserve"> </w:t>
      </w:r>
      <w:r w:rsidRPr="002D2A8F" w:rsidR="002D54C4">
        <w:t xml:space="preserve">Subject to </w:t>
      </w:r>
      <w:r w:rsidRPr="00534192" w:rsidR="002D54C4">
        <w:t>Section 5.2 (</w:t>
      </w:r>
      <w:r w:rsidRPr="00534192" w:rsidR="002D54C4">
        <w:rPr>
          <w:i/>
        </w:rPr>
        <w:t xml:space="preserve">Billing </w:t>
      </w:r>
      <w:r w:rsidRPr="00534192" w:rsidR="00CD53E8">
        <w:rPr>
          <w:i/>
        </w:rPr>
        <w:t>Disputes</w:t>
      </w:r>
      <w:r w:rsidRPr="00534192" w:rsidR="002D54C4">
        <w:rPr>
          <w:i/>
        </w:rPr>
        <w:t xml:space="preserve"> and Final Accounting</w:t>
      </w:r>
      <w:r w:rsidRPr="00534192" w:rsidR="002D54C4">
        <w:t>)</w:t>
      </w:r>
      <w:r w:rsidRPr="002D2A8F" w:rsidR="002D54C4">
        <w:t>, by no later than</w:t>
      </w:r>
      <w:r w:rsidRPr="002D2A8F" w:rsidR="002D54C4">
        <w:rPr>
          <w:vertAlign w:val="superscript"/>
        </w:rPr>
        <w:t xml:space="preserve"> </w:t>
      </w:r>
      <w:r w:rsidRPr="002D2A8F" w:rsidR="002D54C4">
        <w:t>the 10</w:t>
      </w:r>
      <w:r w:rsidRPr="002D2A8F" w:rsidR="002D54C4">
        <w:rPr>
          <w:vertAlign w:val="superscript"/>
        </w:rPr>
        <w:t>th</w:t>
      </w:r>
      <w:r w:rsidRPr="002D2A8F" w:rsidR="002D54C4">
        <w:t xml:space="preserve"> Day of each Month (commencing with </w:t>
      </w:r>
      <w:r w:rsidR="000335CC">
        <w:t xml:space="preserve">the </w:t>
      </w:r>
      <w:r w:rsidRPr="002D2A8F" w:rsidR="00323B4C">
        <w:t>first Month after the Delivery Commencement Date</w:t>
      </w:r>
      <w:r w:rsidRPr="002D2A8F" w:rsidR="002D54C4">
        <w:t>), Seller must</w:t>
      </w:r>
      <w:r w:rsidRPr="002D2A8F" w:rsidDel="00CD43FD" w:rsidR="002D54C4">
        <w:t xml:space="preserve"> </w:t>
      </w:r>
      <w:r w:rsidRPr="002D2A8F" w:rsidR="002D54C4">
        <w:t xml:space="preserve">send </w:t>
      </w:r>
      <w:r w:rsidR="00016909">
        <w:t xml:space="preserve">to </w:t>
      </w:r>
      <w:r w:rsidRPr="002D2A8F" w:rsidR="002D54C4">
        <w:t>GPC</w:t>
      </w:r>
      <w:r w:rsidRPr="002D2A8F" w:rsidDel="00681AF2" w:rsidR="002D54C4">
        <w:t xml:space="preserve"> </w:t>
      </w:r>
      <w:r w:rsidRPr="002D2A8F" w:rsidR="002D54C4">
        <w:t xml:space="preserve">an invoice stating the Monthly Capacity Payment </w:t>
      </w:r>
      <w:r w:rsidRPr="002D2A8F" w:rsidR="00A617B3">
        <w:t xml:space="preserve">for the immediately preceding Month </w:t>
      </w:r>
      <w:r w:rsidRPr="002D2A8F" w:rsidR="00AA7205">
        <w:t>(“</w:t>
      </w:r>
      <w:r w:rsidRPr="00B0004F" w:rsidR="00AA7205">
        <w:rPr>
          <w:b/>
          <w:bCs/>
        </w:rPr>
        <w:t>Monthly Invoice</w:t>
      </w:r>
      <w:r w:rsidRPr="002D2A8F" w:rsidR="00AA7205">
        <w:t>”)</w:t>
      </w:r>
      <w:r w:rsidR="00A307E6">
        <w:t xml:space="preserve">, </w:t>
      </w:r>
      <w:r w:rsidRPr="002D2A8F" w:rsidR="00A307E6">
        <w:t xml:space="preserve">including any </w:t>
      </w:r>
      <w:r w:rsidR="00A307E6">
        <w:t>Monthly Capacity</w:t>
      </w:r>
      <w:r w:rsidRPr="002D2A8F" w:rsidR="00A307E6">
        <w:t xml:space="preserve"> Reduction</w:t>
      </w:r>
      <w:r w:rsidR="00597045">
        <w:t xml:space="preserve"> </w:t>
      </w:r>
      <w:r w:rsidRPr="002D2A8F" w:rsidDel="009234E6" w:rsidR="002D54C4">
        <w:t xml:space="preserve">under </w:t>
      </w:r>
      <w:r w:rsidRPr="00534192" w:rsidDel="009234E6" w:rsidR="002D54C4">
        <w:t xml:space="preserve">Exhibit </w:t>
      </w:r>
      <w:r w:rsidRPr="00534192" w:rsidDel="009234E6" w:rsidR="00745E32">
        <w:t>C</w:t>
      </w:r>
      <w:r w:rsidRPr="00534192" w:rsidDel="009234E6" w:rsidR="002D54C4">
        <w:t xml:space="preserve"> (</w:t>
      </w:r>
      <w:r w:rsidRPr="00534192" w:rsidDel="009234E6" w:rsidR="00835515">
        <w:rPr>
          <w:i/>
        </w:rPr>
        <w:t xml:space="preserve">Monthly Capacity Payments; Monthly Capacity Reductions; AGC Performance </w:t>
      </w:r>
      <w:r w:rsidRPr="004C6ED4" w:rsidR="004C6ED4">
        <w:rPr>
          <w:bCs/>
          <w:i/>
        </w:rPr>
        <w:t>Metrics and</w:t>
      </w:r>
      <w:r w:rsidR="004C6ED4">
        <w:rPr>
          <w:b/>
          <w:i/>
        </w:rPr>
        <w:t xml:space="preserve"> </w:t>
      </w:r>
      <w:r w:rsidRPr="00534192" w:rsidDel="009234E6" w:rsidR="00835515">
        <w:rPr>
          <w:i/>
        </w:rPr>
        <w:t>Requirements</w:t>
      </w:r>
      <w:r w:rsidRPr="00534192" w:rsidDel="009234E6" w:rsidR="002D54C4">
        <w:t>)</w:t>
      </w:r>
      <w:r w:rsidRPr="002D2A8F" w:rsidDel="009234E6" w:rsidR="002D54C4">
        <w:t>.</w:t>
      </w:r>
      <w:r w:rsidRPr="002D2A8F" w:rsidR="002D54C4">
        <w:t xml:space="preserve"> </w:t>
      </w:r>
      <w:r w:rsidR="00127BD3">
        <w:t>If the 10</w:t>
      </w:r>
      <w:r w:rsidRPr="00127BD3" w:rsidR="00127BD3">
        <w:rPr>
          <w:vertAlign w:val="superscript"/>
        </w:rPr>
        <w:t>th</w:t>
      </w:r>
      <w:r w:rsidR="00127BD3">
        <w:t xml:space="preserve"> Day is not a Business Day, Seller must send </w:t>
      </w:r>
      <w:r w:rsidR="00597045">
        <w:t xml:space="preserve">to </w:t>
      </w:r>
      <w:r w:rsidR="00127BD3">
        <w:t>GPC the applicable Monthly Invoice by no later than the Business Day succeeding the 10</w:t>
      </w:r>
      <w:r w:rsidRPr="0072211F" w:rsidR="00127BD3">
        <w:rPr>
          <w:vertAlign w:val="superscript"/>
        </w:rPr>
        <w:t>th</w:t>
      </w:r>
      <w:r w:rsidR="00127BD3">
        <w:t xml:space="preserve"> Day. </w:t>
      </w:r>
      <w:r w:rsidRPr="002D2A8F" w:rsidR="002D54C4">
        <w:t>The invoice must also specify any other payment required to be made by either Party in accordance with this PPA.</w:t>
      </w:r>
    </w:p>
    <w:p w:rsidRPr="002D2A8F" w:rsidR="00131520" w:rsidP="002D54C4" w:rsidRDefault="00812567" w14:paraId="780FF8CE" w14:textId="3352EDE2">
      <w:pPr>
        <w:pStyle w:val="zGTC03"/>
      </w:pPr>
      <w:r>
        <w:rPr>
          <w:b/>
          <w:bCs/>
        </w:rPr>
        <w:t>Notice of Invoice Adjustment</w:t>
      </w:r>
      <w:r w:rsidRPr="00131520" w:rsidR="00131520">
        <w:rPr>
          <w:b/>
          <w:bCs/>
        </w:rPr>
        <w:t>.</w:t>
      </w:r>
      <w:r w:rsidR="00131520">
        <w:t xml:space="preserve"> By no later than the 10</w:t>
      </w:r>
      <w:r w:rsidRPr="00131520" w:rsidR="00131520">
        <w:rPr>
          <w:vertAlign w:val="superscript"/>
        </w:rPr>
        <w:t>th</w:t>
      </w:r>
      <w:r w:rsidR="00131520">
        <w:t xml:space="preserve"> Business Day of each Month (commencing with the first Month after the Delivery Commencement Date), GPC will</w:t>
      </w:r>
      <w:r w:rsidR="00907B86">
        <w:t xml:space="preserve"> </w:t>
      </w:r>
      <w:r w:rsidR="0090492A">
        <w:t>provide</w:t>
      </w:r>
      <w:r w:rsidR="00131520">
        <w:t xml:space="preserve"> Seller </w:t>
      </w:r>
      <w:r w:rsidR="0090492A">
        <w:t>notice of</w:t>
      </w:r>
      <w:r w:rsidR="00F81484">
        <w:t xml:space="preserve"> a</w:t>
      </w:r>
      <w:r w:rsidR="00F81484">
        <w:rPr>
          <w:rFonts w:cs="Arial"/>
          <w:bCs/>
        </w:rPr>
        <w:t>ny</w:t>
      </w:r>
      <w:r w:rsidR="00495645">
        <w:rPr>
          <w:rFonts w:cs="Arial"/>
          <w:bCs/>
        </w:rPr>
        <w:t xml:space="preserve"> amount that </w:t>
      </w:r>
      <w:r w:rsidR="0090492A">
        <w:rPr>
          <w:rFonts w:cs="Arial"/>
          <w:bCs/>
        </w:rPr>
        <w:t xml:space="preserve">must be deducted from amounts owed by </w:t>
      </w:r>
      <w:r w:rsidR="00E14FE4">
        <w:rPr>
          <w:rFonts w:cs="Arial"/>
          <w:bCs/>
        </w:rPr>
        <w:t>GPC</w:t>
      </w:r>
      <w:r w:rsidR="0090492A">
        <w:rPr>
          <w:rFonts w:cs="Arial"/>
          <w:bCs/>
        </w:rPr>
        <w:t xml:space="preserve"> to Seller</w:t>
      </w:r>
      <w:r w:rsidR="00E14FE4">
        <w:rPr>
          <w:rFonts w:cs="Arial"/>
          <w:bCs/>
        </w:rPr>
        <w:t>, including, if applicable, any Monthly</w:t>
      </w:r>
      <w:r w:rsidR="007A40DE">
        <w:rPr>
          <w:rFonts w:cs="Arial"/>
          <w:bCs/>
        </w:rPr>
        <w:t xml:space="preserve"> Capacity Reduction</w:t>
      </w:r>
      <w:r w:rsidR="006E63F1">
        <w:rPr>
          <w:rFonts w:cs="Arial"/>
          <w:bCs/>
        </w:rPr>
        <w:t xml:space="preserve"> for the immediately </w:t>
      </w:r>
      <w:r w:rsidR="00414A0F">
        <w:rPr>
          <w:rFonts w:cs="Arial"/>
          <w:bCs/>
        </w:rPr>
        <w:t>preceding Month</w:t>
      </w:r>
      <w:r w:rsidR="00EC30B5">
        <w:rPr>
          <w:rFonts w:cs="Arial"/>
          <w:bCs/>
        </w:rPr>
        <w:t xml:space="preserve"> or</w:t>
      </w:r>
      <w:r w:rsidR="003C1363">
        <w:rPr>
          <w:rFonts w:cs="Arial"/>
          <w:bCs/>
        </w:rPr>
        <w:t xml:space="preserve"> </w:t>
      </w:r>
      <w:r w:rsidR="00066C70">
        <w:rPr>
          <w:rFonts w:cs="Arial"/>
          <w:bCs/>
        </w:rPr>
        <w:t>A</w:t>
      </w:r>
      <w:r w:rsidR="003C1363">
        <w:rPr>
          <w:rFonts w:cs="Arial"/>
          <w:bCs/>
        </w:rPr>
        <w:t xml:space="preserve">nnual </w:t>
      </w:r>
      <w:r w:rsidR="00066C70">
        <w:rPr>
          <w:rFonts w:cs="Arial"/>
          <w:bCs/>
        </w:rPr>
        <w:t xml:space="preserve">Renewable Energy </w:t>
      </w:r>
      <w:r w:rsidR="002930E2">
        <w:rPr>
          <w:rFonts w:cs="Arial"/>
          <w:bCs/>
        </w:rPr>
        <w:t xml:space="preserve">Performance </w:t>
      </w:r>
      <w:r w:rsidR="00066C70">
        <w:rPr>
          <w:rFonts w:cs="Arial"/>
          <w:bCs/>
        </w:rPr>
        <w:t>T</w:t>
      </w:r>
      <w:r w:rsidR="003C1363">
        <w:rPr>
          <w:rFonts w:cs="Arial"/>
          <w:bCs/>
        </w:rPr>
        <w:t>rue-up.</w:t>
      </w:r>
      <w:r w:rsidR="00166A04">
        <w:rPr>
          <w:rFonts w:cs="Arial"/>
          <w:bCs/>
        </w:rPr>
        <w:t xml:space="preserve"> </w:t>
      </w:r>
      <w:r w:rsidR="00056BEC">
        <w:t xml:space="preserve"> After receipt of GPC’s notice, Seller must provide an appropriately adjusted Monthly Invoice.</w:t>
      </w:r>
      <w:r w:rsidR="00EC30B5">
        <w:rPr>
          <w:rFonts w:cs="Arial"/>
          <w:bCs/>
        </w:rPr>
        <w:t xml:space="preserve"> </w:t>
      </w:r>
      <w:r w:rsidR="00131520">
        <w:t xml:space="preserve"> </w:t>
      </w:r>
    </w:p>
    <w:p w:rsidRPr="002D2A8F" w:rsidR="002D54C4" w:rsidP="008759EF" w:rsidRDefault="002D54C4" w14:paraId="79E3582B" w14:textId="77777777">
      <w:pPr>
        <w:pStyle w:val="zGTC03"/>
        <w:rPr>
          <w:rFonts w:cs="Arial"/>
          <w:b/>
          <w:vanish/>
          <w:specVanish/>
        </w:rPr>
      </w:pPr>
      <w:r w:rsidRPr="002D2A8F">
        <w:rPr>
          <w:rFonts w:cs="Arial"/>
          <w:b/>
        </w:rPr>
        <w:t>GPC Invoice Payments.</w:t>
      </w:r>
    </w:p>
    <w:p w:rsidR="00AC2A42" w:rsidP="00CF2143" w:rsidRDefault="002D54C4" w14:paraId="0FFE1155" w14:textId="54231FAD">
      <w:pPr>
        <w:pStyle w:val="zGNormal"/>
      </w:pPr>
      <w:r w:rsidRPr="002D2A8F">
        <w:t xml:space="preserve"> </w:t>
      </w:r>
      <w:r w:rsidR="00974277">
        <w:t>GPC will pay a</w:t>
      </w:r>
      <w:r w:rsidRPr="002D2A8F">
        <w:t xml:space="preserve">ll Monthly Invoices on or before </w:t>
      </w:r>
      <w:r w:rsidRPr="002D2A8F" w:rsidR="007F2AED">
        <w:t>the</w:t>
      </w:r>
      <w:r w:rsidRPr="002D2A8F">
        <w:t xml:space="preserve"> </w:t>
      </w:r>
      <w:r w:rsidR="00EA3C02">
        <w:t>2</w:t>
      </w:r>
      <w:r w:rsidRPr="002D2A8F">
        <w:t>0</w:t>
      </w:r>
      <w:r w:rsidRPr="002D2A8F">
        <w:rPr>
          <w:vertAlign w:val="superscript"/>
        </w:rPr>
        <w:t>th</w:t>
      </w:r>
      <w:r w:rsidRPr="002D2A8F">
        <w:t xml:space="preserve"> Day after GPC’s receipt of the </w:t>
      </w:r>
      <w:r w:rsidR="000C22A2">
        <w:t>Monthly Invoice</w:t>
      </w:r>
      <w:r w:rsidRPr="002D2A8F">
        <w:t xml:space="preserve">. If the </w:t>
      </w:r>
      <w:r w:rsidR="00EA3C02">
        <w:t>2</w:t>
      </w:r>
      <w:r w:rsidRPr="002D2A8F">
        <w:t>0</w:t>
      </w:r>
      <w:r w:rsidRPr="002D2A8F">
        <w:rPr>
          <w:vertAlign w:val="superscript"/>
        </w:rPr>
        <w:t>th</w:t>
      </w:r>
      <w:r w:rsidRPr="002D2A8F">
        <w:t xml:space="preserve"> Day is not a Business Day, then GPC may pay the </w:t>
      </w:r>
      <w:r w:rsidR="009A7C52">
        <w:t>Monthly Invoice</w:t>
      </w:r>
      <w:r w:rsidRPr="002D2A8F" w:rsidR="009A7C52">
        <w:t xml:space="preserve"> </w:t>
      </w:r>
      <w:r w:rsidRPr="002D2A8F">
        <w:t xml:space="preserve">by the Business Day succeeding </w:t>
      </w:r>
      <w:r w:rsidRPr="002D2A8F" w:rsidR="00C922CA">
        <w:t xml:space="preserve">the </w:t>
      </w:r>
      <w:r w:rsidR="00EA3C02">
        <w:t>2</w:t>
      </w:r>
      <w:r w:rsidRPr="002D2A8F">
        <w:t>0</w:t>
      </w:r>
      <w:r w:rsidRPr="002D2A8F">
        <w:rPr>
          <w:vertAlign w:val="superscript"/>
        </w:rPr>
        <w:t>th</w:t>
      </w:r>
      <w:r w:rsidRPr="002D2A8F">
        <w:t xml:space="preserve"> Day. Subject to </w:t>
      </w:r>
      <w:r w:rsidRPr="00534192">
        <w:t>Sections 5.1.</w:t>
      </w:r>
      <w:r w:rsidRPr="00534192" w:rsidR="00C064D9">
        <w:t>4</w:t>
      </w:r>
      <w:r w:rsidRPr="00534192">
        <w:t xml:space="preserve"> (</w:t>
      </w:r>
      <w:r w:rsidRPr="00534192">
        <w:rPr>
          <w:i/>
        </w:rPr>
        <w:t>Net Payment or Net Bill</w:t>
      </w:r>
      <w:r w:rsidRPr="00534192">
        <w:t xml:space="preserve">) </w:t>
      </w:r>
      <w:r w:rsidRPr="00534192" w:rsidR="009F0740">
        <w:t xml:space="preserve">and </w:t>
      </w:r>
      <w:r w:rsidRPr="00534192">
        <w:t>5.2 (</w:t>
      </w:r>
      <w:r w:rsidRPr="00534192">
        <w:rPr>
          <w:i/>
        </w:rPr>
        <w:t xml:space="preserve">Billing </w:t>
      </w:r>
      <w:r w:rsidRPr="00534192" w:rsidR="001A6D1B">
        <w:rPr>
          <w:i/>
        </w:rPr>
        <w:t>Disputes</w:t>
      </w:r>
      <w:r w:rsidRPr="00534192">
        <w:rPr>
          <w:i/>
        </w:rPr>
        <w:t xml:space="preserve"> and Final Accounting</w:t>
      </w:r>
      <w:r w:rsidRPr="00534192">
        <w:t>)</w:t>
      </w:r>
      <w:r w:rsidRPr="002D2A8F">
        <w:t xml:space="preserve">, GPC will pay Seller in accordance with the </w:t>
      </w:r>
      <w:r w:rsidR="009A7C52">
        <w:t>Monthly Invoice</w:t>
      </w:r>
      <w:r w:rsidRPr="002D2A8F" w:rsidR="009A7C52">
        <w:t xml:space="preserve"> </w:t>
      </w:r>
      <w:r w:rsidRPr="002D2A8F">
        <w:t xml:space="preserve">by the due date in immediately available funds through wire transfer of funds to an account designated by Seller, or other means acceptable to Seller. Interest on unpaid amounts will accrue from the date the payment </w:t>
      </w:r>
      <w:r w:rsidR="00C21C20">
        <w:t>was</w:t>
      </w:r>
      <w:r w:rsidRPr="002D2A8F" w:rsidR="00C21C20">
        <w:t xml:space="preserve"> </w:t>
      </w:r>
      <w:r w:rsidRPr="002D2A8F">
        <w:t xml:space="preserve">due at a rate equal to the Interest Rate. Each Monthly Invoice will contain a statement explaining in reasonable detail how the invoice was calculated in accordance with </w:t>
      </w:r>
      <w:r w:rsidRPr="00534192">
        <w:t>Section 4.2 (</w:t>
      </w:r>
      <w:r w:rsidRPr="00534192">
        <w:rPr>
          <w:i/>
        </w:rPr>
        <w:t>Calculation of Monthly Capacity Payment</w:t>
      </w:r>
      <w:r w:rsidRPr="00534192" w:rsidR="001A6D1B">
        <w:rPr>
          <w:i/>
        </w:rPr>
        <w:t>s</w:t>
      </w:r>
      <w:r w:rsidRPr="00534192">
        <w:t>)</w:t>
      </w:r>
      <w:r w:rsidRPr="00534192" w:rsidR="00AC2A42">
        <w:t>.</w:t>
      </w:r>
      <w:r w:rsidRPr="00534192">
        <w:t xml:space="preserve"> </w:t>
      </w:r>
    </w:p>
    <w:p w:rsidRPr="002D2A8F" w:rsidR="002D54C4" w:rsidRDefault="002D54C4" w14:paraId="4B6A68A3" w14:textId="52172C06">
      <w:pPr>
        <w:pStyle w:val="zGTC03"/>
        <w:rPr>
          <w:rFonts w:eastAsia="PMingLiU" w:cs="Arial"/>
          <w:b/>
          <w:specVanish/>
        </w:rPr>
      </w:pPr>
      <w:r w:rsidRPr="002D2A8F">
        <w:rPr>
          <w:rFonts w:cs="Arial"/>
          <w:b/>
        </w:rPr>
        <w:t>Net Payment or Net Bill.</w:t>
      </w:r>
      <w:r w:rsidRPr="002D2A8F" w:rsidR="0072631E">
        <w:rPr>
          <w:rFonts w:cs="Arial"/>
        </w:rPr>
        <w:t xml:space="preserve"> </w:t>
      </w:r>
      <w:r w:rsidRPr="002D2A8F">
        <w:rPr>
          <w:rFonts w:cs="Arial"/>
        </w:rPr>
        <w:t>GPC may provide a net payment or net bill, whichever is applicable, that consolidates amount</w:t>
      </w:r>
      <w:r w:rsidR="00E759F2">
        <w:rPr>
          <w:rFonts w:cs="Arial"/>
        </w:rPr>
        <w:t>s</w:t>
      </w:r>
      <w:r w:rsidRPr="002D2A8F">
        <w:rPr>
          <w:rFonts w:cs="Arial"/>
        </w:rPr>
        <w:t xml:space="preserve"> owing to Seller with amount</w:t>
      </w:r>
      <w:r w:rsidR="00E759F2">
        <w:rPr>
          <w:rFonts w:cs="Arial"/>
        </w:rPr>
        <w:t>s</w:t>
      </w:r>
      <w:r w:rsidRPr="002D2A8F">
        <w:rPr>
          <w:rFonts w:cs="Arial"/>
        </w:rPr>
        <w:t xml:space="preserve"> owing to GPC</w:t>
      </w:r>
      <w:r w:rsidR="00C72B8B">
        <w:rPr>
          <w:rFonts w:cs="Arial"/>
        </w:rPr>
        <w:t xml:space="preserve"> under this PPA</w:t>
      </w:r>
      <w:r w:rsidRPr="002D2A8F">
        <w:rPr>
          <w:rFonts w:cs="Arial"/>
        </w:rPr>
        <w:t>.</w:t>
      </w:r>
      <w:r w:rsidRPr="002D2A8F">
        <w:rPr>
          <w:rFonts w:cs="Arial"/>
          <w:b/>
        </w:rPr>
        <w:t xml:space="preserve"> </w:t>
      </w:r>
    </w:p>
    <w:p w:rsidRPr="002D2A8F" w:rsidR="002D54C4" w:rsidP="00151B76" w:rsidRDefault="002D54C4" w14:paraId="5C6EE9A8" w14:textId="03FD6B89">
      <w:pPr>
        <w:pStyle w:val="zGTC02"/>
        <w:rPr>
          <w:rFonts w:ascii="Arial" w:hAnsi="Arial" w:cs="Arial"/>
          <w:specVanish/>
        </w:rPr>
      </w:pPr>
      <w:bookmarkStart w:name="_Toc156309760" w:id="135"/>
      <w:bookmarkStart w:name="_Toc169778594" w:id="136"/>
      <w:bookmarkStart w:name="_Toc227451359" w:id="137"/>
      <w:r w:rsidRPr="002D2A8F">
        <w:rPr>
          <w:rFonts w:ascii="Arial" w:hAnsi="Arial" w:cs="Arial"/>
        </w:rPr>
        <w:t>Billing Disputes and Final Accounting.</w:t>
      </w:r>
      <w:bookmarkStart w:name="_Toc158593193" w:id="138"/>
      <w:bookmarkStart w:name="_Toc158597472" w:id="139"/>
      <w:bookmarkStart w:name="_Toc158720096" w:id="140"/>
      <w:bookmarkStart w:name="_Toc158722850" w:id="141"/>
      <w:bookmarkStart w:name="_Toc158929380" w:id="142"/>
      <w:bookmarkEnd w:id="135"/>
      <w:bookmarkEnd w:id="136"/>
      <w:bookmarkEnd w:id="137"/>
      <w:bookmarkEnd w:id="138"/>
      <w:bookmarkEnd w:id="139"/>
      <w:bookmarkEnd w:id="140"/>
      <w:bookmarkEnd w:id="141"/>
      <w:bookmarkEnd w:id="142"/>
    </w:p>
    <w:p w:rsidRPr="002D2A8F" w:rsidR="002D54C4" w:rsidP="008759EF" w:rsidRDefault="002D54C4" w14:paraId="2606A6ED" w14:textId="6E3F5E9C">
      <w:pPr>
        <w:pStyle w:val="zGTC03"/>
        <w:rPr>
          <w:rFonts w:cs="Arial"/>
          <w:b/>
          <w:vanish/>
          <w:specVanish/>
        </w:rPr>
      </w:pPr>
      <w:r w:rsidRPr="002D2A8F">
        <w:rPr>
          <w:rFonts w:cs="Arial"/>
          <w:b/>
        </w:rPr>
        <w:t>Payment of Undisputed Amounts.</w:t>
      </w:r>
    </w:p>
    <w:p w:rsidRPr="002D2A8F" w:rsidR="002D54C4" w:rsidP="002D54C4" w:rsidRDefault="002D54C4" w14:paraId="683EA438" w14:textId="7617692D">
      <w:pPr>
        <w:pStyle w:val="zGNormal"/>
      </w:pPr>
      <w:r w:rsidRPr="002D2A8F">
        <w:t xml:space="preserve"> If GPC questions or disputes the amount or propriety of any payment Seller claims to be due under this PPA, GPC will pay Seller </w:t>
      </w:r>
      <w:r w:rsidR="00E95472">
        <w:t xml:space="preserve">any </w:t>
      </w:r>
      <w:r w:rsidRPr="002D2A8F">
        <w:t>amount not in dispute but may withhold</w:t>
      </w:r>
      <w:r w:rsidR="00E95472">
        <w:t xml:space="preserve"> any</w:t>
      </w:r>
      <w:r w:rsidRPr="002D2A8F">
        <w:t xml:space="preserve"> amount disputed in good faith until after the settlement of the question or contest in accordance with this </w:t>
      </w:r>
      <w:r w:rsidRPr="00534192">
        <w:t>Section 5.2</w:t>
      </w:r>
      <w:r w:rsidRPr="002D2A8F">
        <w:t>.</w:t>
      </w:r>
    </w:p>
    <w:p w:rsidRPr="002D2A8F" w:rsidR="002D54C4" w:rsidP="008759EF" w:rsidRDefault="002D54C4" w14:paraId="462ED52E" w14:textId="7505D2FA">
      <w:pPr>
        <w:pStyle w:val="zGTC03"/>
        <w:rPr>
          <w:rFonts w:cs="Arial"/>
          <w:b/>
          <w:vanish/>
          <w:specVanish/>
        </w:rPr>
      </w:pPr>
      <w:r w:rsidRPr="002D2A8F">
        <w:rPr>
          <w:rFonts w:cs="Arial"/>
          <w:b/>
        </w:rPr>
        <w:t>Billing Dispute Notice.</w:t>
      </w:r>
    </w:p>
    <w:p w:rsidRPr="002D2A8F" w:rsidR="002D54C4" w:rsidP="002D54C4" w:rsidRDefault="002D54C4" w14:paraId="0DB52194" w14:textId="69F926DD">
      <w:pPr>
        <w:pStyle w:val="zGNormal"/>
      </w:pPr>
      <w:r w:rsidRPr="002D2A8F">
        <w:t xml:space="preserve"> If GPC question</w:t>
      </w:r>
      <w:r w:rsidR="00C6286D">
        <w:t>s</w:t>
      </w:r>
      <w:r w:rsidRPr="002D2A8F">
        <w:t xml:space="preserve"> or dispute</w:t>
      </w:r>
      <w:r w:rsidR="00C6286D">
        <w:t>s</w:t>
      </w:r>
      <w:r w:rsidRPr="002D2A8F">
        <w:t xml:space="preserve"> the correctness of any </w:t>
      </w:r>
      <w:r w:rsidR="00DC6EED">
        <w:t xml:space="preserve">invoice </w:t>
      </w:r>
      <w:r w:rsidRPr="002D2A8F">
        <w:t xml:space="preserve">charge or credit, GPC </w:t>
      </w:r>
      <w:r w:rsidR="000252B1">
        <w:t xml:space="preserve">must </w:t>
      </w:r>
      <w:r w:rsidRPr="002D2A8F">
        <w:t xml:space="preserve">provide </w:t>
      </w:r>
      <w:r w:rsidR="000252B1">
        <w:t>notice to Seller</w:t>
      </w:r>
      <w:r w:rsidR="00DC6EED">
        <w:t xml:space="preserve"> </w:t>
      </w:r>
      <w:r w:rsidR="00AE6A1C">
        <w:t>containing</w:t>
      </w:r>
      <w:r w:rsidRPr="002D2A8F">
        <w:t xml:space="preserve"> the amount and basis for GPC’s question </w:t>
      </w:r>
      <w:r w:rsidRPr="002D2A8F" w:rsidR="00AE4A5D">
        <w:t>or</w:t>
      </w:r>
      <w:r w:rsidRPr="002D2A8F">
        <w:t xml:space="preserve"> dispute</w:t>
      </w:r>
      <w:r w:rsidR="00AE6A1C">
        <w:t xml:space="preserve"> within the time provided in Section 5.2.3 (</w:t>
      </w:r>
      <w:r w:rsidRPr="00AE6A1C" w:rsidR="00AE6A1C">
        <w:rPr>
          <w:i/>
          <w:iCs/>
        </w:rPr>
        <w:t>Time for Permitted Disputes</w:t>
      </w:r>
      <w:r w:rsidR="00AE6A1C">
        <w:t>)</w:t>
      </w:r>
      <w:r w:rsidRPr="002D2A8F">
        <w:t xml:space="preserve">. </w:t>
      </w:r>
      <w:r w:rsidR="00AE6A1C">
        <w:t>Upon receipt of notice from GPC,</w:t>
      </w:r>
      <w:r w:rsidRPr="002D2A8F">
        <w:t xml:space="preserve"> Seller must promptly review the questioned charge or credit and </w:t>
      </w:r>
      <w:r w:rsidR="0059707E">
        <w:t>by no later than 30 Days after the date Seller receives GPC’s notice</w:t>
      </w:r>
      <w:r w:rsidR="00BD3673">
        <w:t>:</w:t>
      </w:r>
      <w:r w:rsidRPr="002D2A8F">
        <w:t xml:space="preserve"> (i) </w:t>
      </w:r>
      <w:r w:rsidR="008063F9">
        <w:t>respond to</w:t>
      </w:r>
      <w:r w:rsidR="00F72A15">
        <w:t xml:space="preserve"> GPC </w:t>
      </w:r>
      <w:r w:rsidR="008063F9">
        <w:t>in writing confirming or denying</w:t>
      </w:r>
      <w:r w:rsidRPr="002D2A8F">
        <w:t xml:space="preserve"> any error in Seller’s </w:t>
      </w:r>
      <w:r w:rsidR="008063F9">
        <w:t xml:space="preserve">previous </w:t>
      </w:r>
      <w:r w:rsidRPr="002D2A8F">
        <w:t xml:space="preserve">determination of amounts owed by GPC; and (ii) if applicable, issue an amended invoice for any payment that GPC is required to make regarding the re-determination. If </w:t>
      </w:r>
      <w:r w:rsidR="00E05C6F">
        <w:t xml:space="preserve">Seller disagrees with GPC’s question or dispute, Seller’s response must include a reasonably detailed explanation of the basis for Seller’s position, </w:t>
      </w:r>
      <w:r w:rsidR="00E05C6F">
        <w:lastRenderedPageBreak/>
        <w:t>including supporting calculations and documentation</w:t>
      </w:r>
      <w:r w:rsidR="00CE7EA2">
        <w:t>. If GPC in good faith</w:t>
      </w:r>
      <w:r w:rsidRPr="002D2A8F" w:rsidR="00E05C6F">
        <w:t xml:space="preserve"> </w:t>
      </w:r>
      <w:r w:rsidRPr="002D2A8F">
        <w:t xml:space="preserve">disputes Seller’s </w:t>
      </w:r>
      <w:r w:rsidR="00CE7EA2">
        <w:t xml:space="preserve">response </w:t>
      </w:r>
      <w:r w:rsidR="00F66B55">
        <w:t xml:space="preserve">or </w:t>
      </w:r>
      <w:r w:rsidRPr="002D2A8F">
        <w:t xml:space="preserve">amended invoice, the matter will be </w:t>
      </w:r>
      <w:r w:rsidR="00CE7EA2">
        <w:t>a Billing Dispute and</w:t>
      </w:r>
      <w:r w:rsidRPr="002D2A8F">
        <w:t xml:space="preserve"> resolved in accordance with </w:t>
      </w:r>
      <w:r w:rsidRPr="00534192">
        <w:t>Part 19 (</w:t>
      </w:r>
      <w:r w:rsidRPr="00534192">
        <w:rPr>
          <w:i/>
        </w:rPr>
        <w:t>Dispute Resolution</w:t>
      </w:r>
      <w:r w:rsidRPr="00534192">
        <w:t>)</w:t>
      </w:r>
      <w:r w:rsidR="003F4DA3">
        <w:t>.</w:t>
      </w:r>
    </w:p>
    <w:p w:rsidRPr="002D2A8F" w:rsidR="002D54C4" w:rsidP="008759EF" w:rsidRDefault="002D54C4" w14:paraId="78D5D266" w14:textId="169480F3">
      <w:pPr>
        <w:pStyle w:val="zGTC03"/>
        <w:rPr>
          <w:rFonts w:cs="Arial"/>
          <w:b/>
          <w:vanish/>
          <w:specVanish/>
        </w:rPr>
      </w:pPr>
      <w:r w:rsidRPr="002D2A8F">
        <w:rPr>
          <w:rFonts w:cs="Arial"/>
          <w:b/>
        </w:rPr>
        <w:t>Time for Permitted Disputes.</w:t>
      </w:r>
    </w:p>
    <w:p w:rsidRPr="002D2A8F" w:rsidR="002D54C4" w:rsidP="002D54C4" w:rsidRDefault="002D54C4" w14:paraId="3DF596A1" w14:textId="4F6F3235">
      <w:pPr>
        <w:pStyle w:val="zGNormal"/>
        <w:rPr>
          <w:rFonts w:eastAsia="PMingLiU"/>
          <w:vanish/>
          <w:specVanish/>
        </w:rPr>
      </w:pPr>
      <w:r w:rsidRPr="002D2A8F">
        <w:t xml:space="preserve"> Seller will</w:t>
      </w:r>
      <w:r w:rsidRPr="002D2A8F" w:rsidDel="00CD43FD">
        <w:t xml:space="preserve"> </w:t>
      </w:r>
      <w:r w:rsidRPr="002D2A8F">
        <w:t xml:space="preserve">have until </w:t>
      </w:r>
      <w:r w:rsidRPr="002D2A8F" w:rsidR="00247B09">
        <w:t>90 Days</w:t>
      </w:r>
      <w:r w:rsidRPr="002D2A8F">
        <w:t xml:space="preserve"> after the date of</w:t>
      </w:r>
      <w:r w:rsidRPr="002D2A8F" w:rsidR="00770191">
        <w:t xml:space="preserve"> </w:t>
      </w:r>
      <w:r w:rsidR="00A967AA">
        <w:t xml:space="preserve">a </w:t>
      </w:r>
      <w:r w:rsidR="00EB1329">
        <w:t>Monthly Invoice</w:t>
      </w:r>
      <w:r w:rsidRPr="002D2A8F" w:rsidR="00770191">
        <w:t xml:space="preserve"> </w:t>
      </w:r>
      <w:r w:rsidRPr="002D2A8F">
        <w:t xml:space="preserve">to: (i) correct </w:t>
      </w:r>
      <w:r w:rsidRPr="002D2A8F" w:rsidR="00770191">
        <w:t xml:space="preserve">the </w:t>
      </w:r>
      <w:r w:rsidR="00EB1329">
        <w:t>Monthly Invoice</w:t>
      </w:r>
      <w:r w:rsidRPr="002D2A8F">
        <w:t xml:space="preserve"> for payment due for the </w:t>
      </w:r>
      <w:r w:rsidRPr="002D2A8F" w:rsidR="00533CB8">
        <w:t>Monthly Capacity Payment</w:t>
      </w:r>
      <w:r w:rsidRPr="002D2A8F">
        <w:t xml:space="preserve">; and (ii) deliver a corrected </w:t>
      </w:r>
      <w:r w:rsidR="00EB1329">
        <w:t>Monthly Invoice</w:t>
      </w:r>
      <w:r w:rsidRPr="002D2A8F" w:rsidR="00EB1329">
        <w:t xml:space="preserve"> </w:t>
      </w:r>
      <w:r w:rsidRPr="002D2A8F">
        <w:t>to GPC. GPC</w:t>
      </w:r>
      <w:r w:rsidRPr="002D2A8F" w:rsidDel="00681AF2">
        <w:t xml:space="preserve"> </w:t>
      </w:r>
      <w:r w:rsidRPr="002D2A8F">
        <w:t>will</w:t>
      </w:r>
      <w:r w:rsidRPr="002D2A8F" w:rsidDel="00CD43FD">
        <w:t xml:space="preserve"> </w:t>
      </w:r>
      <w:r w:rsidRPr="002D2A8F">
        <w:t>have until the end of one year after its receipt of any</w:t>
      </w:r>
      <w:r w:rsidR="00F66B55">
        <w:t xml:space="preserve"> Monthly Invoice or</w:t>
      </w:r>
      <w:r w:rsidR="009E63BC">
        <w:t xml:space="preserve"> adjusted Monthly</w:t>
      </w:r>
      <w:r w:rsidRPr="002D2A8F">
        <w:t xml:space="preserve"> </w:t>
      </w:r>
      <w:r w:rsidR="009E63BC">
        <w:t>I</w:t>
      </w:r>
      <w:r w:rsidRPr="002D2A8F">
        <w:t>nvoice to dispute the correctness of any charge or credit made to GPC</w:t>
      </w:r>
      <w:r w:rsidRPr="002D2A8F" w:rsidDel="00681AF2">
        <w:t xml:space="preserve"> </w:t>
      </w:r>
      <w:r w:rsidRPr="002D2A8F">
        <w:t xml:space="preserve">on </w:t>
      </w:r>
      <w:r w:rsidR="00B51FF8">
        <w:t>the</w:t>
      </w:r>
      <w:r w:rsidRPr="002D2A8F" w:rsidR="00B51FF8">
        <w:t xml:space="preserve"> </w:t>
      </w:r>
      <w:r w:rsidRPr="002D2A8F">
        <w:t>invoice. If within the one-year period, GPC</w:t>
      </w:r>
      <w:r w:rsidRPr="002D2A8F" w:rsidDel="00681AF2">
        <w:t xml:space="preserve"> </w:t>
      </w:r>
      <w:r w:rsidRPr="002D2A8F">
        <w:t>has made payment under a</w:t>
      </w:r>
      <w:r w:rsidR="002111E3">
        <w:t xml:space="preserve"> Monthly Invoice</w:t>
      </w:r>
      <w:r w:rsidRPr="002D2A8F">
        <w:t xml:space="preserve"> and later disputes the correctness </w:t>
      </w:r>
      <w:r w:rsidR="005835F4">
        <w:t>of</w:t>
      </w:r>
      <w:r w:rsidRPr="002D2A8F">
        <w:t xml:space="preserve"> the invoice, Seller will</w:t>
      </w:r>
      <w:r w:rsidRPr="002D2A8F" w:rsidDel="00CD43FD">
        <w:t xml:space="preserve"> </w:t>
      </w:r>
      <w:r w:rsidRPr="002D2A8F">
        <w:t>not be required to refund any payment received from GPC</w:t>
      </w:r>
      <w:r w:rsidRPr="002D2A8F" w:rsidDel="00681AF2">
        <w:t xml:space="preserve"> </w:t>
      </w:r>
      <w:r w:rsidRPr="002D2A8F">
        <w:t xml:space="preserve">until the time as it is finally determined that Seller’s </w:t>
      </w:r>
      <w:r w:rsidR="003A775C">
        <w:t>Monthly Invoice</w:t>
      </w:r>
      <w:r w:rsidRPr="002D2A8F">
        <w:t xml:space="preserve"> was in error.</w:t>
      </w:r>
    </w:p>
    <w:p w:rsidRPr="002D2A8F" w:rsidR="002D54C4" w:rsidP="002D54C4" w:rsidRDefault="002D54C4" w14:paraId="53FB82C6" w14:textId="77777777">
      <w:pPr>
        <w:pStyle w:val="zGTC02"/>
        <w:rPr>
          <w:rFonts w:ascii="Arial" w:hAnsi="Arial" w:cs="Arial"/>
          <w:vanish/>
          <w:specVanish/>
        </w:rPr>
      </w:pPr>
      <w:bookmarkStart w:name="_Toc227451360" w:id="143"/>
      <w:bookmarkStart w:name="_Toc156309761" w:id="144"/>
      <w:bookmarkStart w:name="_Toc169778595" w:id="145"/>
      <w:bookmarkStart w:name="_Toc227451361" w:id="146"/>
      <w:bookmarkEnd w:id="143"/>
      <w:r w:rsidRPr="002D2A8F">
        <w:rPr>
          <w:rFonts w:ascii="Arial" w:hAnsi="Arial" w:cs="Arial"/>
        </w:rPr>
        <w:t>Interest.</w:t>
      </w:r>
      <w:bookmarkStart w:name="_Toc158593194" w:id="147"/>
      <w:bookmarkStart w:name="_Toc158597473" w:id="148"/>
      <w:bookmarkStart w:name="_Toc158720097" w:id="149"/>
      <w:bookmarkStart w:name="_Toc158722851" w:id="150"/>
      <w:bookmarkStart w:name="_Toc158929381" w:id="151"/>
      <w:bookmarkEnd w:id="144"/>
      <w:bookmarkEnd w:id="145"/>
      <w:bookmarkEnd w:id="146"/>
      <w:bookmarkEnd w:id="147"/>
      <w:bookmarkEnd w:id="148"/>
      <w:bookmarkEnd w:id="149"/>
      <w:bookmarkEnd w:id="150"/>
      <w:bookmarkEnd w:id="151"/>
    </w:p>
    <w:p w:rsidRPr="002D2A8F" w:rsidR="002D54C4" w:rsidP="002D54C4" w:rsidRDefault="002D54C4" w14:paraId="72D4C503" w14:textId="46E28012">
      <w:pPr>
        <w:pStyle w:val="zGNormal"/>
      </w:pPr>
      <w:r w:rsidRPr="002D2A8F">
        <w:t xml:space="preserve"> If either Party does not make a payment required by this PPA when due, then interest at the Interest Rate from the date the overdue payment was due until the overdue payment, together with interest, is paid, will be added to the due payment. If either Party makes a payment in accordance with an invoice that is later determined to have been incorrect, then interest at the Interest Rate from the date the overpayment was made will be added to the overpayment until the overpayment, together with interest, is refunded to the Party. Remittance received by mail, if mail is a means of payment acceptable to a Party owed payment, will be accepted without interest charges if the payment is postmarked on or before the due date. If the due date of any payment falls on a Day other than a Business Day, the next succeeding Business Day will be the last Day on which payment can be postmarked without interest charges being assessed. Despite this </w:t>
      </w:r>
      <w:r w:rsidRPr="00534192">
        <w:t>Section 5.3</w:t>
      </w:r>
      <w:r w:rsidRPr="002D2A8F">
        <w:t xml:space="preserve">, no interest will be paid regarding any </w:t>
      </w:r>
      <w:r w:rsidR="00305CB1">
        <w:t>Mont</w:t>
      </w:r>
      <w:r w:rsidR="00125015">
        <w:t>h</w:t>
      </w:r>
      <w:r w:rsidR="00305CB1">
        <w:t>ly Capacity</w:t>
      </w:r>
      <w:r w:rsidRPr="002D2A8F" w:rsidR="00164C25">
        <w:t xml:space="preserve"> </w:t>
      </w:r>
      <w:r w:rsidRPr="002D2A8F" w:rsidR="00535ABE">
        <w:t>Reduction</w:t>
      </w:r>
      <w:r w:rsidRPr="002D2A8F" w:rsidR="00164C25">
        <w:t xml:space="preserve"> or Annual Renewable </w:t>
      </w:r>
      <w:r w:rsidRPr="002D2A8F" w:rsidR="00F7596A">
        <w:t xml:space="preserve">Energy </w:t>
      </w:r>
      <w:r w:rsidRPr="002D2A8F" w:rsidR="00F82B40">
        <w:t xml:space="preserve">Performance </w:t>
      </w:r>
      <w:r w:rsidRPr="002D2A8F" w:rsidR="00F7596A">
        <w:t>True-up</w:t>
      </w:r>
      <w:r w:rsidRPr="002D2A8F">
        <w:t xml:space="preserve"> except to the extent the </w:t>
      </w:r>
      <w:r w:rsidRPr="002D2A8F" w:rsidR="00D918DE">
        <w:t xml:space="preserve">applicable </w:t>
      </w:r>
      <w:r w:rsidRPr="002D2A8F" w:rsidR="005C79D3">
        <w:t>red</w:t>
      </w:r>
      <w:r w:rsidRPr="002D2A8F" w:rsidR="000F7AEB">
        <w:t>uction</w:t>
      </w:r>
      <w:r w:rsidRPr="002D2A8F" w:rsidR="00D918DE">
        <w:t xml:space="preserve"> or true</w:t>
      </w:r>
      <w:r w:rsidRPr="002D2A8F" w:rsidR="004249FE">
        <w:t>-up</w:t>
      </w:r>
      <w:r w:rsidRPr="002D2A8F">
        <w:t xml:space="preserve"> was not correctly calculated or invoiced in accordance with this PPA.</w:t>
      </w:r>
    </w:p>
    <w:p w:rsidRPr="002D2A8F" w:rsidR="002D54C4" w:rsidP="002D54C4" w:rsidRDefault="002D54C4" w14:paraId="6796F12F" w14:textId="77777777">
      <w:pPr>
        <w:pStyle w:val="zGTC02"/>
        <w:rPr>
          <w:rFonts w:ascii="Arial" w:hAnsi="Arial" w:cs="Arial"/>
          <w:vanish/>
          <w:specVanish/>
        </w:rPr>
      </w:pPr>
      <w:bookmarkStart w:name="_Toc156309762" w:id="152"/>
      <w:bookmarkStart w:name="_Toc169778596" w:id="153"/>
      <w:bookmarkStart w:name="_Toc227451362" w:id="154"/>
      <w:r w:rsidRPr="002D2A8F">
        <w:rPr>
          <w:rFonts w:ascii="Arial" w:hAnsi="Arial" w:cs="Arial"/>
        </w:rPr>
        <w:t>Billing and Payment Records.</w:t>
      </w:r>
      <w:bookmarkStart w:name="_Toc158593195" w:id="155"/>
      <w:bookmarkStart w:name="_Toc158597474" w:id="156"/>
      <w:bookmarkStart w:name="_Toc158720098" w:id="157"/>
      <w:bookmarkStart w:name="_Toc158722852" w:id="158"/>
      <w:bookmarkStart w:name="_Toc158929382" w:id="159"/>
      <w:bookmarkEnd w:id="152"/>
      <w:bookmarkEnd w:id="153"/>
      <w:bookmarkEnd w:id="154"/>
      <w:bookmarkEnd w:id="155"/>
      <w:bookmarkEnd w:id="156"/>
      <w:bookmarkEnd w:id="157"/>
      <w:bookmarkEnd w:id="158"/>
      <w:bookmarkEnd w:id="159"/>
    </w:p>
    <w:p w:rsidRPr="002D2A8F" w:rsidR="002D54C4" w:rsidP="002D54C4" w:rsidRDefault="002D54C4" w14:paraId="24AF83E6" w14:textId="6C1DCE92">
      <w:pPr>
        <w:pStyle w:val="zGNormal"/>
      </w:pPr>
      <w:r w:rsidRPr="002D2A8F">
        <w:t xml:space="preserve"> Each Party will, until the end of one year after its receipt of any invoice, make available to the other Party, and each Party may audit, the books and records of the other Party as are necessary for the Party to verify the calculation of the Monthly Capacity Payments, any </w:t>
      </w:r>
      <w:r w:rsidR="005216F8">
        <w:t>Monthly Capacity</w:t>
      </w:r>
      <w:r w:rsidRPr="002D2A8F" w:rsidR="00887347">
        <w:t xml:space="preserve"> </w:t>
      </w:r>
      <w:r w:rsidRPr="002D2A8F" w:rsidR="00486368">
        <w:t>Re</w:t>
      </w:r>
      <w:r w:rsidRPr="002D2A8F" w:rsidR="009057F7">
        <w:t>duction</w:t>
      </w:r>
      <w:r w:rsidRPr="002D2A8F">
        <w:t xml:space="preserve"> </w:t>
      </w:r>
      <w:r w:rsidR="009A742B">
        <w:t xml:space="preserve">or </w:t>
      </w:r>
      <w:r w:rsidR="006F1D7F">
        <w:t xml:space="preserve">Annual </w:t>
      </w:r>
      <w:r w:rsidRPr="002D2A8F">
        <w:t xml:space="preserve">Renewable Energy </w:t>
      </w:r>
      <w:r w:rsidR="002930E2">
        <w:t xml:space="preserve">Performance </w:t>
      </w:r>
      <w:r w:rsidRPr="002D2A8F" w:rsidR="009057F7">
        <w:t>Tr</w:t>
      </w:r>
      <w:r w:rsidRPr="002D2A8F" w:rsidR="00432732">
        <w:t>ue-up</w:t>
      </w:r>
      <w:r w:rsidR="009A742B">
        <w:t>, and</w:t>
      </w:r>
      <w:r w:rsidRPr="002D2A8F">
        <w:t xml:space="preserve"> any true-up of the Monthly Capacity Payment for the final Month of an Annual Period under </w:t>
      </w:r>
      <w:r w:rsidRPr="00534192">
        <w:t xml:space="preserve">Exhibit </w:t>
      </w:r>
      <w:r w:rsidRPr="00534192" w:rsidR="00D12C37">
        <w:t>C</w:t>
      </w:r>
      <w:r w:rsidRPr="00534192">
        <w:t xml:space="preserve"> (</w:t>
      </w:r>
      <w:r w:rsidRPr="00534192" w:rsidR="00D12C37">
        <w:rPr>
          <w:i/>
        </w:rPr>
        <w:t>Monthly Capacity Payments; Monthly Capacity Reductions; AGC Performance</w:t>
      </w:r>
      <w:r w:rsidR="004C6ED4">
        <w:rPr>
          <w:i/>
        </w:rPr>
        <w:t xml:space="preserve"> </w:t>
      </w:r>
      <w:r w:rsidRPr="004C6ED4" w:rsidR="004C6ED4">
        <w:rPr>
          <w:bCs/>
          <w:i/>
        </w:rPr>
        <w:t>Metrics and</w:t>
      </w:r>
      <w:r w:rsidRPr="00534192" w:rsidR="00D12C37">
        <w:rPr>
          <w:i/>
        </w:rPr>
        <w:t xml:space="preserve"> Requirements</w:t>
      </w:r>
      <w:r w:rsidRPr="00534192">
        <w:t>)</w:t>
      </w:r>
      <w:r w:rsidRPr="002D2A8F">
        <w:t xml:space="preserve">, and any other invoice, charge, or payment demand made </w:t>
      </w:r>
      <w:r w:rsidR="0085100C">
        <w:t>concerning</w:t>
      </w:r>
      <w:r w:rsidRPr="002D2A8F">
        <w:t xml:space="preserve"> this PPA.</w:t>
      </w:r>
    </w:p>
    <w:p w:rsidRPr="002D2A8F" w:rsidR="002D54C4" w:rsidP="00ED6839" w:rsidRDefault="002D54C4" w14:paraId="7C63D0A3" w14:textId="77777777">
      <w:pPr>
        <w:pStyle w:val="zGTC01"/>
        <w:rPr>
          <w:rFonts w:ascii="Arial" w:hAnsi="Arial"/>
          <w:szCs w:val="20"/>
        </w:rPr>
      </w:pPr>
      <w:bookmarkStart w:name="_Toc169778597" w:id="160"/>
      <w:bookmarkStart w:name="_Toc227451363" w:id="161"/>
      <w:r w:rsidRPr="002D2A8F">
        <w:rPr>
          <w:rFonts w:ascii="Arial" w:hAnsi="Arial"/>
        </w:rPr>
        <w:t>Performance Security</w:t>
      </w:r>
      <w:bookmarkEnd w:id="160"/>
      <w:bookmarkEnd w:id="161"/>
    </w:p>
    <w:p w:rsidRPr="002D2A8F" w:rsidR="002D54C4" w:rsidP="002D54C4" w:rsidRDefault="002D54C4" w14:paraId="120275EA" w14:textId="5FF3E425">
      <w:pPr>
        <w:pStyle w:val="zGTC02"/>
        <w:rPr>
          <w:rFonts w:ascii="Arial" w:hAnsi="Arial" w:cs="Arial"/>
          <w:vanish/>
          <w:specVanish/>
        </w:rPr>
      </w:pPr>
      <w:bookmarkStart w:name="_Toc169778598" w:id="162"/>
      <w:bookmarkStart w:name="_Toc227451364" w:id="163"/>
      <w:r w:rsidRPr="002D2A8F">
        <w:rPr>
          <w:rFonts w:ascii="Arial" w:hAnsi="Arial" w:cs="Arial"/>
        </w:rPr>
        <w:t>Performance Security.</w:t>
      </w:r>
      <w:bookmarkEnd w:id="162"/>
      <w:bookmarkEnd w:id="163"/>
    </w:p>
    <w:p w:rsidR="002D54C4" w:rsidP="00946B16" w:rsidRDefault="0061159E" w14:paraId="3B9E4FBD" w14:textId="5D8776DD">
      <w:pPr>
        <w:pStyle w:val="zGNormal"/>
      </w:pPr>
      <w:r w:rsidRPr="002D2A8F">
        <w:t xml:space="preserve"> </w:t>
      </w:r>
      <w:r w:rsidRPr="002D2A8F" w:rsidR="002D54C4">
        <w:t xml:space="preserve">Simultaneous with the execution of this PPA, </w:t>
      </w:r>
      <w:r w:rsidRPr="002D2A8F" w:rsidR="0096485F">
        <w:t xml:space="preserve">if Seller is not </w:t>
      </w:r>
      <w:r w:rsidRPr="002D2A8F" w:rsidR="00214738">
        <w:t>C</w:t>
      </w:r>
      <w:r w:rsidRPr="002D2A8F" w:rsidR="0096485F">
        <w:t xml:space="preserve">reditworthy, </w:t>
      </w:r>
      <w:r w:rsidRPr="002D2A8F" w:rsidR="002D54C4">
        <w:t xml:space="preserve">Seller must deliver to GPC </w:t>
      </w:r>
      <w:r w:rsidRPr="002D2A8F" w:rsidR="00915848">
        <w:t>Eligible Collateral in an amount equal to the</w:t>
      </w:r>
      <w:r w:rsidR="006728B4">
        <w:t xml:space="preserve"> initial</w:t>
      </w:r>
      <w:r w:rsidRPr="002D2A8F" w:rsidR="00915848">
        <w:t xml:space="preserve"> </w:t>
      </w:r>
      <w:r w:rsidRPr="002D2A8F" w:rsidR="002D54C4">
        <w:t>Performance Security</w:t>
      </w:r>
      <w:r w:rsidRPr="002D2A8F" w:rsidR="00F51026">
        <w:t xml:space="preserve"> </w:t>
      </w:r>
      <w:r w:rsidRPr="002D2A8F" w:rsidR="00915848">
        <w:t>required by</w:t>
      </w:r>
      <w:r w:rsidRPr="002D2A8F" w:rsidR="00F51026">
        <w:t xml:space="preserve"> </w:t>
      </w:r>
      <w:r w:rsidR="00151587">
        <w:t>Part 1 (</w:t>
      </w:r>
      <w:r w:rsidR="00151587">
        <w:rPr>
          <w:i/>
          <w:iCs/>
        </w:rPr>
        <w:t>Performance Security</w:t>
      </w:r>
      <w:r w:rsidR="00151587">
        <w:t xml:space="preserve">) of </w:t>
      </w:r>
      <w:r w:rsidRPr="00534192" w:rsidR="00F51026">
        <w:t>Exhibit</w:t>
      </w:r>
      <w:r w:rsidRPr="00534192" w:rsidR="00BF01B6">
        <w:t xml:space="preserve"> </w:t>
      </w:r>
      <w:r w:rsidRPr="00534192" w:rsidR="00C118E6">
        <w:t>A-2</w:t>
      </w:r>
      <w:r w:rsidRPr="00534192" w:rsidR="00F51026">
        <w:t xml:space="preserve"> (</w:t>
      </w:r>
      <w:r w:rsidRPr="00534192" w:rsidR="00F51026">
        <w:rPr>
          <w:i/>
        </w:rPr>
        <w:t>Performance Security</w:t>
      </w:r>
      <w:r w:rsidRPr="00534192" w:rsidR="00C118E6">
        <w:rPr>
          <w:i/>
        </w:rPr>
        <w:t xml:space="preserve"> and Liquidated Damages</w:t>
      </w:r>
      <w:r w:rsidRPr="00534192" w:rsidR="00F51026">
        <w:t>)</w:t>
      </w:r>
      <w:r w:rsidRPr="002D2A8F" w:rsidR="002D54C4">
        <w:t xml:space="preserve">. </w:t>
      </w:r>
      <w:r w:rsidR="00151587">
        <w:t xml:space="preserve">If Seller is not Creditworthy or </w:t>
      </w:r>
      <w:r w:rsidR="00663279">
        <w:t xml:space="preserve">later </w:t>
      </w:r>
      <w:r w:rsidR="00151587">
        <w:t xml:space="preserve">suffers a Material Adverse Change, </w:t>
      </w:r>
      <w:r w:rsidRPr="002D2A8F" w:rsidR="002D54C4">
        <w:t xml:space="preserve">Seller must maintain Performance Security throughout the Term </w:t>
      </w:r>
      <w:r w:rsidR="00151587">
        <w:t xml:space="preserve">or remaining Term, as applicable, </w:t>
      </w:r>
      <w:r w:rsidR="00F94FF9">
        <w:t xml:space="preserve">in the applicable amount </w:t>
      </w:r>
      <w:r w:rsidR="00B94FBB">
        <w:t>required by</w:t>
      </w:r>
      <w:r w:rsidR="00F94FF9">
        <w:t xml:space="preserve"> Part 1 of Exhibit A-2 (which amount, if the Term is longer than five Annual Periods, </w:t>
      </w:r>
      <w:r w:rsidR="001C39B2">
        <w:t xml:space="preserve">is adjusted every </w:t>
      </w:r>
      <w:r w:rsidR="00AA52E2">
        <w:t xml:space="preserve">five </w:t>
      </w:r>
      <w:r w:rsidR="00B94FBB">
        <w:t>Annual Periods</w:t>
      </w:r>
      <w:r w:rsidR="001C39B2">
        <w:t xml:space="preserve"> as shown in Part 1 of Exhibit A-2) </w:t>
      </w:r>
      <w:r w:rsidRPr="002D2A8F" w:rsidR="00DC56EB">
        <w:t>and</w:t>
      </w:r>
      <w:r w:rsidRPr="002D2A8F" w:rsidR="002D54C4">
        <w:t xml:space="preserve"> adjust</w:t>
      </w:r>
      <w:r w:rsidRPr="002D2A8F" w:rsidR="00C52E0E">
        <w:t xml:space="preserve"> its Eligible Collateral</w:t>
      </w:r>
      <w:r w:rsidRPr="002D2A8F" w:rsidR="002D54C4">
        <w:t xml:space="preserve"> </w:t>
      </w:r>
      <w:r w:rsidR="001C39B2">
        <w:t xml:space="preserve">as and when required to </w:t>
      </w:r>
      <w:r w:rsidR="00726075">
        <w:t>comply</w:t>
      </w:r>
      <w:r w:rsidR="001C39B2">
        <w:t xml:space="preserve"> with this Part 6 (</w:t>
      </w:r>
      <w:r w:rsidRPr="00551149" w:rsidR="001C39B2">
        <w:rPr>
          <w:i/>
          <w:iCs/>
        </w:rPr>
        <w:t>Performance Security</w:t>
      </w:r>
      <w:r w:rsidR="001C39B2">
        <w:t xml:space="preserve">), including, if the Term is longer than five Annual Periods, to comply with adjustments </w:t>
      </w:r>
      <w:r w:rsidR="00726075">
        <w:t xml:space="preserve">to the required Performance Security </w:t>
      </w:r>
      <w:r w:rsidR="00B94FBB">
        <w:t>amount</w:t>
      </w:r>
      <w:r w:rsidR="00726075">
        <w:t xml:space="preserve"> </w:t>
      </w:r>
      <w:r w:rsidRPr="002D2A8F" w:rsidDel="00723FBA" w:rsidR="002D54C4">
        <w:t xml:space="preserve">in accordance with </w:t>
      </w:r>
      <w:r w:rsidR="00151587">
        <w:t xml:space="preserve">Part 1 of </w:t>
      </w:r>
      <w:r w:rsidRPr="00534192" w:rsidDel="000D273E" w:rsidR="00D6758D">
        <w:t xml:space="preserve">Exhibit </w:t>
      </w:r>
      <w:r w:rsidRPr="00534192" w:rsidR="001C037A">
        <w:t>A-2</w:t>
      </w:r>
      <w:r w:rsidRPr="002D2A8F" w:rsidR="002D54C4">
        <w:t>.</w:t>
      </w:r>
      <w:r w:rsidRPr="002D2A8F" w:rsidR="00467F0E">
        <w:t xml:space="preserve"> </w:t>
      </w:r>
      <w:r w:rsidR="00622C2C">
        <w:t xml:space="preserve">If </w:t>
      </w:r>
      <w:r w:rsidR="001A1546">
        <w:t>during the Term Seller</w:t>
      </w:r>
      <w:r w:rsidR="00C15490">
        <w:t xml:space="preserve"> suffers a Material Adverse Change, Seller must deliver </w:t>
      </w:r>
      <w:r w:rsidR="002A2FA1">
        <w:t xml:space="preserve">to GPC the required Eligible Collateral </w:t>
      </w:r>
      <w:r w:rsidR="00961B8C">
        <w:t xml:space="preserve">within </w:t>
      </w:r>
      <w:r w:rsidR="008B3BA1">
        <w:t>five</w:t>
      </w:r>
      <w:r w:rsidR="00961B8C">
        <w:t xml:space="preserve"> </w:t>
      </w:r>
      <w:r w:rsidR="00FB77D8">
        <w:t>Banking</w:t>
      </w:r>
      <w:r w:rsidR="00961B8C">
        <w:t xml:space="preserve"> Days after the Material Adverse Change occurs</w:t>
      </w:r>
      <w:r w:rsidR="00F4062B">
        <w:t>, subject to extension in accordance with Section 6.5 (</w:t>
      </w:r>
      <w:r w:rsidRPr="00500257" w:rsidR="00F4062B">
        <w:rPr>
          <w:i/>
          <w:iCs/>
        </w:rPr>
        <w:t>Pre-Approval of Non-Cash Eligible Collateral</w:t>
      </w:r>
      <w:r w:rsidR="00F4062B">
        <w:t>)</w:t>
      </w:r>
      <w:r w:rsidR="00961B8C">
        <w:t>.</w:t>
      </w:r>
      <w:r w:rsidR="001A1546">
        <w:t xml:space="preserve"> </w:t>
      </w:r>
      <w:r w:rsidRPr="002D2A8F" w:rsidR="002D54C4">
        <w:t>If: (i) any portion of the Eligible Collateral that GPC</w:t>
      </w:r>
      <w:r w:rsidRPr="002D2A8F" w:rsidDel="00681AF2" w:rsidR="002D54C4">
        <w:t xml:space="preserve"> </w:t>
      </w:r>
      <w:r w:rsidRPr="002D2A8F" w:rsidR="002D54C4">
        <w:t>is then holding is in the form of a Seller Guaranty</w:t>
      </w:r>
      <w:r w:rsidR="00D967A8">
        <w:t>,</w:t>
      </w:r>
      <w:r w:rsidRPr="002D2A8F" w:rsidR="002D54C4">
        <w:t xml:space="preserve"> and (ii) a Material Adverse Change occurs regarding Seller Guarantor, then by no later </w:t>
      </w:r>
      <w:r w:rsidRPr="00303A4D" w:rsidR="002D54C4">
        <w:t xml:space="preserve">than </w:t>
      </w:r>
      <w:r w:rsidR="00233DA6">
        <w:t>five</w:t>
      </w:r>
      <w:r w:rsidRPr="002D2A8F" w:rsidR="00233DA6">
        <w:t xml:space="preserve"> </w:t>
      </w:r>
      <w:r w:rsidRPr="002D2A8F" w:rsidR="00F97D1B">
        <w:t xml:space="preserve">Banking </w:t>
      </w:r>
      <w:r w:rsidRPr="002D2A8F" w:rsidR="002D54C4">
        <w:t>Days after the Material Adverse Change occur</w:t>
      </w:r>
      <w:r w:rsidR="001B49CE">
        <w:t>s</w:t>
      </w:r>
      <w:r w:rsidRPr="002D2A8F" w:rsidR="002D54C4">
        <w:t xml:space="preserve">, </w:t>
      </w:r>
      <w:r w:rsidR="00FB77D8">
        <w:t xml:space="preserve">subject to extension in accordance with Section 6.5, </w:t>
      </w:r>
      <w:r w:rsidRPr="002D2A8F" w:rsidR="002D54C4">
        <w:t>Seller must deliver to GPC</w:t>
      </w:r>
      <w:r w:rsidRPr="002D2A8F" w:rsidDel="00681AF2" w:rsidR="002D54C4">
        <w:t xml:space="preserve"> </w:t>
      </w:r>
      <w:r w:rsidRPr="002D2A8F" w:rsidR="002D54C4">
        <w:t>replacement Eligible Collateral to replace the Seller Guaranty: (</w:t>
      </w:r>
      <w:r w:rsidR="001609DB">
        <w:t>a</w:t>
      </w:r>
      <w:r w:rsidRPr="002D2A8F" w:rsidR="002D54C4">
        <w:t>) in a form other than a Seller Guaranty; or (</w:t>
      </w:r>
      <w:r w:rsidR="001609DB">
        <w:t>b</w:t>
      </w:r>
      <w:r w:rsidRPr="002D2A8F" w:rsidR="002D54C4">
        <w:t>) in the form of a Seller Guaranty from a different Seller Guarantor that is Creditworthy.</w:t>
      </w:r>
      <w:bookmarkStart w:name="_Toc158593198" w:id="164"/>
      <w:bookmarkStart w:name="_Toc158597477" w:id="165"/>
      <w:bookmarkStart w:name="_Toc158720101" w:id="166"/>
      <w:bookmarkStart w:name="_Toc158722855" w:id="167"/>
      <w:bookmarkEnd w:id="164"/>
      <w:bookmarkEnd w:id="165"/>
      <w:bookmarkEnd w:id="166"/>
      <w:bookmarkEnd w:id="167"/>
    </w:p>
    <w:p w:rsidRPr="002D2A8F" w:rsidR="00F035CB" w:rsidP="00F035CB" w:rsidRDefault="00F035CB" w14:paraId="2B9C313A" w14:textId="7EBADC41">
      <w:pPr>
        <w:pStyle w:val="zGTC03"/>
      </w:pPr>
      <w:r w:rsidRPr="00C0784A">
        <w:rPr>
          <w:b/>
          <w:bCs/>
        </w:rPr>
        <w:t xml:space="preserve">Requirements if Seller </w:t>
      </w:r>
      <w:r w:rsidRPr="00C0784A" w:rsidR="00D8412F">
        <w:rPr>
          <w:b/>
          <w:bCs/>
        </w:rPr>
        <w:t>Becomes Creditworthy</w:t>
      </w:r>
      <w:r w:rsidR="00D8412F">
        <w:t xml:space="preserve">. </w:t>
      </w:r>
      <w:r w:rsidRPr="00C0784A" w:rsidR="00C0784A">
        <w:t xml:space="preserve">If, during the Term, Seller has provided Performance Security to GPC in accordance with the requirements of this Part </w:t>
      </w:r>
      <w:r w:rsidR="00C0784A">
        <w:t>6</w:t>
      </w:r>
      <w:r w:rsidRPr="00C0784A" w:rsidR="00C0784A">
        <w:t xml:space="preserve"> (</w:t>
      </w:r>
      <w:r w:rsidRPr="00C0784A" w:rsidR="00C0784A">
        <w:rPr>
          <w:i/>
          <w:iCs/>
        </w:rPr>
        <w:t>Performance Security</w:t>
      </w:r>
      <w:r w:rsidRPr="00C0784A" w:rsidR="00C0784A">
        <w:t>) and either: (i) Seller becomes Creditworthy; or (ii) Seller assign</w:t>
      </w:r>
      <w:r w:rsidR="00C0784A">
        <w:t>s</w:t>
      </w:r>
      <w:r w:rsidRPr="00C0784A" w:rsidR="00C0784A">
        <w:t xml:space="preserve"> this PPA in accordance with Section 18.1.1 (</w:t>
      </w:r>
      <w:r w:rsidRPr="00C0784A" w:rsidR="00C0784A">
        <w:rPr>
          <w:i/>
          <w:iCs/>
        </w:rPr>
        <w:t>Assignment by Seller</w:t>
      </w:r>
      <w:r w:rsidRPr="00C0784A" w:rsidR="00C0784A">
        <w:t xml:space="preserve">) to a Person (other than </w:t>
      </w:r>
      <w:r w:rsidR="00FE0AEA">
        <w:t xml:space="preserve">a </w:t>
      </w:r>
      <w:r w:rsidR="00FE0AEA">
        <w:lastRenderedPageBreak/>
        <w:t>Financing Assignment</w:t>
      </w:r>
      <w:r w:rsidRPr="00C0784A" w:rsidR="00C0784A">
        <w:t xml:space="preserve">) that is Creditworthy, then in either case: (a) Seller or such Person, as applicable, will not be required to </w:t>
      </w:r>
      <w:r w:rsidR="0043753B">
        <w:t>maintain</w:t>
      </w:r>
      <w:r w:rsidRPr="00C0784A" w:rsidR="00C0784A">
        <w:t xml:space="preserve"> Performance Security for so long as it is Creditworthy; and (b) GPC will return Seller’s </w:t>
      </w:r>
      <w:r w:rsidR="0043753B">
        <w:t>Eligible Collateral</w:t>
      </w:r>
      <w:r w:rsidRPr="00C0784A" w:rsidR="00C0784A">
        <w:t xml:space="preserve"> within five Business Days after Seller becomes Creditworthy or the effective date of the assignment, as applicable.</w:t>
      </w:r>
    </w:p>
    <w:p w:rsidRPr="002D2A8F" w:rsidR="008759EF" w:rsidP="008759EF" w:rsidRDefault="002D54C4" w14:paraId="5BBAC3A7" w14:textId="460D3FE1">
      <w:pPr>
        <w:pStyle w:val="zGTC02"/>
        <w:rPr>
          <w:rFonts w:ascii="Arial" w:hAnsi="Arial" w:cs="Arial"/>
          <w:specVanish/>
        </w:rPr>
      </w:pPr>
      <w:bookmarkStart w:name="_Toc169778599" w:id="168"/>
      <w:bookmarkStart w:name="_Toc227451365" w:id="169"/>
      <w:r w:rsidRPr="002D2A8F">
        <w:rPr>
          <w:rFonts w:ascii="Arial" w:hAnsi="Arial" w:cs="Arial"/>
        </w:rPr>
        <w:t>Replacement Collateral; Substituted Collateral; Release of Collateral.</w:t>
      </w:r>
      <w:bookmarkStart w:name="_Toc158593199" w:id="170"/>
      <w:bookmarkStart w:name="_Toc158597478" w:id="171"/>
      <w:bookmarkStart w:name="_Toc158720102" w:id="172"/>
      <w:bookmarkStart w:name="_Toc158722856" w:id="173"/>
      <w:bookmarkStart w:name="_Toc158929386" w:id="174"/>
      <w:bookmarkEnd w:id="168"/>
      <w:bookmarkEnd w:id="169"/>
      <w:bookmarkEnd w:id="170"/>
      <w:bookmarkEnd w:id="171"/>
      <w:bookmarkEnd w:id="172"/>
      <w:bookmarkEnd w:id="173"/>
      <w:bookmarkEnd w:id="174"/>
    </w:p>
    <w:p w:rsidRPr="002D2A8F" w:rsidR="002D54C4" w:rsidP="00825C36" w:rsidRDefault="002D54C4" w14:paraId="3DC1E335" w14:textId="573307B0">
      <w:pPr>
        <w:pStyle w:val="zGTC03"/>
        <w:rPr>
          <w:rFonts w:cs="Arial"/>
          <w:b/>
          <w:vanish/>
          <w:specVanish/>
        </w:rPr>
      </w:pPr>
      <w:r w:rsidRPr="002D2A8F">
        <w:rPr>
          <w:rFonts w:cs="Arial"/>
          <w:b/>
          <w:w w:val="0"/>
        </w:rPr>
        <w:t>Replacement Collateral.</w:t>
      </w:r>
    </w:p>
    <w:p w:rsidRPr="002D2A8F" w:rsidR="008759EF" w:rsidP="008759EF" w:rsidRDefault="002D54C4" w14:paraId="1DFE61EA" w14:textId="3FCDC58C">
      <w:pPr>
        <w:pStyle w:val="zGNormal"/>
        <w:rPr>
          <w:rStyle w:val="DeltaViewInsertion"/>
          <w:color w:val="auto"/>
          <w:u w:val="none"/>
        </w:rPr>
      </w:pPr>
      <w:r w:rsidRPr="002D2A8F">
        <w:t xml:space="preserve"> To the extent that any Performance Security supplement or replacement </w:t>
      </w:r>
      <w:r w:rsidRPr="002D2A8F" w:rsidDel="00C86FF1">
        <w:t xml:space="preserve"> </w:t>
      </w:r>
      <w:r w:rsidRPr="002D2A8F">
        <w:t xml:space="preserve">is required to maintain compliance with </w:t>
      </w:r>
      <w:r w:rsidRPr="00534192">
        <w:t xml:space="preserve">Section </w:t>
      </w:r>
      <w:r w:rsidRPr="00534192" w:rsidR="00885175">
        <w:t>6</w:t>
      </w:r>
      <w:r w:rsidRPr="00534192">
        <w:t>.1 (</w:t>
      </w:r>
      <w:r w:rsidRPr="00534192">
        <w:rPr>
          <w:i/>
        </w:rPr>
        <w:t>Performance Security</w:t>
      </w:r>
      <w:r w:rsidRPr="00534192">
        <w:t>)</w:t>
      </w:r>
      <w:r w:rsidR="007C405F">
        <w:t xml:space="preserve"> (including any adjustment to the required Performance Security </w:t>
      </w:r>
      <w:r w:rsidR="000D4132">
        <w:t>amount</w:t>
      </w:r>
      <w:r w:rsidR="007C405F">
        <w:t xml:space="preserve"> </w:t>
      </w:r>
      <w:r w:rsidR="00206A51">
        <w:t>in accordance with Part 1 (</w:t>
      </w:r>
      <w:r w:rsidRPr="00206A51" w:rsidR="00206A51">
        <w:rPr>
          <w:i/>
          <w:iCs/>
        </w:rPr>
        <w:t>Performance Security</w:t>
      </w:r>
      <w:r w:rsidR="00206A51">
        <w:t>) of Exhibit A-2 (</w:t>
      </w:r>
      <w:r w:rsidRPr="00206A51" w:rsidR="00206A51">
        <w:rPr>
          <w:i/>
          <w:iCs/>
        </w:rPr>
        <w:t>Performance Security and Liquidated Damages</w:t>
      </w:r>
      <w:r w:rsidR="00206A51">
        <w:t>)</w:t>
      </w:r>
      <w:r w:rsidR="00425651">
        <w:t>)</w:t>
      </w:r>
      <w:r w:rsidRPr="002D2A8F">
        <w:rPr>
          <w:color w:val="000000" w:themeColor="text1"/>
        </w:rPr>
        <w:t>, Seller must deliver</w:t>
      </w:r>
      <w:r w:rsidRPr="002D2A8F" w:rsidDel="00522D2B">
        <w:rPr>
          <w:color w:val="000000" w:themeColor="text1"/>
        </w:rPr>
        <w:t xml:space="preserve"> </w:t>
      </w:r>
      <w:r w:rsidRPr="002D2A8F">
        <w:rPr>
          <w:color w:val="000000" w:themeColor="text1"/>
        </w:rPr>
        <w:t>to GPC</w:t>
      </w:r>
      <w:r w:rsidRPr="002D2A8F" w:rsidDel="00681AF2">
        <w:rPr>
          <w:color w:val="000000" w:themeColor="text1"/>
        </w:rPr>
        <w:t xml:space="preserve"> </w:t>
      </w:r>
      <w:r w:rsidRPr="002D2A8F">
        <w:rPr>
          <w:color w:val="000000" w:themeColor="text1"/>
        </w:rPr>
        <w:t xml:space="preserve">the </w:t>
      </w:r>
      <w:r w:rsidR="00425651">
        <w:rPr>
          <w:color w:val="000000" w:themeColor="text1"/>
        </w:rPr>
        <w:t xml:space="preserve">supplemental or </w:t>
      </w:r>
      <w:r w:rsidRPr="002D2A8F">
        <w:rPr>
          <w:color w:val="000000" w:themeColor="text1"/>
        </w:rPr>
        <w:t xml:space="preserve">replacement Performance Security by </w:t>
      </w:r>
      <w:r w:rsidRPr="002D2A8F">
        <w:rPr>
          <w:rStyle w:val="DeltaViewInsertion"/>
          <w:color w:val="000000" w:themeColor="text1"/>
          <w:u w:val="none"/>
        </w:rPr>
        <w:t xml:space="preserve">no later than </w:t>
      </w:r>
      <w:r w:rsidR="00E95E55">
        <w:rPr>
          <w:rStyle w:val="DeltaViewInsertion"/>
          <w:color w:val="000000" w:themeColor="text1"/>
          <w:u w:val="none"/>
        </w:rPr>
        <w:t>45</w:t>
      </w:r>
      <w:r w:rsidRPr="002D2A8F">
        <w:rPr>
          <w:rStyle w:val="DeltaViewInsertion"/>
          <w:color w:val="000000" w:themeColor="text1"/>
          <w:u w:val="none"/>
        </w:rPr>
        <w:t xml:space="preserve"> Days before the earlier to occur of: (i) the date when an increase or decrease in Eligible Collateral is required </w:t>
      </w:r>
      <w:r w:rsidRPr="002D2A8F">
        <w:rPr>
          <w:color w:val="000000" w:themeColor="text1"/>
        </w:rPr>
        <w:t>in accordance with</w:t>
      </w:r>
      <w:r w:rsidRPr="002D2A8F">
        <w:rPr>
          <w:rStyle w:val="DeltaViewInsertion"/>
          <w:color w:val="000000" w:themeColor="text1"/>
          <w:u w:val="none"/>
        </w:rPr>
        <w:t xml:space="preserve"> </w:t>
      </w:r>
      <w:r w:rsidR="00151587">
        <w:t xml:space="preserve">Part 1 of </w:t>
      </w:r>
      <w:r w:rsidRPr="00534192" w:rsidR="00885175">
        <w:rPr>
          <w:rStyle w:val="DeltaViewInsertion"/>
          <w:color w:val="000000" w:themeColor="text1"/>
          <w:u w:val="none"/>
        </w:rPr>
        <w:t xml:space="preserve">Exhibit </w:t>
      </w:r>
      <w:r w:rsidRPr="00534192" w:rsidR="0081080A">
        <w:rPr>
          <w:rStyle w:val="DeltaViewInsertion"/>
          <w:color w:val="000000" w:themeColor="text1"/>
          <w:u w:val="none"/>
        </w:rPr>
        <w:t>A-2</w:t>
      </w:r>
      <w:r w:rsidRPr="002D2A8F">
        <w:rPr>
          <w:color w:val="000000" w:themeColor="text1"/>
        </w:rPr>
        <w:t>;</w:t>
      </w:r>
      <w:r w:rsidRPr="002D2A8F" w:rsidDel="00990710">
        <w:rPr>
          <w:rStyle w:val="DeltaViewInsertion"/>
          <w:color w:val="000000" w:themeColor="text1"/>
          <w:u w:val="none"/>
        </w:rPr>
        <w:t xml:space="preserve"> </w:t>
      </w:r>
      <w:r w:rsidRPr="002D2A8F">
        <w:rPr>
          <w:rStyle w:val="DeltaViewInsertion"/>
          <w:color w:val="000000" w:themeColor="text1"/>
          <w:u w:val="none"/>
        </w:rPr>
        <w:t xml:space="preserve">or (ii) the date when the existing Eligible Collateral will expire. However, the increase or decrease, as applicable, in Eligible Collateral will not become effective until the applicable date </w:t>
      </w:r>
      <w:r w:rsidR="00720FC2">
        <w:rPr>
          <w:rStyle w:val="DeltaViewInsertion"/>
          <w:color w:val="000000" w:themeColor="text1"/>
          <w:u w:val="none"/>
        </w:rPr>
        <w:t>indicated</w:t>
      </w:r>
      <w:r w:rsidRPr="002D2A8F">
        <w:rPr>
          <w:rStyle w:val="DeltaViewInsertion"/>
          <w:color w:val="000000" w:themeColor="text1"/>
          <w:u w:val="none"/>
        </w:rPr>
        <w:t xml:space="preserve"> in </w:t>
      </w:r>
      <w:r w:rsidR="00151587">
        <w:t xml:space="preserve">Part 1 of </w:t>
      </w:r>
      <w:r w:rsidRPr="00534192" w:rsidR="00FC2A80">
        <w:rPr>
          <w:rStyle w:val="DeltaViewInsertion"/>
          <w:color w:val="000000" w:themeColor="text1"/>
          <w:u w:val="none"/>
        </w:rPr>
        <w:t xml:space="preserve">Exhibit </w:t>
      </w:r>
      <w:r w:rsidRPr="00534192" w:rsidR="0017295E">
        <w:rPr>
          <w:color w:val="000000" w:themeColor="text1"/>
        </w:rPr>
        <w:t>A-2</w:t>
      </w:r>
      <w:r w:rsidRPr="002D2A8F">
        <w:rPr>
          <w:rStyle w:val="DeltaViewInsertion"/>
          <w:color w:val="000000" w:themeColor="text1"/>
          <w:u w:val="none"/>
        </w:rPr>
        <w:t xml:space="preserve">. </w:t>
      </w:r>
      <w:r w:rsidR="00815CA3">
        <w:rPr>
          <w:rStyle w:val="DeltaViewInsertion"/>
          <w:color w:val="000000" w:themeColor="text1"/>
          <w:w w:val="0"/>
          <w:u w:val="none"/>
        </w:rPr>
        <w:t>I</w:t>
      </w:r>
      <w:r w:rsidRPr="002D2A8F" w:rsidR="006012D9">
        <w:rPr>
          <w:rStyle w:val="DeltaViewInsertion"/>
          <w:color w:val="000000" w:themeColor="text1"/>
          <w:w w:val="0"/>
          <w:u w:val="none"/>
        </w:rPr>
        <w:t xml:space="preserve">f </w:t>
      </w:r>
      <w:r w:rsidRPr="002D2A8F" w:rsidR="006012D9">
        <w:rPr>
          <w:color w:val="000000" w:themeColor="text1"/>
        </w:rPr>
        <w:t>the U.S. comme</w:t>
      </w:r>
      <w:r w:rsidRPr="002D2A8F" w:rsidR="006012D9">
        <w:t>rcial bank or a U.S. branch of a foreign bank that issued the Letter of Credit fails to maintain: (a) total assets of at least ten billion dollars ($10,000,000,000); or (b) a general long-term senior unsecured debt rating required for a Letter of Credit under this PPA</w:t>
      </w:r>
      <w:r w:rsidR="00FA7A6B">
        <w:rPr>
          <w:rStyle w:val="DeltaViewInsertion"/>
          <w:color w:val="auto"/>
          <w:u w:val="none"/>
        </w:rPr>
        <w:t>,</w:t>
      </w:r>
      <w:r w:rsidRPr="00815CA3" w:rsidR="00FA7A6B">
        <w:rPr>
          <w:rStyle w:val="DeltaViewInsertion"/>
          <w:color w:val="000000" w:themeColor="text1"/>
          <w:w w:val="0"/>
          <w:u w:val="none"/>
        </w:rPr>
        <w:t xml:space="preserve"> </w:t>
      </w:r>
      <w:r w:rsidRPr="002D2A8F" w:rsidR="00FA7A6B">
        <w:rPr>
          <w:rStyle w:val="DeltaViewInsertion"/>
          <w:color w:val="000000" w:themeColor="text1"/>
          <w:w w:val="0"/>
          <w:u w:val="none"/>
        </w:rPr>
        <w:t xml:space="preserve">Seller must deliver to GPC a replacement Letter of Credit by no later than </w:t>
      </w:r>
      <w:r w:rsidRPr="00534192" w:rsidR="00FA7A6B">
        <w:rPr>
          <w:rStyle w:val="DeltaViewInsertion"/>
          <w:color w:val="000000" w:themeColor="text1"/>
          <w:w w:val="0"/>
          <w:u w:val="none"/>
        </w:rPr>
        <w:t>10 Banking Days</w:t>
      </w:r>
      <w:r w:rsidRPr="675D43C7" w:rsidR="00D52196">
        <w:rPr>
          <w:rStyle w:val="DeltaViewInsertion"/>
          <w:color w:val="000000" w:themeColor="text1"/>
          <w:u w:val="none"/>
        </w:rPr>
        <w:t xml:space="preserve"> after the disqualifying event of (a) or (b)</w:t>
      </w:r>
      <w:r w:rsidRPr="002D2A8F" w:rsidR="009D2F79">
        <w:rPr>
          <w:rStyle w:val="DeltaViewInsertion"/>
          <w:w w:val="0"/>
          <w:u w:val="none"/>
        </w:rPr>
        <w:t>.</w:t>
      </w:r>
      <w:r w:rsidRPr="002D2A8F" w:rsidR="009D2F79">
        <w:rPr>
          <w:rStyle w:val="DeltaViewInsertion"/>
          <w:color w:val="auto"/>
          <w:w w:val="0"/>
          <w:u w:val="none"/>
        </w:rPr>
        <w:t xml:space="preserve"> </w:t>
      </w:r>
      <w:r w:rsidRPr="002D2A8F">
        <w:rPr>
          <w:rStyle w:val="DeltaViewInsertion"/>
          <w:color w:val="auto"/>
          <w:u w:val="none"/>
        </w:rPr>
        <w:t>If Seller does not</w:t>
      </w:r>
      <w:r w:rsidRPr="002D2A8F" w:rsidDel="001563E9">
        <w:rPr>
          <w:rStyle w:val="DeltaViewInsertion"/>
          <w:color w:val="auto"/>
          <w:u w:val="none"/>
        </w:rPr>
        <w:t xml:space="preserve"> </w:t>
      </w:r>
      <w:r w:rsidRPr="002D2A8F">
        <w:rPr>
          <w:rStyle w:val="DeltaViewInsertion"/>
          <w:color w:val="auto"/>
          <w:u w:val="none"/>
        </w:rPr>
        <w:t xml:space="preserve">comply with the </w:t>
      </w:r>
      <w:r w:rsidR="00425651">
        <w:rPr>
          <w:rStyle w:val="DeltaViewInsertion"/>
          <w:color w:val="auto"/>
          <w:u w:val="none"/>
        </w:rPr>
        <w:t>previous</w:t>
      </w:r>
      <w:r w:rsidRPr="002D2A8F">
        <w:rPr>
          <w:rStyle w:val="DeltaViewInsertion"/>
          <w:color w:val="auto"/>
          <w:u w:val="none"/>
        </w:rPr>
        <w:t xml:space="preserve"> sentence, </w:t>
      </w:r>
      <w:r w:rsidRPr="002D2A8F">
        <w:t>GPC</w:t>
      </w:r>
      <w:r w:rsidRPr="002D2A8F" w:rsidDel="00681AF2">
        <w:rPr>
          <w:rStyle w:val="DeltaViewInsertion"/>
          <w:color w:val="auto"/>
          <w:u w:val="none"/>
        </w:rPr>
        <w:t xml:space="preserve"> </w:t>
      </w:r>
      <w:r w:rsidRPr="002D2A8F">
        <w:rPr>
          <w:rStyle w:val="DeltaViewInsertion"/>
          <w:color w:val="auto"/>
          <w:u w:val="none"/>
        </w:rPr>
        <w:t>has the right,</w:t>
      </w:r>
      <w:r w:rsidRPr="002D2A8F">
        <w:t xml:space="preserve"> without limitation to its other remedies under this PPA or at law, </w:t>
      </w:r>
      <w:r w:rsidRPr="002D2A8F">
        <w:rPr>
          <w:rStyle w:val="DeltaViewInsertion"/>
          <w:color w:val="auto"/>
          <w:u w:val="none"/>
        </w:rPr>
        <w:t>to</w:t>
      </w:r>
      <w:r w:rsidR="007456E6">
        <w:rPr>
          <w:rStyle w:val="DeltaViewInsertion"/>
          <w:color w:val="auto"/>
          <w:u w:val="none"/>
        </w:rPr>
        <w:t>: (I)</w:t>
      </w:r>
      <w:r w:rsidRPr="002D2A8F">
        <w:rPr>
          <w:rStyle w:val="DeltaViewInsertion"/>
          <w:color w:val="auto"/>
          <w:u w:val="none"/>
        </w:rPr>
        <w:t xml:space="preserve"> </w:t>
      </w:r>
      <w:r w:rsidRPr="002D2A8F">
        <w:t xml:space="preserve">draw the full amount on the existing </w:t>
      </w:r>
      <w:r w:rsidRPr="002D2A8F">
        <w:rPr>
          <w:rStyle w:val="DeltaViewInsertion"/>
          <w:color w:val="auto"/>
          <w:u w:val="none"/>
        </w:rPr>
        <w:t xml:space="preserve">Eligible Collateral </w:t>
      </w:r>
      <w:r w:rsidR="00425651">
        <w:rPr>
          <w:rStyle w:val="DeltaViewInsertion"/>
          <w:color w:val="auto"/>
          <w:u w:val="none"/>
        </w:rPr>
        <w:t>before the</w:t>
      </w:r>
      <w:r w:rsidRPr="002D2A8F">
        <w:rPr>
          <w:rStyle w:val="DeltaViewInsertion"/>
          <w:color w:val="auto"/>
          <w:u w:val="none"/>
        </w:rPr>
        <w:t xml:space="preserve"> expiration </w:t>
      </w:r>
      <w:r w:rsidR="00425651">
        <w:rPr>
          <w:rStyle w:val="DeltaViewInsertion"/>
          <w:color w:val="auto"/>
          <w:u w:val="none"/>
        </w:rPr>
        <w:t xml:space="preserve">of the </w:t>
      </w:r>
      <w:r w:rsidR="009B5317">
        <w:rPr>
          <w:rStyle w:val="DeltaViewInsertion"/>
          <w:color w:val="auto"/>
          <w:u w:val="none"/>
        </w:rPr>
        <w:t>e</w:t>
      </w:r>
      <w:r w:rsidR="00425651">
        <w:rPr>
          <w:rStyle w:val="DeltaViewInsertion"/>
          <w:color w:val="auto"/>
          <w:u w:val="none"/>
        </w:rPr>
        <w:t>xisting</w:t>
      </w:r>
      <w:r w:rsidR="00525063">
        <w:rPr>
          <w:rStyle w:val="DeltaViewInsertion"/>
          <w:color w:val="auto"/>
          <w:u w:val="none"/>
        </w:rPr>
        <w:t xml:space="preserve"> Eligible Collateral</w:t>
      </w:r>
      <w:r w:rsidR="007456E6">
        <w:rPr>
          <w:rStyle w:val="DeltaViewInsertion"/>
          <w:color w:val="auto"/>
          <w:u w:val="none"/>
        </w:rPr>
        <w:t>;</w:t>
      </w:r>
      <w:r w:rsidRPr="002D2A8F">
        <w:rPr>
          <w:rStyle w:val="DeltaViewInsertion"/>
          <w:color w:val="auto"/>
          <w:u w:val="none"/>
        </w:rPr>
        <w:t xml:space="preserve"> </w:t>
      </w:r>
      <w:r w:rsidR="007456E6">
        <w:rPr>
          <w:rStyle w:val="DeltaViewInsertion"/>
          <w:color w:val="auto"/>
          <w:u w:val="none"/>
        </w:rPr>
        <w:t xml:space="preserve">and (II) </w:t>
      </w:r>
      <w:r w:rsidRPr="002D2A8F">
        <w:rPr>
          <w:rStyle w:val="DeltaViewInsertion"/>
          <w:color w:val="auto"/>
          <w:u w:val="none"/>
        </w:rPr>
        <w:t xml:space="preserve">take further action to protect its interests under this PPA. </w:t>
      </w:r>
    </w:p>
    <w:p w:rsidRPr="002D2A8F" w:rsidR="002D54C4" w:rsidP="0055230F" w:rsidRDefault="002D54C4" w14:paraId="063F0825" w14:textId="43C9563E">
      <w:pPr>
        <w:pStyle w:val="zGTC03"/>
        <w:rPr>
          <w:rFonts w:cs="Arial"/>
          <w:b/>
          <w:bCs/>
          <w:vanish/>
          <w:specVanish/>
        </w:rPr>
      </w:pPr>
      <w:r w:rsidRPr="002D2A8F">
        <w:rPr>
          <w:rFonts w:cs="Arial"/>
          <w:b/>
          <w:w w:val="0"/>
        </w:rPr>
        <w:t xml:space="preserve">Release of Collateral; Substituted </w:t>
      </w:r>
      <w:r w:rsidRPr="002D2A8F">
        <w:rPr>
          <w:rFonts w:cs="Arial"/>
          <w:b/>
        </w:rPr>
        <w:t>Collateral</w:t>
      </w:r>
      <w:r w:rsidRPr="002D2A8F">
        <w:rPr>
          <w:rFonts w:cs="Arial"/>
          <w:b/>
          <w:w w:val="0"/>
        </w:rPr>
        <w:t>.</w:t>
      </w:r>
    </w:p>
    <w:p w:rsidRPr="002D2A8F" w:rsidR="002D54C4" w:rsidP="002D54C4" w:rsidRDefault="002D54C4" w14:paraId="3B282AE4" w14:textId="65201B4D">
      <w:pPr>
        <w:pStyle w:val="zGNormal"/>
      </w:pPr>
      <w:r w:rsidRPr="002D2A8F">
        <w:rPr>
          <w:w w:val="0"/>
        </w:rPr>
        <w:t xml:space="preserve"> Upon replacement of the Performance Security in accordance with </w:t>
      </w:r>
      <w:r w:rsidRPr="00534192">
        <w:rPr>
          <w:w w:val="0"/>
        </w:rPr>
        <w:t xml:space="preserve">Section </w:t>
      </w:r>
      <w:r w:rsidRPr="00534192" w:rsidR="009D2F79">
        <w:rPr>
          <w:w w:val="0"/>
        </w:rPr>
        <w:t>6</w:t>
      </w:r>
      <w:r w:rsidRPr="00534192">
        <w:rPr>
          <w:w w:val="0"/>
        </w:rPr>
        <w:t>.</w:t>
      </w:r>
      <w:r w:rsidRPr="00534192" w:rsidR="009F6971">
        <w:rPr>
          <w:w w:val="0"/>
        </w:rPr>
        <w:t>2</w:t>
      </w:r>
      <w:r w:rsidRPr="00534192">
        <w:rPr>
          <w:w w:val="0"/>
        </w:rPr>
        <w:t>.1 (</w:t>
      </w:r>
      <w:r w:rsidRPr="00534192">
        <w:rPr>
          <w:i/>
          <w:w w:val="0"/>
        </w:rPr>
        <w:t>Replacement Collateral</w:t>
      </w:r>
      <w:r w:rsidRPr="00534192">
        <w:rPr>
          <w:w w:val="0"/>
        </w:rPr>
        <w:t>)</w:t>
      </w:r>
      <w:r w:rsidRPr="002D2A8F">
        <w:rPr>
          <w:w w:val="0"/>
        </w:rPr>
        <w:t xml:space="preserve">, </w:t>
      </w:r>
      <w:r w:rsidRPr="002D2A8F">
        <w:t>GPC</w:t>
      </w:r>
      <w:r w:rsidRPr="002D2A8F" w:rsidDel="00681AF2">
        <w:rPr>
          <w:w w:val="0"/>
        </w:rPr>
        <w:t xml:space="preserve"> </w:t>
      </w:r>
      <w:r w:rsidRPr="002D2A8F">
        <w:rPr>
          <w:w w:val="0"/>
        </w:rPr>
        <w:t xml:space="preserve">will </w:t>
      </w:r>
      <w:r w:rsidRPr="002D2A8F" w:rsidDel="0019417C">
        <w:rPr>
          <w:w w:val="0"/>
        </w:rPr>
        <w:t xml:space="preserve">promptly </w:t>
      </w:r>
      <w:r w:rsidRPr="002D2A8F">
        <w:rPr>
          <w:w w:val="0"/>
        </w:rPr>
        <w:t>release back to Seller the Eligible Collateral that Seller replaced. During the Term, Seller may substitute the Eligible Collateral by providing GPC with notice and the substitute Eligible Collateral. If GPC accepts the</w:t>
      </w:r>
      <w:r w:rsidRPr="002D2A8F" w:rsidDel="00395B63">
        <w:rPr>
          <w:w w:val="0"/>
        </w:rPr>
        <w:t xml:space="preserve"> </w:t>
      </w:r>
      <w:r w:rsidRPr="002D2A8F">
        <w:rPr>
          <w:w w:val="0"/>
        </w:rPr>
        <w:t xml:space="preserve">substitute Eligible Collateral, </w:t>
      </w:r>
      <w:r w:rsidRPr="002D2A8F">
        <w:t>GPC</w:t>
      </w:r>
      <w:r w:rsidRPr="002D2A8F" w:rsidDel="00681AF2">
        <w:rPr>
          <w:w w:val="0"/>
        </w:rPr>
        <w:t xml:space="preserve"> </w:t>
      </w:r>
      <w:r w:rsidRPr="002D2A8F">
        <w:rPr>
          <w:w w:val="0"/>
        </w:rPr>
        <w:t xml:space="preserve">will </w:t>
      </w:r>
      <w:r w:rsidRPr="002D2A8F" w:rsidDel="00842492">
        <w:rPr>
          <w:w w:val="0"/>
        </w:rPr>
        <w:t xml:space="preserve">promptly </w:t>
      </w:r>
      <w:r w:rsidRPr="002D2A8F">
        <w:rPr>
          <w:w w:val="0"/>
        </w:rPr>
        <w:t xml:space="preserve">release the Eligible Collateral for which substitution is being made </w:t>
      </w:r>
      <w:r w:rsidRPr="002D2A8F">
        <w:rPr>
          <w:rStyle w:val="DeltaViewInsertion"/>
          <w:color w:val="auto"/>
          <w:w w:val="0"/>
          <w:u w:val="none"/>
        </w:rPr>
        <w:t>in an amount equal to the substitution amount</w:t>
      </w:r>
      <w:r w:rsidRPr="002D2A8F">
        <w:rPr>
          <w:w w:val="0"/>
        </w:rPr>
        <w:t xml:space="preserve">. Following any expiration or termination of this PPA, the Parties will mutually agree to a final settlement of all obligations under this PPA, which period will not exceed six Months </w:t>
      </w:r>
      <w:r w:rsidR="000821E1">
        <w:rPr>
          <w:w w:val="0"/>
        </w:rPr>
        <w:t>after</w:t>
      </w:r>
      <w:r w:rsidRPr="002D2A8F" w:rsidR="000821E1">
        <w:rPr>
          <w:w w:val="0"/>
        </w:rPr>
        <w:t xml:space="preserve"> </w:t>
      </w:r>
      <w:r w:rsidRPr="002D2A8F">
        <w:rPr>
          <w:w w:val="0"/>
        </w:rPr>
        <w:t>the expiration or termination date. After</w:t>
      </w:r>
      <w:r w:rsidRPr="002D2A8F" w:rsidDel="00D84602">
        <w:rPr>
          <w:w w:val="0"/>
        </w:rPr>
        <w:t xml:space="preserve"> </w:t>
      </w:r>
      <w:r w:rsidRPr="002D2A8F">
        <w:rPr>
          <w:w w:val="0"/>
        </w:rPr>
        <w:t xml:space="preserve">the settlement, GPC will return to Seller any remaining Eligible Collateral that Seller posted and </w:t>
      </w:r>
      <w:r w:rsidR="00F24C11">
        <w:rPr>
          <w:w w:val="0"/>
        </w:rPr>
        <w:t xml:space="preserve">upon which </w:t>
      </w:r>
      <w:r w:rsidRPr="002D2A8F">
        <w:rPr>
          <w:w w:val="0"/>
        </w:rPr>
        <w:t>GPC has not drawn in accordance with</w:t>
      </w:r>
      <w:r w:rsidRPr="002D2A8F" w:rsidDel="00E93B09">
        <w:rPr>
          <w:w w:val="0"/>
        </w:rPr>
        <w:t xml:space="preserve"> </w:t>
      </w:r>
      <w:r w:rsidRPr="002D2A8F">
        <w:rPr>
          <w:w w:val="0"/>
        </w:rPr>
        <w:t xml:space="preserve">GPC’s rights under this PPA. Any dispute between the Parties regarding a final settlement will be resolved according to </w:t>
      </w:r>
      <w:r w:rsidRPr="00534192">
        <w:rPr>
          <w:w w:val="0"/>
        </w:rPr>
        <w:t>Part 19 (</w:t>
      </w:r>
      <w:r w:rsidRPr="00534192">
        <w:rPr>
          <w:i/>
          <w:w w:val="0"/>
        </w:rPr>
        <w:t>Dispute Resolution</w:t>
      </w:r>
      <w:r w:rsidRPr="00534192">
        <w:rPr>
          <w:w w:val="0"/>
        </w:rPr>
        <w:t>)</w:t>
      </w:r>
      <w:r w:rsidRPr="002D2A8F">
        <w:rPr>
          <w:w w:val="0"/>
        </w:rPr>
        <w:t>, and GPC will not return to Seller any remaining Eligible Collateral that Seller posted until the resolution of the dispute.</w:t>
      </w:r>
    </w:p>
    <w:p w:rsidRPr="002D2A8F" w:rsidR="002D54C4" w:rsidP="002D54C4" w:rsidRDefault="002D54C4" w14:paraId="0F023031" w14:textId="77777777">
      <w:pPr>
        <w:pStyle w:val="zGTC02"/>
        <w:rPr>
          <w:rFonts w:ascii="Arial" w:hAnsi="Arial" w:cs="Arial"/>
          <w:vanish/>
          <w:specVanish/>
        </w:rPr>
      </w:pPr>
      <w:bookmarkStart w:name="_Toc169778600" w:id="175"/>
      <w:bookmarkStart w:name="_Toc227451366" w:id="176"/>
      <w:r w:rsidRPr="002D2A8F">
        <w:rPr>
          <w:rFonts w:ascii="Arial" w:hAnsi="Arial" w:cs="Arial"/>
        </w:rPr>
        <w:t>Draws; Replenishment.</w:t>
      </w:r>
      <w:bookmarkStart w:name="_Toc158593200" w:id="177"/>
      <w:bookmarkStart w:name="_Toc158597479" w:id="178"/>
      <w:bookmarkStart w:name="_Toc158720103" w:id="179"/>
      <w:bookmarkStart w:name="_Toc158722857" w:id="180"/>
      <w:bookmarkStart w:name="_Toc158929387" w:id="181"/>
      <w:bookmarkEnd w:id="175"/>
      <w:bookmarkEnd w:id="176"/>
      <w:bookmarkEnd w:id="177"/>
      <w:bookmarkEnd w:id="178"/>
      <w:bookmarkEnd w:id="179"/>
      <w:bookmarkEnd w:id="180"/>
      <w:bookmarkEnd w:id="181"/>
    </w:p>
    <w:p w:rsidRPr="002D2A8F" w:rsidR="002D54C4" w:rsidP="002D54C4" w:rsidRDefault="002D54C4" w14:paraId="61FF8697" w14:textId="317EE7BF">
      <w:pPr>
        <w:pStyle w:val="zGNormal"/>
      </w:pPr>
      <w:r w:rsidRPr="002D2A8F">
        <w:t xml:space="preserve"> In addition to the draws permitted by </w:t>
      </w:r>
      <w:r w:rsidRPr="00534192">
        <w:t xml:space="preserve">Section </w:t>
      </w:r>
      <w:r w:rsidRPr="00534192" w:rsidR="008816D0">
        <w:t>6</w:t>
      </w:r>
      <w:r w:rsidRPr="00534192">
        <w:t>.</w:t>
      </w:r>
      <w:r w:rsidRPr="00534192" w:rsidR="00B52BCA">
        <w:t>2</w:t>
      </w:r>
      <w:r w:rsidRPr="00534192">
        <w:t>.1 (</w:t>
      </w:r>
      <w:r w:rsidRPr="00534192">
        <w:rPr>
          <w:i/>
        </w:rPr>
        <w:t>Replacement Collateral</w:t>
      </w:r>
      <w:r w:rsidRPr="00534192">
        <w:t>)</w:t>
      </w:r>
      <w:r w:rsidRPr="002D2A8F">
        <w:t>, GPC</w:t>
      </w:r>
      <w:r w:rsidRPr="002D2A8F" w:rsidDel="00681AF2">
        <w:t xml:space="preserve"> </w:t>
      </w:r>
      <w:r w:rsidRPr="002D2A8F">
        <w:t>may draw upon the Eligible Collateral provided by Seller to recover any damages to which GPC</w:t>
      </w:r>
      <w:r w:rsidRPr="002D2A8F" w:rsidDel="001E238F">
        <w:t xml:space="preserve"> </w:t>
      </w:r>
      <w:r w:rsidRPr="002D2A8F">
        <w:t xml:space="preserve">is entitled under this PPA (including damages following the occurrence of a Seller Event of Default) or any other unpaid amount owed by Seller under this PPA, including to recover delay liquidated damages under </w:t>
      </w:r>
      <w:r w:rsidRPr="00534192">
        <w:t>Section 7.3 (</w:t>
      </w:r>
      <w:r w:rsidRPr="00534192">
        <w:rPr>
          <w:i/>
        </w:rPr>
        <w:t>Failure to Achieve Commercial Operation by RCOD</w:t>
      </w:r>
      <w:r w:rsidRPr="00534192">
        <w:t>)</w:t>
      </w:r>
      <w:r w:rsidRPr="002D2A8F">
        <w:t xml:space="preserve"> damages arising from a Seller Event of Default, </w:t>
      </w:r>
      <w:r w:rsidR="00B01BB7">
        <w:t>or</w:t>
      </w:r>
      <w:r w:rsidRPr="002D2A8F" w:rsidR="00B01BB7">
        <w:t xml:space="preserve"> </w:t>
      </w:r>
      <w:r w:rsidRPr="002D2A8F">
        <w:t>termination damages arising from GPC’s termination of this PPA for a Seller Event of Default</w:t>
      </w:r>
      <w:r w:rsidR="001D2D98">
        <w:t xml:space="preserve">, in each case if not paid by Seller </w:t>
      </w:r>
      <w:r w:rsidR="007C1D34">
        <w:t>in accordance with this PPA</w:t>
      </w:r>
      <w:r w:rsidRPr="002D2A8F">
        <w:t>. If GPC draws</w:t>
      </w:r>
      <w:r w:rsidRPr="002D2A8F" w:rsidDel="002847AC">
        <w:t xml:space="preserve"> </w:t>
      </w:r>
      <w:r w:rsidRPr="002D2A8F">
        <w:t>upon the Eligible Collateral, then, except in the circumstance when GPC</w:t>
      </w:r>
      <w:r w:rsidRPr="002D2A8F" w:rsidDel="00681AF2">
        <w:t xml:space="preserve"> </w:t>
      </w:r>
      <w:r w:rsidRPr="002D2A8F">
        <w:t xml:space="preserve">establishes an Early Termination Date under </w:t>
      </w:r>
      <w:r w:rsidRPr="00534192">
        <w:t xml:space="preserve">Section 16.3.1 </w:t>
      </w:r>
      <w:r w:rsidRPr="00534192" w:rsidR="008F7B90">
        <w:t>(</w:t>
      </w:r>
      <w:r w:rsidRPr="00534192" w:rsidR="008F7B90">
        <w:rPr>
          <w:i/>
        </w:rPr>
        <w:t>Remedies for Event of Default</w:t>
      </w:r>
      <w:r w:rsidRPr="00534192" w:rsidR="008F7B90">
        <w:t>)</w:t>
      </w:r>
      <w:r w:rsidRPr="002D2A8F">
        <w:t xml:space="preserve"> or this PPA otherwise terminates, Seller</w:t>
      </w:r>
      <w:r w:rsidR="00AA43A3">
        <w:t xml:space="preserve">, </w:t>
      </w:r>
      <w:r w:rsidRPr="002D2A8F">
        <w:t xml:space="preserve">within </w:t>
      </w:r>
      <w:r w:rsidR="00473E75">
        <w:t>five</w:t>
      </w:r>
      <w:r w:rsidRPr="002D2A8F">
        <w:t xml:space="preserve"> Business Days</w:t>
      </w:r>
      <w:r w:rsidR="00AA43A3">
        <w:t>, must</w:t>
      </w:r>
      <w:r w:rsidRPr="002D2A8F">
        <w:t xml:space="preserve"> replenish the Eligible Collateral to the full amount required by </w:t>
      </w:r>
      <w:r w:rsidRPr="00534192">
        <w:t>Section 6.1 (</w:t>
      </w:r>
      <w:r w:rsidRPr="00534192">
        <w:rPr>
          <w:i/>
        </w:rPr>
        <w:t>Performance Security</w:t>
      </w:r>
      <w:r w:rsidRPr="00534192">
        <w:t>)</w:t>
      </w:r>
      <w:r w:rsidRPr="002D2A8F">
        <w:t>.</w:t>
      </w:r>
    </w:p>
    <w:p w:rsidRPr="002D2A8F" w:rsidR="002D54C4" w:rsidP="002D54C4" w:rsidRDefault="002D54C4" w14:paraId="22DB30F0" w14:textId="77777777">
      <w:pPr>
        <w:pStyle w:val="zGTC02"/>
        <w:rPr>
          <w:rFonts w:ascii="Arial" w:hAnsi="Arial" w:cs="Arial"/>
          <w:vanish/>
          <w:specVanish/>
        </w:rPr>
      </w:pPr>
      <w:bookmarkStart w:name="_Toc169778601" w:id="182"/>
      <w:bookmarkStart w:name="_Toc227451367" w:id="183"/>
      <w:r w:rsidRPr="002D2A8F">
        <w:rPr>
          <w:rFonts w:ascii="Arial" w:hAnsi="Arial" w:cs="Arial"/>
        </w:rPr>
        <w:t>Reporting.</w:t>
      </w:r>
      <w:bookmarkStart w:name="_Toc158593201" w:id="184"/>
      <w:bookmarkStart w:name="_Toc158597480" w:id="185"/>
      <w:bookmarkStart w:name="_Toc158720104" w:id="186"/>
      <w:bookmarkStart w:name="_Toc158722858" w:id="187"/>
      <w:bookmarkStart w:name="_Toc158929388" w:id="188"/>
      <w:bookmarkEnd w:id="182"/>
      <w:bookmarkEnd w:id="183"/>
      <w:bookmarkEnd w:id="184"/>
      <w:bookmarkEnd w:id="185"/>
      <w:bookmarkEnd w:id="186"/>
      <w:bookmarkEnd w:id="187"/>
      <w:bookmarkEnd w:id="188"/>
    </w:p>
    <w:p w:rsidR="002D54C4" w:rsidP="002D54C4" w:rsidRDefault="002D54C4" w14:paraId="4DF1381C" w14:textId="12D4E996">
      <w:pPr>
        <w:pStyle w:val="zGNormal"/>
      </w:pPr>
      <w:r w:rsidRPr="002D2A8F">
        <w:t xml:space="preserve"> Seller</w:t>
      </w:r>
      <w:r w:rsidRPr="002D2A8F" w:rsidDel="00C614F7">
        <w:t xml:space="preserve"> </w:t>
      </w:r>
      <w:r w:rsidRPr="002D2A8F">
        <w:t>must promptly notify GPC</w:t>
      </w:r>
      <w:r w:rsidRPr="002D2A8F" w:rsidDel="001E238F">
        <w:t xml:space="preserve"> </w:t>
      </w:r>
      <w:r w:rsidRPr="002D2A8F">
        <w:t xml:space="preserve">of any circumstance that results in Seller’s failure to comply with the Performance Security requirements of this </w:t>
      </w:r>
      <w:r w:rsidRPr="00534192">
        <w:t xml:space="preserve">Part </w:t>
      </w:r>
      <w:r w:rsidRPr="00534192" w:rsidR="008F7B90">
        <w:t>6</w:t>
      </w:r>
      <w:r w:rsidRPr="00534192">
        <w:t xml:space="preserve"> (</w:t>
      </w:r>
      <w:r w:rsidRPr="00534192">
        <w:rPr>
          <w:i/>
        </w:rPr>
        <w:t>Performance Security</w:t>
      </w:r>
      <w:r w:rsidRPr="00534192">
        <w:t>)</w:t>
      </w:r>
      <w:r w:rsidRPr="002D2A8F">
        <w:t>. From time to time, at GPC’s written request, Seller must provide GPC</w:t>
      </w:r>
      <w:r w:rsidRPr="002D2A8F" w:rsidDel="001E238F">
        <w:t xml:space="preserve"> </w:t>
      </w:r>
      <w:r w:rsidRPr="002D2A8F">
        <w:t>with evidence as GPC</w:t>
      </w:r>
      <w:r w:rsidRPr="002D2A8F" w:rsidDel="001E238F">
        <w:t xml:space="preserve"> </w:t>
      </w:r>
      <w:r w:rsidRPr="002D2A8F">
        <w:t>reasonably request</w:t>
      </w:r>
      <w:r w:rsidR="003B5629">
        <w:t>s</w:t>
      </w:r>
      <w:r w:rsidRPr="002D2A8F">
        <w:t xml:space="preserve"> to demonstrate that Seller and any Seller Guarantor, Seller Guaranty, Letter of Credit, or </w:t>
      </w:r>
      <w:r w:rsidR="00726B2B">
        <w:t xml:space="preserve">GPC </w:t>
      </w:r>
      <w:r w:rsidRPr="002D2A8F">
        <w:t>Security Account is in full compliance with this PPA.</w:t>
      </w:r>
    </w:p>
    <w:p w:rsidRPr="002D2A8F" w:rsidR="00813303" w:rsidP="00813303" w:rsidRDefault="00965D0D" w14:paraId="4CB58AEB" w14:textId="77777777">
      <w:pPr>
        <w:pStyle w:val="zGTC02"/>
        <w:rPr>
          <w:rFonts w:ascii="Arial" w:hAnsi="Arial" w:cs="Arial"/>
          <w:vanish/>
          <w:specVanish/>
        </w:rPr>
      </w:pPr>
      <w:bookmarkStart w:name="_Toc227451368" w:id="189"/>
      <w:r>
        <w:t xml:space="preserve">Pre-Approval of </w:t>
      </w:r>
      <w:r w:rsidR="6AAC3CB4">
        <w:t xml:space="preserve">Non-Cash </w:t>
      </w:r>
      <w:r>
        <w:t>Eligible Collateral.</w:t>
      </w:r>
      <w:bookmarkEnd w:id="189"/>
    </w:p>
    <w:p w:rsidRPr="00235E22" w:rsidR="00344D99" w:rsidP="00235E22" w:rsidRDefault="00265A36" w14:paraId="7EB620FF" w14:textId="7913AF0E">
      <w:pPr>
        <w:pStyle w:val="zGNormal"/>
      </w:pPr>
      <w:r>
        <w:t xml:space="preserve"> </w:t>
      </w:r>
      <w:r w:rsidRPr="00265A36" w:rsidR="00965D0D">
        <w:t>If Seller intends to provide Eligible Collateral in any form other than cash,</w:t>
      </w:r>
      <w:r w:rsidRPr="00265A36" w:rsidR="00F75223">
        <w:t xml:space="preserve"> including any replacement or supplemental Eligible Collateral, or any amendment to Eligible Collateral, </w:t>
      </w:r>
      <w:r w:rsidRPr="00265A36" w:rsidR="00965D0D">
        <w:t xml:space="preserve">Seller, at least 10 Business Days before the applicable due date, must submit a draft </w:t>
      </w:r>
      <w:r w:rsidRPr="00265A36" w:rsidR="00965D0D">
        <w:lastRenderedPageBreak/>
        <w:t>(unissued) Letter of Credit or Seller Guaranty for GPC’s review and approval.</w:t>
      </w:r>
      <w:r w:rsidRPr="00265A36" w:rsidR="00565CA5">
        <w:t xml:space="preserve"> If Seller lacked sufficient advance notice of a Material Adverse Change</w:t>
      </w:r>
      <w:r w:rsidRPr="00265A36" w:rsidR="00E144BA">
        <w:t xml:space="preserve"> to deliver</w:t>
      </w:r>
      <w:r w:rsidRPr="00265A36" w:rsidR="007D65AB">
        <w:t xml:space="preserve"> the draft (unissued) Letter of Credit or Seller Guaranty to GPC for review within the time stated in the </w:t>
      </w:r>
      <w:r w:rsidR="002F3D93">
        <w:t>preceding</w:t>
      </w:r>
      <w:r w:rsidRPr="00265A36" w:rsidR="007D65AB">
        <w:t xml:space="preserve"> sentence</w:t>
      </w:r>
      <w:r w:rsidRPr="00265A36" w:rsidR="00565CA5">
        <w:t xml:space="preserve">, Seller </w:t>
      </w:r>
      <w:r w:rsidRPr="00265A36" w:rsidR="00EA04D8">
        <w:t xml:space="preserve">must notify GPC of the Material Adverse Change </w:t>
      </w:r>
      <w:r w:rsidR="00A40566">
        <w:t xml:space="preserve">by no later than </w:t>
      </w:r>
      <w:r w:rsidR="00F2286A">
        <w:t>three</w:t>
      </w:r>
      <w:r w:rsidR="00A40566">
        <w:t xml:space="preserve"> Banking Days after Seller knew or should have known of the Material Adverse Change </w:t>
      </w:r>
      <w:r w:rsidRPr="00265A36" w:rsidR="00EA04D8">
        <w:t>and</w:t>
      </w:r>
      <w:r w:rsidRPr="00265A36" w:rsidR="00565CA5">
        <w:t xml:space="preserve"> promptly submit </w:t>
      </w:r>
      <w:r w:rsidRPr="00265A36" w:rsidR="00D93546">
        <w:t>the</w:t>
      </w:r>
      <w:r w:rsidRPr="00265A36" w:rsidR="00565CA5">
        <w:t xml:space="preserve"> draft (unissued) Letter of Credit or Seller Guaranty for GPC’s review and approval</w:t>
      </w:r>
      <w:r w:rsidR="008F0AFC">
        <w:t xml:space="preserve"> and</w:t>
      </w:r>
      <w:r w:rsidR="00060A80">
        <w:t>,</w:t>
      </w:r>
      <w:r w:rsidR="008F0AFC">
        <w:t xml:space="preserve"> upon approval, promptly deliver the Eligible Collateral to GPC by no later than </w:t>
      </w:r>
      <w:r w:rsidR="00F2286A">
        <w:t>two</w:t>
      </w:r>
      <w:r w:rsidR="008F0AFC">
        <w:t xml:space="preserve"> Banking Days after receipt of GPC’s approval</w:t>
      </w:r>
      <w:r w:rsidRPr="00265A36" w:rsidR="00565CA5">
        <w:t>.</w:t>
      </w:r>
    </w:p>
    <w:p w:rsidRPr="002D2A8F" w:rsidR="002D54C4" w:rsidP="00813303" w:rsidRDefault="002D54C4" w14:paraId="3A026A9B" w14:textId="0F8F689B">
      <w:pPr>
        <w:pStyle w:val="zGTC02"/>
        <w:rPr>
          <w:rFonts w:ascii="Arial" w:hAnsi="Arial" w:cs="Arial"/>
          <w:vanish/>
          <w:specVanish/>
        </w:rPr>
      </w:pPr>
      <w:bookmarkStart w:name="_Toc169778602" w:id="190"/>
      <w:bookmarkStart w:name="_Toc227451369" w:id="191"/>
      <w:r w:rsidRPr="002D2A8F">
        <w:rPr>
          <w:rFonts w:ascii="Arial" w:hAnsi="Arial" w:cs="Arial"/>
        </w:rPr>
        <w:t>Delivery of Eligible Collateral for Performance Security.</w:t>
      </w:r>
      <w:bookmarkStart w:name="_Toc158593202" w:id="192"/>
      <w:bookmarkStart w:name="_Toc158597481" w:id="193"/>
      <w:bookmarkStart w:name="_Toc158720105" w:id="194"/>
      <w:bookmarkStart w:name="_Toc158722859" w:id="195"/>
      <w:bookmarkStart w:name="_Toc158929389" w:id="196"/>
      <w:bookmarkEnd w:id="190"/>
      <w:bookmarkEnd w:id="191"/>
      <w:bookmarkEnd w:id="192"/>
      <w:bookmarkEnd w:id="193"/>
      <w:bookmarkEnd w:id="194"/>
      <w:bookmarkEnd w:id="195"/>
      <w:bookmarkEnd w:id="196"/>
    </w:p>
    <w:p w:rsidRPr="002D2A8F" w:rsidR="002D54C4" w:rsidP="002D54C4" w:rsidRDefault="002D54C4" w14:paraId="09C08D62" w14:textId="032FA639">
      <w:pPr>
        <w:pStyle w:val="zGNormal"/>
      </w:pPr>
      <w:r w:rsidRPr="002D2A8F">
        <w:t xml:space="preserve"> Seller</w:t>
      </w:r>
      <w:r w:rsidRPr="002D2A8F" w:rsidDel="00C614F7">
        <w:t xml:space="preserve"> </w:t>
      </w:r>
      <w:r w:rsidRPr="002D2A8F">
        <w:t>must provide to GPC</w:t>
      </w:r>
      <w:r w:rsidRPr="002D2A8F" w:rsidDel="001E238F">
        <w:t xml:space="preserve"> </w:t>
      </w:r>
      <w:r w:rsidRPr="002D2A8F">
        <w:t xml:space="preserve">Eligible Collateral to meet any of the Performance Security requirements under this PPA by delivering, as applicable: (i) cash wired to </w:t>
      </w:r>
      <w:r w:rsidR="005C41E4">
        <w:t xml:space="preserve">a </w:t>
      </w:r>
      <w:r w:rsidRPr="002D2A8F">
        <w:t>GPC</w:t>
      </w:r>
      <w:r w:rsidR="0068252C">
        <w:t xml:space="preserve"> Security Account</w:t>
      </w:r>
      <w:r w:rsidRPr="002D2A8F">
        <w:t xml:space="preserve">; or (ii) Letter of Credit or Seller Guaranty to the address indicated in </w:t>
      </w:r>
      <w:r w:rsidRPr="00534192">
        <w:t xml:space="preserve">Exhibit </w:t>
      </w:r>
      <w:r w:rsidRPr="00534192" w:rsidR="00425462">
        <w:t>Q</w:t>
      </w:r>
      <w:r w:rsidRPr="00534192">
        <w:t xml:space="preserve"> (</w:t>
      </w:r>
      <w:r w:rsidRPr="00534192">
        <w:rPr>
          <w:i/>
        </w:rPr>
        <w:t>Notices</w:t>
      </w:r>
      <w:r w:rsidRPr="00534192">
        <w:t>)</w:t>
      </w:r>
      <w:r w:rsidRPr="002D2A8F" w:rsidR="00BD10F6">
        <w:t>.</w:t>
      </w:r>
    </w:p>
    <w:p w:rsidRPr="002D2A8F" w:rsidR="002D54C4" w:rsidP="00ED6839" w:rsidRDefault="002D54C4" w14:paraId="3AFCB09C" w14:textId="56088F2E">
      <w:pPr>
        <w:pStyle w:val="zGTC01"/>
        <w:rPr>
          <w:rFonts w:ascii="Arial" w:hAnsi="Arial"/>
        </w:rPr>
      </w:pPr>
      <w:bookmarkStart w:name="_Toc227451370" w:id="197"/>
      <w:bookmarkStart w:name="_Toc169778603" w:id="198"/>
      <w:r w:rsidRPr="002D2A8F">
        <w:rPr>
          <w:rFonts w:ascii="Arial" w:hAnsi="Arial"/>
        </w:rPr>
        <w:t>Facility Design and CONSTRUCTION; Achieving Commercial Operation</w:t>
      </w:r>
      <w:bookmarkEnd w:id="197"/>
      <w:bookmarkEnd w:id="198"/>
    </w:p>
    <w:p w:rsidRPr="002D2A8F" w:rsidR="002D54C4" w:rsidP="00F776B1" w:rsidRDefault="002D54C4" w14:paraId="7335BF8C" w14:textId="1AC6ADB1">
      <w:pPr>
        <w:pStyle w:val="zGTC02"/>
        <w:rPr>
          <w:b w:val="0"/>
          <w:vanish/>
          <w:specVanish/>
        </w:rPr>
      </w:pPr>
      <w:bookmarkStart w:name="_Toc169778604" w:id="199"/>
      <w:bookmarkStart w:name="_Toc227451371" w:id="200"/>
      <w:r w:rsidRPr="00F776B1">
        <w:t>Design</w:t>
      </w:r>
      <w:r w:rsidRPr="002D2A8F">
        <w:t xml:space="preserve"> and Construction of the Facility.</w:t>
      </w:r>
      <w:bookmarkStart w:name="_Toc158593204" w:id="201"/>
      <w:bookmarkStart w:name="_Toc158597483" w:id="202"/>
      <w:bookmarkStart w:name="_Toc158720107" w:id="203"/>
      <w:bookmarkStart w:name="_Toc158722861" w:id="204"/>
      <w:bookmarkStart w:name="_Toc158929391" w:id="205"/>
      <w:bookmarkEnd w:id="199"/>
      <w:bookmarkEnd w:id="200"/>
      <w:bookmarkEnd w:id="201"/>
      <w:bookmarkEnd w:id="202"/>
      <w:bookmarkEnd w:id="203"/>
      <w:bookmarkEnd w:id="204"/>
      <w:bookmarkEnd w:id="205"/>
    </w:p>
    <w:p w:rsidR="00F776B1" w:rsidRDefault="002D54C4" w14:paraId="3B040523" w14:textId="77777777">
      <w:pPr>
        <w:pStyle w:val="zGTC04"/>
        <w:jc w:val="left"/>
      </w:pPr>
      <w:r w:rsidRPr="002D2A8F">
        <w:t xml:space="preserve"> </w:t>
      </w:r>
    </w:p>
    <w:p w:rsidRPr="002D2A8F" w:rsidR="006455A2" w:rsidP="00D94D93" w:rsidRDefault="00FE5C68" w14:paraId="50377AA0" w14:textId="7D02A4EA">
      <w:pPr>
        <w:pStyle w:val="zGTC03"/>
        <w:numPr>
          <w:ilvl w:val="2"/>
          <w:numId w:val="55"/>
        </w:numPr>
      </w:pPr>
      <w:r w:rsidRPr="008173D8">
        <w:rPr>
          <w:b/>
        </w:rPr>
        <w:t>Facility Design</w:t>
      </w:r>
      <w:r w:rsidRPr="008173D8" w:rsidR="0086668E">
        <w:rPr>
          <w:b/>
        </w:rPr>
        <w:t>.</w:t>
      </w:r>
      <w:r w:rsidRPr="008173D8" w:rsidR="002D54C4">
        <w:rPr>
          <w:b/>
        </w:rPr>
        <w:t xml:space="preserve"> </w:t>
      </w:r>
      <w:r w:rsidRPr="002D2A8F" w:rsidR="002D54C4">
        <w:t xml:space="preserve">Seller must design and construct the </w:t>
      </w:r>
      <w:r w:rsidR="00B22FBB">
        <w:t>B</w:t>
      </w:r>
      <w:r w:rsidRPr="002D2A8F" w:rsidR="002D54C4">
        <w:t xml:space="preserve">ESS and the Renewable Resource in accordance with the applicable specifications </w:t>
      </w:r>
      <w:r w:rsidR="00F12DE8">
        <w:t>set forth</w:t>
      </w:r>
      <w:r w:rsidRPr="002D2A8F" w:rsidR="00F12DE8">
        <w:t xml:space="preserve"> </w:t>
      </w:r>
      <w:r w:rsidRPr="002D2A8F" w:rsidR="002D54C4">
        <w:t>in</w:t>
      </w:r>
      <w:r w:rsidRPr="002D2A8F" w:rsidR="0000007D">
        <w:t xml:space="preserve"> </w:t>
      </w:r>
      <w:r w:rsidRPr="00534192" w:rsidR="0000007D">
        <w:t xml:space="preserve">Exhibit </w:t>
      </w:r>
      <w:r w:rsidRPr="00534192" w:rsidR="008507B8">
        <w:t xml:space="preserve">F </w:t>
      </w:r>
      <w:r w:rsidRPr="00534192" w:rsidR="0000007D">
        <w:t>(</w:t>
      </w:r>
      <w:r w:rsidRPr="008173D8" w:rsidR="005E47BC">
        <w:rPr>
          <w:i/>
        </w:rPr>
        <w:t>Facility Operating and Dispatching Requirements</w:t>
      </w:r>
      <w:r w:rsidRPr="00534192" w:rsidR="0000007D">
        <w:t>)</w:t>
      </w:r>
      <w:r w:rsidRPr="002D2A8F" w:rsidR="002D54C4">
        <w:t xml:space="preserve"> </w:t>
      </w:r>
      <w:r w:rsidRPr="002D2A8F" w:rsidR="005E47BC">
        <w:t xml:space="preserve">and </w:t>
      </w:r>
      <w:r w:rsidRPr="00534192" w:rsidR="002D54C4">
        <w:t xml:space="preserve">Exhibit </w:t>
      </w:r>
      <w:r w:rsidRPr="00534192" w:rsidR="00AF3CBC">
        <w:t xml:space="preserve">I </w:t>
      </w:r>
      <w:r w:rsidRPr="00534192" w:rsidR="002D54C4">
        <w:t>(</w:t>
      </w:r>
      <w:r w:rsidRPr="008173D8" w:rsidR="002D54C4">
        <w:rPr>
          <w:i/>
        </w:rPr>
        <w:t>Requirements for PPA Facility</w:t>
      </w:r>
      <w:r w:rsidRPr="00534192" w:rsidR="002D54C4">
        <w:t>)</w:t>
      </w:r>
      <w:r w:rsidRPr="002D2A8F" w:rsidR="002D54C4">
        <w:t xml:space="preserve">. </w:t>
      </w:r>
      <w:r w:rsidR="00A605F0">
        <w:t xml:space="preserve">The BESS must meet the requirements in Exhibit I by the deadlines specified in Exhibit I; if no deadline is specified, the BESS must meet the requirements by the Commercial Operation Date. </w:t>
      </w:r>
      <w:r w:rsidRPr="002D2A8F" w:rsidR="002D54C4">
        <w:t xml:space="preserve">The Facility must be designed to: (i) ensure the Renewable Resource is capable of fully charging the </w:t>
      </w:r>
      <w:r w:rsidR="00B22FBB">
        <w:t>B</w:t>
      </w:r>
      <w:r w:rsidRPr="002D2A8F" w:rsidR="002D54C4">
        <w:t xml:space="preserve">ESS; and (ii) allow for Grid Charging. The </w:t>
      </w:r>
      <w:r w:rsidRPr="002D2A8F" w:rsidR="002D6E59">
        <w:t>Storage Device Design Capacity</w:t>
      </w:r>
      <w:r w:rsidRPr="002D2A8F" w:rsidR="002D54C4">
        <w:t xml:space="preserve"> may be less than the </w:t>
      </w:r>
      <w:r w:rsidRPr="002D2A8F" w:rsidR="00A11B7A">
        <w:t xml:space="preserve">Renewable Resource </w:t>
      </w:r>
      <w:r w:rsidRPr="002D2A8F" w:rsidR="00825517">
        <w:t>Capacity</w:t>
      </w:r>
      <w:r w:rsidRPr="002D2A8F" w:rsidR="002D54C4">
        <w:t xml:space="preserve">, but the Renewable Resource </w:t>
      </w:r>
      <w:r w:rsidRPr="002D2A8F" w:rsidR="006F1C61">
        <w:t>must</w:t>
      </w:r>
      <w:r w:rsidRPr="002D2A8F" w:rsidR="002D54C4">
        <w:t xml:space="preserve"> </w:t>
      </w:r>
      <w:r w:rsidR="00000F83">
        <w:t>meet</w:t>
      </w:r>
      <w:r w:rsidRPr="002D2A8F" w:rsidR="002D54C4">
        <w:t xml:space="preserve"> the requirements of</w:t>
      </w:r>
      <w:r w:rsidR="00170EE3">
        <w:t xml:space="preserve"> Section 2.6 </w:t>
      </w:r>
      <w:r w:rsidRPr="00534192" w:rsidR="00170EE3">
        <w:t>(</w:t>
      </w:r>
      <w:r w:rsidRPr="008173D8" w:rsidR="00170EE3">
        <w:rPr>
          <w:i/>
        </w:rPr>
        <w:t>Annual Renewable Energy Performance True-up</w:t>
      </w:r>
      <w:r w:rsidRPr="00534192" w:rsidR="00170EE3">
        <w:t>)</w:t>
      </w:r>
      <w:r w:rsidR="00170EE3">
        <w:t xml:space="preserve"> of</w:t>
      </w:r>
      <w:r w:rsidRPr="002D2A8F" w:rsidR="002D54C4">
        <w:t xml:space="preserve"> </w:t>
      </w:r>
      <w:r w:rsidRPr="00534192" w:rsidR="002D54C4">
        <w:t xml:space="preserve">Exhibit </w:t>
      </w:r>
      <w:r w:rsidRPr="00534192" w:rsidR="004D45BB">
        <w:t>C</w:t>
      </w:r>
      <w:r w:rsidR="00170EE3">
        <w:t xml:space="preserve"> </w:t>
      </w:r>
      <w:r w:rsidRPr="00534192" w:rsidR="002D54C4">
        <w:t>(</w:t>
      </w:r>
      <w:r w:rsidRPr="008173D8" w:rsidR="003B670A">
        <w:rPr>
          <w:i/>
        </w:rPr>
        <w:t>Monthly</w:t>
      </w:r>
      <w:r w:rsidRPr="008173D8" w:rsidR="00937930">
        <w:rPr>
          <w:i/>
        </w:rPr>
        <w:t xml:space="preserve"> Capacity Payments; Monthly Capacity Reductions; AGC Performance Metrics and Requirements</w:t>
      </w:r>
      <w:r w:rsidRPr="00534192" w:rsidR="002D54C4">
        <w:t>)</w:t>
      </w:r>
      <w:r w:rsidRPr="002D2A8F" w:rsidR="002D54C4">
        <w:t xml:space="preserve">. </w:t>
      </w:r>
      <w:r w:rsidR="00000F83">
        <w:t xml:space="preserve">Seller must </w:t>
      </w:r>
      <w:r w:rsidR="00913D25">
        <w:t>design the Facility and otherwise complete the</w:t>
      </w:r>
      <w:r w:rsidRPr="002D2A8F" w:rsidR="00000F83">
        <w:t xml:space="preserve"> </w:t>
      </w:r>
      <w:r w:rsidRPr="002D2A8F" w:rsidR="002D54C4">
        <w:t xml:space="preserve">Project in accordance with Prudent Industry Practices and applicable law. </w:t>
      </w:r>
      <w:r w:rsidRPr="002D2A8F" w:rsidR="006455A2">
        <w:t>The Facility must comply with applicable EOP-012-1 (Extreme Cold Weather Preparedness and Operations) requirements, including Requirements R1 (applicable to New Facilities), R2 (applicable to Existing Facilities), R3, R4, R5, R6, and R7</w:t>
      </w:r>
      <w:r w:rsidR="002E3FE3">
        <w:t>, and any successor reliability standard</w:t>
      </w:r>
      <w:r w:rsidRPr="002D2A8F" w:rsidR="006455A2">
        <w:t>. EOP-012-1 is published by NERC and available at:</w:t>
      </w:r>
      <w:r w:rsidR="006455A2">
        <w:t xml:space="preserve"> </w:t>
      </w:r>
      <w:hyperlink r:id="rId17">
        <w:r w:rsidRPr="008173D8" w:rsidR="00425575">
          <w:rPr>
            <w:rStyle w:val="Hyperlink"/>
            <w:rFonts w:cs="Arial"/>
          </w:rPr>
          <w:t>https://www.nerc.com/pa/Stand/Reliability%20Standards/EOP-012-1.pdf</w:t>
        </w:r>
      </w:hyperlink>
      <w:r w:rsidR="006455A2">
        <w:t>.</w:t>
      </w:r>
      <w:r w:rsidR="00A15645">
        <w:t xml:space="preserve"> </w:t>
      </w:r>
      <w:r w:rsidR="006455A2">
        <w:t xml:space="preserve"> </w:t>
      </w:r>
    </w:p>
    <w:p w:rsidRPr="002D2A8F" w:rsidR="002D54C4" w:rsidP="00F776B1" w:rsidRDefault="00B22FBB" w14:paraId="22E2BFF6" w14:textId="7A3B625F">
      <w:pPr>
        <w:pStyle w:val="zGTC03"/>
        <w:rPr>
          <w:vanish/>
          <w:specVanish/>
        </w:rPr>
      </w:pPr>
      <w:r>
        <w:rPr>
          <w:b/>
          <w:bCs/>
        </w:rPr>
        <w:t>B</w:t>
      </w:r>
      <w:r w:rsidRPr="00A45FB2" w:rsidR="002D54C4">
        <w:rPr>
          <w:b/>
          <w:bCs/>
        </w:rPr>
        <w:t>ESS Design and Specifications</w:t>
      </w:r>
      <w:r w:rsidRPr="002D2A8F" w:rsidR="002D54C4">
        <w:t>.</w:t>
      </w:r>
    </w:p>
    <w:p w:rsidRPr="002D2A8F" w:rsidR="007C5BD9" w:rsidP="00F15006" w:rsidRDefault="002D54C4" w14:paraId="75887194" w14:textId="3D720D33">
      <w:pPr>
        <w:pStyle w:val="zGTC04"/>
        <w:tabs>
          <w:tab w:val="num" w:pos="2880"/>
        </w:tabs>
        <w:rPr>
          <w:rFonts w:cs="Arial"/>
        </w:rPr>
      </w:pPr>
      <w:r w:rsidRPr="002D2A8F" w:rsidDel="00A832E7">
        <w:rPr>
          <w:rFonts w:cs="Arial"/>
        </w:rPr>
        <w:t xml:space="preserve"> </w:t>
      </w:r>
      <w:r w:rsidRPr="002D2A8F">
        <w:rPr>
          <w:rFonts w:cs="Arial"/>
        </w:rPr>
        <w:t xml:space="preserve">The </w:t>
      </w:r>
      <w:r w:rsidR="00B22FBB">
        <w:rPr>
          <w:rFonts w:cs="Arial"/>
        </w:rPr>
        <w:t>B</w:t>
      </w:r>
      <w:r w:rsidRPr="002D2A8F">
        <w:rPr>
          <w:rFonts w:cs="Arial"/>
        </w:rPr>
        <w:t xml:space="preserve">ESS </w:t>
      </w:r>
      <w:r w:rsidRPr="002D2A8F" w:rsidR="009C1656">
        <w:rPr>
          <w:rFonts w:cs="Arial"/>
        </w:rPr>
        <w:t>must</w:t>
      </w:r>
      <w:r w:rsidRPr="002D2A8F">
        <w:rPr>
          <w:rFonts w:cs="Arial"/>
        </w:rPr>
        <w:t xml:space="preserve"> be designed to deliver the </w:t>
      </w:r>
      <w:r w:rsidR="00FA5CE9">
        <w:rPr>
          <w:rFonts w:cs="Arial"/>
        </w:rPr>
        <w:t>Contracted</w:t>
      </w:r>
      <w:r w:rsidRPr="002D2A8F">
        <w:rPr>
          <w:rFonts w:cs="Arial"/>
        </w:rPr>
        <w:t xml:space="preserve"> Capacity (MW) over the Storage Device Discharge Duration</w:t>
      </w:r>
      <w:r w:rsidR="004971F9">
        <w:rPr>
          <w:rFonts w:cs="Arial"/>
        </w:rPr>
        <w:t xml:space="preserve"> (SDDD)</w:t>
      </w:r>
      <w:r w:rsidRPr="002D2A8F" w:rsidR="009C1656">
        <w:rPr>
          <w:rFonts w:cs="Arial"/>
        </w:rPr>
        <w:t>,</w:t>
      </w:r>
      <w:r w:rsidRPr="002D2A8F">
        <w:rPr>
          <w:rFonts w:cs="Arial"/>
        </w:rPr>
        <w:t xml:space="preserve"> delivering the entire Storage Device Operating Energy (</w:t>
      </w:r>
      <w:r w:rsidR="00D16F96">
        <w:rPr>
          <w:rFonts w:cs="Arial"/>
        </w:rPr>
        <w:t xml:space="preserve">SDOE) </w:t>
      </w:r>
      <w:r w:rsidRPr="002D2A8F">
        <w:rPr>
          <w:rFonts w:cs="Arial"/>
        </w:rPr>
        <w:t xml:space="preserve">(MWh), as measured at the POI. The </w:t>
      </w:r>
      <w:r w:rsidR="00B22FBB">
        <w:rPr>
          <w:rFonts w:cs="Arial"/>
        </w:rPr>
        <w:t>B</w:t>
      </w:r>
      <w:r w:rsidRPr="002D2A8F">
        <w:rPr>
          <w:rFonts w:cs="Arial"/>
        </w:rPr>
        <w:t xml:space="preserve">ESS must also be capable of charging at the Maximum Rate of Charge throughout the Term. Seller must maintain these </w:t>
      </w:r>
      <w:r w:rsidR="00D16F96">
        <w:rPr>
          <w:rFonts w:cs="Arial"/>
        </w:rPr>
        <w:t>energy</w:t>
      </w:r>
      <w:r w:rsidRPr="002D2A8F">
        <w:rPr>
          <w:rFonts w:cs="Arial"/>
        </w:rPr>
        <w:t xml:space="preserve"> storage capabilities throughout the Term. Seller must design, build, and maintain the </w:t>
      </w:r>
      <w:r w:rsidR="00B22FBB">
        <w:rPr>
          <w:rFonts w:cs="Arial"/>
        </w:rPr>
        <w:t>B</w:t>
      </w:r>
      <w:r w:rsidRPr="002D2A8F">
        <w:rPr>
          <w:rFonts w:cs="Arial"/>
        </w:rPr>
        <w:t xml:space="preserve">ESS with adequate margins, including any future augmentation, to demonstrate and perform to these specifications accounting for any </w:t>
      </w:r>
      <w:r w:rsidR="00872535">
        <w:rPr>
          <w:rFonts w:cs="Arial"/>
        </w:rPr>
        <w:t>RTE</w:t>
      </w:r>
      <w:r w:rsidRPr="002D2A8F">
        <w:rPr>
          <w:rFonts w:cs="Arial"/>
        </w:rPr>
        <w:t xml:space="preserve"> losses, conversion losses, storage losses, efficiency degradation, or any other possible decrease in performance so that </w:t>
      </w:r>
      <w:r w:rsidR="007F2DB3">
        <w:rPr>
          <w:rFonts w:cs="Arial"/>
        </w:rPr>
        <w:t>the Performance Guarantees</w:t>
      </w:r>
      <w:r w:rsidRPr="002D2A8F">
        <w:rPr>
          <w:rFonts w:cs="Arial"/>
        </w:rPr>
        <w:t xml:space="preserve"> are met over the Term.</w:t>
      </w:r>
      <w:r w:rsidRPr="005E3A27" w:rsidR="005E3A27">
        <w:rPr>
          <w:rFonts w:cs="Arial"/>
        </w:rPr>
        <w:t xml:space="preserve"> </w:t>
      </w:r>
      <w:r w:rsidRPr="002D2A8F" w:rsidR="005E3A27">
        <w:rPr>
          <w:rFonts w:cs="Arial"/>
        </w:rPr>
        <w:t>Each Month, GPC will assess the</w:t>
      </w:r>
      <w:r w:rsidR="005E3A27">
        <w:rPr>
          <w:rFonts w:cs="Arial"/>
        </w:rPr>
        <w:t xml:space="preserve"> applicable</w:t>
      </w:r>
      <w:r w:rsidRPr="002D2A8F" w:rsidR="005E3A27">
        <w:rPr>
          <w:rFonts w:cs="Arial"/>
        </w:rPr>
        <w:t xml:space="preserve"> Performance Metrics detailed in </w:t>
      </w:r>
      <w:r w:rsidRPr="00534192" w:rsidR="005E3A27">
        <w:rPr>
          <w:rFonts w:cs="Arial"/>
        </w:rPr>
        <w:t>Exhibit C (</w:t>
      </w:r>
      <w:r w:rsidRPr="00534192" w:rsidR="005E3A27">
        <w:rPr>
          <w:rFonts w:cs="Arial"/>
          <w:i/>
        </w:rPr>
        <w:t xml:space="preserve">Monthly Capacity Payments; Monthly Capacity Reductions; AGC Performance </w:t>
      </w:r>
      <w:r w:rsidRPr="004C6ED4" w:rsidR="004C6ED4">
        <w:rPr>
          <w:rFonts w:cs="Arial"/>
          <w:bCs/>
          <w:i/>
        </w:rPr>
        <w:t>Metrics and</w:t>
      </w:r>
      <w:r w:rsidRPr="00534192" w:rsidR="004C6ED4">
        <w:rPr>
          <w:rFonts w:cs="Arial"/>
          <w:i/>
        </w:rPr>
        <w:t xml:space="preserve"> </w:t>
      </w:r>
      <w:r w:rsidRPr="00534192" w:rsidR="005E3A27">
        <w:rPr>
          <w:rFonts w:cs="Arial"/>
          <w:i/>
        </w:rPr>
        <w:t>Requirements</w:t>
      </w:r>
      <w:r w:rsidRPr="00534192" w:rsidR="005E3A27">
        <w:rPr>
          <w:rFonts w:cs="Arial"/>
        </w:rPr>
        <w:t xml:space="preserve">) </w:t>
      </w:r>
      <w:r w:rsidRPr="002D2A8F" w:rsidR="005E3A27">
        <w:rPr>
          <w:rFonts w:cs="Arial"/>
        </w:rPr>
        <w:t xml:space="preserve">and calculate any </w:t>
      </w:r>
      <w:r w:rsidR="005E3A27">
        <w:rPr>
          <w:rFonts w:cs="Arial"/>
        </w:rPr>
        <w:t>Monthly Capacity</w:t>
      </w:r>
      <w:r w:rsidRPr="002D2A8F" w:rsidR="005E3A27">
        <w:rPr>
          <w:rFonts w:cs="Arial"/>
        </w:rPr>
        <w:t xml:space="preserve"> Reduction.</w:t>
      </w:r>
      <w:r w:rsidR="0080020E">
        <w:rPr>
          <w:rFonts w:cs="Arial"/>
        </w:rPr>
        <w:t xml:space="preserve"> Seller must coordinate its control system design details with GPC, as GPC Representatives may request, throughout Project scoping, design, procurement, and construction</w:t>
      </w:r>
      <w:r w:rsidR="00070646">
        <w:rPr>
          <w:rFonts w:cs="Arial"/>
        </w:rPr>
        <w:t xml:space="preserve"> and will reasonably consider GPC’s requests, provided that Seller’s obligation will be limited to ensuring that PPA requirements are met</w:t>
      </w:r>
      <w:r w:rsidR="0080020E">
        <w:rPr>
          <w:rFonts w:cs="Arial"/>
        </w:rPr>
        <w:t>.</w:t>
      </w:r>
    </w:p>
    <w:p w:rsidRPr="002D2A8F" w:rsidR="002D54C4" w:rsidP="008759EF" w:rsidRDefault="002D54C4" w14:paraId="27E385BD" w14:textId="7E1D3782">
      <w:pPr>
        <w:pStyle w:val="zGTC03"/>
        <w:rPr>
          <w:rFonts w:cs="Arial"/>
          <w:b/>
          <w:vanish/>
          <w:specVanish/>
        </w:rPr>
      </w:pPr>
      <w:r w:rsidRPr="002D2A8F">
        <w:rPr>
          <w:rFonts w:cs="Arial"/>
          <w:b/>
        </w:rPr>
        <w:t>Facility Control System Design and Capabilities.</w:t>
      </w:r>
    </w:p>
    <w:p w:rsidRPr="002D2A8F" w:rsidR="002D54C4" w:rsidP="002D54C4" w:rsidRDefault="002D54C4" w14:paraId="5E8E7BB3" w14:textId="6CF638DB">
      <w:pPr>
        <w:pStyle w:val="zGNormal"/>
      </w:pPr>
      <w:r w:rsidRPr="002D2A8F">
        <w:t xml:space="preserve"> Seller must design the control and data systems of </w:t>
      </w:r>
      <w:r w:rsidRPr="002D2A8F" w:rsidR="00C04374">
        <w:t xml:space="preserve">each of </w:t>
      </w:r>
      <w:r w:rsidRPr="002D2A8F">
        <w:t xml:space="preserve">the Renewable Resource and the </w:t>
      </w:r>
      <w:r w:rsidR="00B22FBB">
        <w:t>B</w:t>
      </w:r>
      <w:r w:rsidRPr="002D2A8F">
        <w:t xml:space="preserve">ESS  to provide: (i) all real-time AGC </w:t>
      </w:r>
      <w:r w:rsidR="008E02C1">
        <w:t>Setpoint</w:t>
      </w:r>
      <w:r w:rsidRPr="002D2A8F">
        <w:t xml:space="preserve"> signals and data detailed in </w:t>
      </w:r>
      <w:r w:rsidRPr="00534192">
        <w:t xml:space="preserve">Exhibit </w:t>
      </w:r>
      <w:r w:rsidRPr="00534192" w:rsidR="0049510A">
        <w:t>G</w:t>
      </w:r>
      <w:r w:rsidRPr="00534192">
        <w:t xml:space="preserve"> (</w:t>
      </w:r>
      <w:r w:rsidRPr="00534192">
        <w:rPr>
          <w:i/>
        </w:rPr>
        <w:t>AGC and Facility Minimum Data Requirements</w:t>
      </w:r>
      <w:r w:rsidRPr="00534192">
        <w:t>)</w:t>
      </w:r>
      <w:r w:rsidRPr="002D2A8F">
        <w:t xml:space="preserve">; (ii) any additional information that GPC requires  to manage GPC’s </w:t>
      </w:r>
      <w:r w:rsidRPr="002D2A8F" w:rsidR="008776B6">
        <w:t>dispatch</w:t>
      </w:r>
      <w:r w:rsidRPr="002D2A8F">
        <w:t xml:space="preserve"> of the Facility’s energy and capacity and to track and measure </w:t>
      </w:r>
      <w:r w:rsidR="00B22FBB">
        <w:t>B</w:t>
      </w:r>
      <w:r w:rsidRPr="002D2A8F">
        <w:t xml:space="preserve">ESS performance; and (iii) sufficient control and coordination of both the Renewable Resource and </w:t>
      </w:r>
      <w:r w:rsidR="00B22FBB">
        <w:t>B</w:t>
      </w:r>
      <w:r w:rsidRPr="002D2A8F">
        <w:t xml:space="preserve">ESS to not exceed the </w:t>
      </w:r>
      <w:r w:rsidRPr="002D2A8F" w:rsidR="00E0228D">
        <w:t>I</w:t>
      </w:r>
      <w:r w:rsidRPr="002D2A8F">
        <w:t xml:space="preserve">nterconnection </w:t>
      </w:r>
      <w:r w:rsidRPr="002D2A8F" w:rsidR="00E0228D">
        <w:t>L</w:t>
      </w:r>
      <w:r w:rsidRPr="002D2A8F">
        <w:t xml:space="preserve">imit at the POI when both resources are </w:t>
      </w:r>
      <w:r w:rsidR="002D3325">
        <w:t>delivering</w:t>
      </w:r>
      <w:r w:rsidRPr="002D2A8F" w:rsidR="002D3325">
        <w:t xml:space="preserve"> </w:t>
      </w:r>
      <w:r w:rsidRPr="002D2A8F">
        <w:t xml:space="preserve">simultaneously. The </w:t>
      </w:r>
      <w:r w:rsidR="00B22FBB">
        <w:lastRenderedPageBreak/>
        <w:t>B</w:t>
      </w:r>
      <w:r w:rsidRPr="002D2A8F">
        <w:t>ESS Operating High Limit will be updated in real</w:t>
      </w:r>
      <w:r w:rsidR="0034020F">
        <w:t xml:space="preserve"> </w:t>
      </w:r>
      <w:r w:rsidRPr="002D2A8F">
        <w:t xml:space="preserve">time based on the Renewable Resource PHL and </w:t>
      </w:r>
      <w:r w:rsidRPr="002D2A8F" w:rsidR="002007A1">
        <w:t>I</w:t>
      </w:r>
      <w:r w:rsidRPr="002D2A8F">
        <w:t xml:space="preserve">nterconnection </w:t>
      </w:r>
      <w:r w:rsidRPr="002D2A8F" w:rsidR="002007A1">
        <w:t>L</w:t>
      </w:r>
      <w:r w:rsidRPr="002D2A8F">
        <w:t xml:space="preserve">imit (i.e. available </w:t>
      </w:r>
      <w:r w:rsidR="00EC6925">
        <w:t>discharge</w:t>
      </w:r>
      <w:r w:rsidRPr="002D2A8F" w:rsidR="00EC6925">
        <w:t xml:space="preserve"> </w:t>
      </w:r>
      <w:r w:rsidRPr="002D2A8F">
        <w:t>f</w:t>
      </w:r>
      <w:r w:rsidR="00EC6925">
        <w:t>rom</w:t>
      </w:r>
      <w:r w:rsidRPr="002D2A8F">
        <w:t xml:space="preserve"> </w:t>
      </w:r>
      <w:r w:rsidR="00B22FBB">
        <w:t>B</w:t>
      </w:r>
      <w:r w:rsidRPr="002D2A8F">
        <w:t xml:space="preserve">ESS) to limit </w:t>
      </w:r>
      <w:r w:rsidR="00B22FBB">
        <w:t>B</w:t>
      </w:r>
      <w:r w:rsidRPr="002D2A8F">
        <w:t xml:space="preserve">ESS </w:t>
      </w:r>
      <w:r w:rsidR="00B62236">
        <w:t>operation</w:t>
      </w:r>
      <w:r w:rsidRPr="002D2A8F">
        <w:t xml:space="preserve">, if applicable. The </w:t>
      </w:r>
      <w:r w:rsidR="004911FA">
        <w:t xml:space="preserve">Facility </w:t>
      </w:r>
      <w:r w:rsidRPr="002D2A8F">
        <w:t xml:space="preserve">control system will receive and send, every six seconds, AGC </w:t>
      </w:r>
      <w:r w:rsidR="008E02C1">
        <w:t xml:space="preserve">Setpoint </w:t>
      </w:r>
      <w:r w:rsidRPr="002D2A8F">
        <w:t xml:space="preserve">signals to allow GPC to direct the energy output of the Renewable Resource and the energy input/output of the </w:t>
      </w:r>
      <w:r w:rsidR="00B22FBB">
        <w:t>B</w:t>
      </w:r>
      <w:r w:rsidRPr="002D2A8F">
        <w:t xml:space="preserve">ESS. </w:t>
      </w:r>
      <w:r w:rsidRPr="00794AA4" w:rsidR="00794AA4">
        <w:t xml:space="preserve"> </w:t>
      </w:r>
      <w:r w:rsidR="00794AA4">
        <w:t>Seller must coordinate its control system design details with GPC, as GPC Representatives may request, throughout Project scoping, design, procurement, and construction to ensure that PPA requirements are met.</w:t>
      </w:r>
    </w:p>
    <w:p w:rsidRPr="00794AA4" w:rsidR="002003A8" w:rsidP="00F15006" w:rsidRDefault="002003A8" w14:paraId="40A2FBBB" w14:textId="7EAF0874">
      <w:pPr>
        <w:pStyle w:val="zGTC03"/>
        <w:tabs>
          <w:tab w:val="num" w:pos="2160"/>
        </w:tabs>
        <w:rPr>
          <w:rFonts w:cs="Arial"/>
          <w:szCs w:val="20"/>
        </w:rPr>
      </w:pPr>
      <w:r w:rsidRPr="00794AA4">
        <w:rPr>
          <w:rFonts w:cs="Arial"/>
          <w:b/>
          <w:bCs/>
          <w:szCs w:val="20"/>
        </w:rPr>
        <w:t>RCOD and Facility Construction Key Milestones.</w:t>
      </w:r>
      <w:r w:rsidRPr="00794AA4">
        <w:rPr>
          <w:rFonts w:cs="Arial"/>
          <w:szCs w:val="20"/>
        </w:rPr>
        <w:t xml:space="preserve"> </w:t>
      </w:r>
      <w:r w:rsidRPr="00794AA4" w:rsidR="007C18CD">
        <w:rPr>
          <w:rFonts w:cs="Arial"/>
          <w:szCs w:val="20"/>
        </w:rPr>
        <w:t xml:space="preserve">Seller must progress Facility </w:t>
      </w:r>
      <w:r w:rsidRPr="00794AA4" w:rsidR="00680C11">
        <w:rPr>
          <w:rFonts w:cs="Arial"/>
          <w:szCs w:val="20"/>
        </w:rPr>
        <w:t>c</w:t>
      </w:r>
      <w:r w:rsidRPr="00794AA4" w:rsidR="007C18CD">
        <w:rPr>
          <w:rFonts w:cs="Arial"/>
          <w:szCs w:val="20"/>
        </w:rPr>
        <w:t xml:space="preserve">onstruction </w:t>
      </w:r>
      <w:r w:rsidRPr="00794AA4" w:rsidR="00AE3A6C">
        <w:rPr>
          <w:rFonts w:cs="Arial"/>
          <w:szCs w:val="20"/>
        </w:rPr>
        <w:t xml:space="preserve">in accordance with </w:t>
      </w:r>
      <w:r w:rsidRPr="00794AA4" w:rsidR="001D3B96">
        <w:rPr>
          <w:rFonts w:cs="Arial"/>
          <w:szCs w:val="20"/>
        </w:rPr>
        <w:t xml:space="preserve">applicable Key Milestone Dates, including achievement of </w:t>
      </w:r>
      <w:r w:rsidRPr="00794AA4" w:rsidR="007C18CD">
        <w:rPr>
          <w:rFonts w:cs="Arial"/>
          <w:szCs w:val="20"/>
        </w:rPr>
        <w:t>Commercial Operation b</w:t>
      </w:r>
      <w:r w:rsidRPr="00794AA4" w:rsidR="00D76B79">
        <w:rPr>
          <w:rFonts w:cs="Arial"/>
          <w:szCs w:val="20"/>
        </w:rPr>
        <w:t xml:space="preserve">y the RCOD. </w:t>
      </w:r>
    </w:p>
    <w:p w:rsidRPr="002D2A8F" w:rsidR="002D54C4" w:rsidP="008759EF" w:rsidRDefault="002D54C4" w14:paraId="1B2C6C47" w14:textId="10DC15C0">
      <w:pPr>
        <w:pStyle w:val="zGTC03"/>
        <w:rPr>
          <w:rFonts w:cs="Arial"/>
          <w:b/>
          <w:vanish/>
          <w:specVanish/>
        </w:rPr>
      </w:pPr>
      <w:r w:rsidRPr="002D2A8F">
        <w:rPr>
          <w:rFonts w:cs="Arial"/>
          <w:b/>
        </w:rPr>
        <w:t>Commercial Operation.</w:t>
      </w:r>
    </w:p>
    <w:p w:rsidRPr="002D2A8F" w:rsidR="002D54C4" w:rsidP="002D54C4" w:rsidRDefault="002D54C4" w14:paraId="1242A900" w14:textId="697DAEB9">
      <w:pPr>
        <w:pStyle w:val="zGNormal"/>
      </w:pPr>
      <w:r w:rsidRPr="002D2A8F">
        <w:t xml:space="preserve"> The</w:t>
      </w:r>
      <w:r w:rsidRPr="002D2A8F" w:rsidDel="00D878BF">
        <w:t xml:space="preserve"> </w:t>
      </w:r>
      <w:r w:rsidR="00D878BF">
        <w:t>Facility</w:t>
      </w:r>
      <w:r w:rsidRPr="002D2A8F" w:rsidR="00D878BF">
        <w:t xml:space="preserve"> </w:t>
      </w:r>
      <w:r w:rsidRPr="002D2A8F">
        <w:t xml:space="preserve">will be deemed to have achieved Commercial Operation under this PPA when Seller demonstrates, to GPC’s </w:t>
      </w:r>
      <w:r w:rsidR="0054352E">
        <w:t xml:space="preserve">reasonable </w:t>
      </w:r>
      <w:r w:rsidRPr="002D2A8F">
        <w:t xml:space="preserve">satisfaction, </w:t>
      </w:r>
      <w:r w:rsidRPr="002D2A8F" w:rsidR="00053E4C">
        <w:t>that</w:t>
      </w:r>
      <w:r w:rsidRPr="002D2A8F">
        <w:t xml:space="preserve"> the following </w:t>
      </w:r>
      <w:r w:rsidRPr="002D2A8F" w:rsidR="005E11D4">
        <w:t xml:space="preserve">listed </w:t>
      </w:r>
      <w:r w:rsidRPr="002D2A8F">
        <w:t>criteria are fulfilled</w:t>
      </w:r>
      <w:r w:rsidRPr="002D2A8F" w:rsidR="005E11D4">
        <w:t>. GPC is entitled</w:t>
      </w:r>
      <w:r w:rsidRPr="002D2A8F" w:rsidR="00EB3ABF">
        <w:t xml:space="preserve">, but not required, to verify </w:t>
      </w:r>
      <w:r w:rsidR="009B141D">
        <w:t>achievement</w:t>
      </w:r>
      <w:r w:rsidRPr="002D2A8F" w:rsidR="009B141D">
        <w:t xml:space="preserve"> </w:t>
      </w:r>
      <w:r w:rsidRPr="002D2A8F" w:rsidR="004A1CBC">
        <w:t xml:space="preserve">of these criteria </w:t>
      </w:r>
      <w:r w:rsidRPr="002D2A8F" w:rsidR="00502C89">
        <w:t>before</w:t>
      </w:r>
      <w:r w:rsidRPr="002D2A8F" w:rsidR="004A1CBC">
        <w:t xml:space="preserve"> GPC’s acceptance of Commercial Operation.</w:t>
      </w:r>
      <w:r w:rsidR="00655519">
        <w:t xml:space="preserve"> </w:t>
      </w:r>
    </w:p>
    <w:p w:rsidRPr="002D2A8F" w:rsidR="002D54C4" w:rsidP="00C1276B" w:rsidRDefault="002D54C4" w14:paraId="225A2A3C" w14:textId="3CF010BC">
      <w:pPr>
        <w:pStyle w:val="zGTC04"/>
        <w:numPr>
          <w:ilvl w:val="3"/>
          <w:numId w:val="11"/>
        </w:numPr>
        <w:rPr>
          <w:rFonts w:cs="Arial"/>
        </w:rPr>
      </w:pPr>
      <w:r w:rsidRPr="002D2A8F">
        <w:rPr>
          <w:rFonts w:cs="Arial"/>
        </w:rPr>
        <w:t xml:space="preserve">  </w:t>
      </w:r>
      <w:r w:rsidR="000A4252">
        <w:rPr>
          <w:rFonts w:cs="Arial"/>
        </w:rPr>
        <w:t xml:space="preserve">The </w:t>
      </w:r>
      <w:r w:rsidRPr="002D2A8F">
        <w:rPr>
          <w:rFonts w:cs="Arial"/>
        </w:rPr>
        <w:t xml:space="preserve">Renewable Resource is capable of producing and delivering, on a reliable basis, </w:t>
      </w:r>
      <w:r w:rsidR="000774DB">
        <w:rPr>
          <w:rFonts w:cs="Arial"/>
        </w:rPr>
        <w:t>Renewable E</w:t>
      </w:r>
      <w:r w:rsidRPr="002D2A8F">
        <w:rPr>
          <w:rFonts w:cs="Arial"/>
        </w:rPr>
        <w:t xml:space="preserve">nergy to: (a) </w:t>
      </w:r>
      <w:r w:rsidRPr="002D2A8F" w:rsidR="004D52EF">
        <w:rPr>
          <w:rFonts w:cs="Arial"/>
        </w:rPr>
        <w:t xml:space="preserve">fully </w:t>
      </w:r>
      <w:r w:rsidRPr="002D2A8F">
        <w:rPr>
          <w:rFonts w:cs="Arial"/>
        </w:rPr>
        <w:t xml:space="preserve">charge the </w:t>
      </w:r>
      <w:r w:rsidR="00CD19EC">
        <w:rPr>
          <w:rFonts w:cs="Arial"/>
        </w:rPr>
        <w:t>B</w:t>
      </w:r>
      <w:r w:rsidRPr="002D2A8F">
        <w:rPr>
          <w:rFonts w:cs="Arial"/>
        </w:rPr>
        <w:t xml:space="preserve">ESS; and (b) meet </w:t>
      </w:r>
      <w:r w:rsidR="00B933F1">
        <w:rPr>
          <w:rFonts w:cs="Arial"/>
        </w:rPr>
        <w:t>the</w:t>
      </w:r>
      <w:r w:rsidRPr="002D2A8F" w:rsidR="00B933F1">
        <w:rPr>
          <w:rFonts w:cs="Arial"/>
        </w:rPr>
        <w:t xml:space="preserve"> </w:t>
      </w:r>
      <w:r w:rsidRPr="002D2A8F">
        <w:rPr>
          <w:rFonts w:cs="Arial"/>
        </w:rPr>
        <w:t>AGC</w:t>
      </w:r>
      <w:r w:rsidR="00B933F1">
        <w:rPr>
          <w:rFonts w:cs="Arial"/>
        </w:rPr>
        <w:t xml:space="preserve"> Performance</w:t>
      </w:r>
      <w:r w:rsidRPr="002D2A8F">
        <w:rPr>
          <w:rFonts w:cs="Arial"/>
        </w:rPr>
        <w:t xml:space="preserve"> Requirements, including any AGC testing requirements; </w:t>
      </w:r>
    </w:p>
    <w:p w:rsidR="002D54C4" w:rsidP="00C1276B" w:rsidRDefault="00F26D07" w14:paraId="78131357" w14:textId="14DC065F">
      <w:pPr>
        <w:pStyle w:val="zGTC04"/>
        <w:numPr>
          <w:ilvl w:val="3"/>
          <w:numId w:val="8"/>
        </w:numPr>
        <w:tabs>
          <w:tab w:val="num" w:pos="360"/>
        </w:tabs>
        <w:rPr>
          <w:rFonts w:cs="Arial"/>
        </w:rPr>
      </w:pPr>
      <w:r>
        <w:rPr>
          <w:rFonts w:cs="Arial"/>
        </w:rPr>
        <w:t xml:space="preserve">(a) </w:t>
      </w:r>
      <w:r w:rsidR="00791CD0">
        <w:rPr>
          <w:rFonts w:cs="Arial"/>
        </w:rPr>
        <w:t>The BESS is capable of Grid Charging;</w:t>
      </w:r>
      <w:r>
        <w:rPr>
          <w:rFonts w:cs="Arial"/>
        </w:rPr>
        <w:t xml:space="preserve"> (b) the BESS is capable of receiving Renewable </w:t>
      </w:r>
      <w:r w:rsidR="00680490">
        <w:rPr>
          <w:rFonts w:cs="Arial"/>
        </w:rPr>
        <w:t xml:space="preserve">Resource </w:t>
      </w:r>
      <w:r>
        <w:rPr>
          <w:rFonts w:cs="Arial"/>
        </w:rPr>
        <w:t>Charging Energy on a reliable basis</w:t>
      </w:r>
      <w:r w:rsidR="005A4B5D">
        <w:rPr>
          <w:rFonts w:cs="Arial"/>
        </w:rPr>
        <w:t>; and (c) the BESS is capable of delivering Discharging Energy on a reliable basis</w:t>
      </w:r>
      <w:r>
        <w:rPr>
          <w:rFonts w:cs="Arial"/>
        </w:rPr>
        <w:t>;</w:t>
      </w:r>
      <w:r w:rsidRPr="002D2A8F" w:rsidR="002D54C4">
        <w:rPr>
          <w:rFonts w:cs="Arial"/>
        </w:rPr>
        <w:t xml:space="preserve"> </w:t>
      </w:r>
    </w:p>
    <w:p w:rsidRPr="00F40F9C" w:rsidR="00EF680E" w:rsidP="00C1276B" w:rsidRDefault="00EF680E" w14:paraId="3DCED305" w14:textId="1D1D5F27">
      <w:pPr>
        <w:pStyle w:val="zGTC04"/>
        <w:numPr>
          <w:ilvl w:val="3"/>
          <w:numId w:val="8"/>
        </w:numPr>
      </w:pPr>
      <w:r>
        <w:t>The Facility’s AGC system, as approved by GPC: (a) is completely installed and fully operational, is connected to GPC’s AGC RTU, and is capable of supplying all needed data, control system access, interconnection, and AGC Setpoint signals to allow GPC to dispatch the BESS</w:t>
      </w:r>
      <w:r w:rsidR="00AE7C44">
        <w:t xml:space="preserve"> and the Renewable Resource</w:t>
      </w:r>
      <w:r>
        <w:t xml:space="preserve">; and (b) otherwise satisfies Section </w:t>
      </w:r>
      <w:r w:rsidR="00956857">
        <w:t>10</w:t>
      </w:r>
      <w:r>
        <w:t>.</w:t>
      </w:r>
      <w:r w:rsidR="00956857">
        <w:t>8</w:t>
      </w:r>
      <w:r>
        <w:t xml:space="preserve"> (</w:t>
      </w:r>
      <w:r>
        <w:rPr>
          <w:i/>
          <w:iCs/>
        </w:rPr>
        <w:t>AGC</w:t>
      </w:r>
      <w:r>
        <w:t>) and Exhibit G (</w:t>
      </w:r>
      <w:r>
        <w:rPr>
          <w:i/>
          <w:iCs/>
        </w:rPr>
        <w:t>AGC and Storage Device Minimum Data Requirements</w:t>
      </w:r>
      <w:r>
        <w:t>);</w:t>
      </w:r>
    </w:p>
    <w:p w:rsidRPr="002D2A8F" w:rsidR="002D54C4" w:rsidP="00C1276B" w:rsidRDefault="002D54C4" w14:paraId="0ED9DEC1" w14:textId="77F8B0EC">
      <w:pPr>
        <w:pStyle w:val="zGTC04"/>
        <w:numPr>
          <w:ilvl w:val="3"/>
          <w:numId w:val="8"/>
        </w:numPr>
        <w:tabs>
          <w:tab w:val="num" w:pos="360"/>
        </w:tabs>
        <w:rPr>
          <w:rFonts w:cs="Arial"/>
        </w:rPr>
      </w:pPr>
      <w:r w:rsidRPr="002D2A8F">
        <w:rPr>
          <w:rFonts w:cs="Arial"/>
        </w:rPr>
        <w:t xml:space="preserve">(a) Seller has satisfied all </w:t>
      </w:r>
      <w:r w:rsidR="00C21A40">
        <w:rPr>
          <w:rFonts w:cs="Arial"/>
        </w:rPr>
        <w:t xml:space="preserve">IA </w:t>
      </w:r>
      <w:r w:rsidRPr="002D2A8F">
        <w:rPr>
          <w:rFonts w:cs="Arial"/>
        </w:rPr>
        <w:t xml:space="preserve">requirements that are conditions to </w:t>
      </w:r>
      <w:r w:rsidRPr="002D2A8F" w:rsidR="009B47BB">
        <w:rPr>
          <w:rFonts w:cs="Arial"/>
        </w:rPr>
        <w:t>c</w:t>
      </w:r>
      <w:r w:rsidRPr="002D2A8F">
        <w:rPr>
          <w:rFonts w:cs="Arial"/>
        </w:rPr>
        <w:t xml:space="preserve">ommercial </w:t>
      </w:r>
      <w:r w:rsidRPr="002D2A8F" w:rsidR="009B47BB">
        <w:rPr>
          <w:rFonts w:cs="Arial"/>
        </w:rPr>
        <w:t>o</w:t>
      </w:r>
      <w:r w:rsidRPr="002D2A8F">
        <w:rPr>
          <w:rFonts w:cs="Arial"/>
        </w:rPr>
        <w:t>peration</w:t>
      </w:r>
      <w:r w:rsidRPr="002D2A8F" w:rsidR="009B47BB">
        <w:rPr>
          <w:rFonts w:cs="Arial"/>
        </w:rPr>
        <w:t xml:space="preserve"> (as</w:t>
      </w:r>
      <w:r w:rsidRPr="002D2A8F" w:rsidR="00610A68">
        <w:rPr>
          <w:rFonts w:cs="Arial"/>
        </w:rPr>
        <w:t xml:space="preserve"> defined in the IA)</w:t>
      </w:r>
      <w:r w:rsidRPr="002D2A8F">
        <w:rPr>
          <w:rFonts w:cs="Arial"/>
        </w:rPr>
        <w:t xml:space="preserve">; (b) the Facility otherwise is in compliance with the </w:t>
      </w:r>
      <w:r w:rsidR="00C6074B">
        <w:rPr>
          <w:rFonts w:cs="Arial"/>
        </w:rPr>
        <w:t>IA</w:t>
      </w:r>
      <w:r w:rsidRPr="002D2A8F">
        <w:rPr>
          <w:rFonts w:cs="Arial"/>
        </w:rPr>
        <w:t xml:space="preserve">; and (c) the Facility has demonstrated the reliability of its communication systems with the Dispatch Center; </w:t>
      </w:r>
    </w:p>
    <w:p w:rsidRPr="002D2A8F" w:rsidR="002D54C4" w:rsidP="00C1276B" w:rsidRDefault="002D54C4" w14:paraId="57434630" w14:textId="60679FE6">
      <w:pPr>
        <w:pStyle w:val="zGTC04"/>
        <w:numPr>
          <w:ilvl w:val="3"/>
          <w:numId w:val="8"/>
        </w:numPr>
        <w:tabs>
          <w:tab w:val="num" w:pos="360"/>
        </w:tabs>
        <w:rPr>
          <w:rFonts w:cs="Arial"/>
        </w:rPr>
      </w:pPr>
      <w:r w:rsidRPr="002D2A8F">
        <w:rPr>
          <w:rFonts w:cs="Arial"/>
        </w:rPr>
        <w:t xml:space="preserve">Seller has successfully completed Performance Testing of the </w:t>
      </w:r>
      <w:r w:rsidRPr="002D2A8F" w:rsidR="002225EC">
        <w:rPr>
          <w:rFonts w:cs="Arial"/>
        </w:rPr>
        <w:t>Facility and</w:t>
      </w:r>
      <w:r w:rsidRPr="002D2A8F">
        <w:rPr>
          <w:rFonts w:cs="Arial"/>
        </w:rPr>
        <w:t xml:space="preserve"> </w:t>
      </w:r>
      <w:r w:rsidRPr="002D2A8F" w:rsidR="002225EC">
        <w:rPr>
          <w:rFonts w:cs="Arial"/>
        </w:rPr>
        <w:t>achieved the Performance Guarantees</w:t>
      </w:r>
      <w:r w:rsidRPr="002D2A8F">
        <w:rPr>
          <w:rFonts w:cs="Arial"/>
        </w:rPr>
        <w:t xml:space="preserve"> in accordance with </w:t>
      </w:r>
      <w:r w:rsidRPr="00534192">
        <w:rPr>
          <w:rFonts w:cs="Arial"/>
        </w:rPr>
        <w:t>Exhibit B (</w:t>
      </w:r>
      <w:r w:rsidRPr="00534192">
        <w:rPr>
          <w:rFonts w:cs="Arial"/>
          <w:i/>
        </w:rPr>
        <w:t xml:space="preserve">Capacity; Capacity </w:t>
      </w:r>
      <w:r w:rsidRPr="00534192" w:rsidR="00063297">
        <w:rPr>
          <w:rFonts w:cs="Arial"/>
          <w:i/>
        </w:rPr>
        <w:t xml:space="preserve">Payments and </w:t>
      </w:r>
      <w:r w:rsidRPr="00534192">
        <w:rPr>
          <w:rFonts w:cs="Arial"/>
          <w:i/>
        </w:rPr>
        <w:t>Payment</w:t>
      </w:r>
      <w:r w:rsidRPr="00534192" w:rsidR="00063297">
        <w:rPr>
          <w:rFonts w:cs="Arial"/>
          <w:i/>
        </w:rPr>
        <w:t xml:space="preserve"> Reductions; Buydown</w:t>
      </w:r>
      <w:r w:rsidRPr="00534192">
        <w:rPr>
          <w:rFonts w:cs="Arial"/>
        </w:rPr>
        <w:t xml:space="preserve">), </w:t>
      </w:r>
      <w:r w:rsidRPr="00534192" w:rsidR="009C0C66">
        <w:rPr>
          <w:rFonts w:cs="Arial"/>
        </w:rPr>
        <w:t>Part</w:t>
      </w:r>
      <w:r w:rsidRPr="00534192">
        <w:rPr>
          <w:rFonts w:cs="Arial"/>
        </w:rPr>
        <w:t xml:space="preserve"> 1 (</w:t>
      </w:r>
      <w:r w:rsidRPr="00534192">
        <w:rPr>
          <w:rFonts w:cs="Arial"/>
          <w:i/>
          <w:szCs w:val="20"/>
        </w:rPr>
        <w:t>Test</w:t>
      </w:r>
      <w:r w:rsidRPr="00534192" w:rsidR="00196A56">
        <w:rPr>
          <w:rFonts w:cs="Arial"/>
          <w:i/>
          <w:szCs w:val="20"/>
        </w:rPr>
        <w:t>ing</w:t>
      </w:r>
      <w:r w:rsidRPr="00534192">
        <w:rPr>
          <w:rFonts w:cs="Arial"/>
          <w:i/>
          <w:szCs w:val="20"/>
        </w:rPr>
        <w:t xml:space="preserve"> </w:t>
      </w:r>
      <w:r w:rsidRPr="00534192" w:rsidR="00B40C6F">
        <w:rPr>
          <w:rFonts w:cs="Arial"/>
          <w:i/>
          <w:szCs w:val="20"/>
        </w:rPr>
        <w:t>Requirements</w:t>
      </w:r>
      <w:r w:rsidRPr="00534192">
        <w:rPr>
          <w:rFonts w:cs="Arial"/>
        </w:rPr>
        <w:t>),</w:t>
      </w:r>
      <w:r w:rsidRPr="002D2A8F">
        <w:rPr>
          <w:rFonts w:cs="Arial"/>
          <w:bCs/>
        </w:rPr>
        <w:t xml:space="preserve"> </w:t>
      </w:r>
      <w:r w:rsidRPr="002D2A8F" w:rsidR="00D8444F">
        <w:rPr>
          <w:rFonts w:cs="Arial"/>
          <w:bCs/>
        </w:rPr>
        <w:t>including a</w:t>
      </w:r>
      <w:r w:rsidRPr="002D2A8F">
        <w:rPr>
          <w:rFonts w:cs="Arial"/>
          <w:bCs/>
        </w:rPr>
        <w:t xml:space="preserve"> Tested Storage Capacity </w:t>
      </w:r>
      <w:r w:rsidRPr="002D2A8F">
        <w:rPr>
          <w:rFonts w:cs="Arial"/>
        </w:rPr>
        <w:t>higher than</w:t>
      </w:r>
      <w:r w:rsidRPr="002D2A8F">
        <w:rPr>
          <w:rFonts w:cs="Arial"/>
          <w:bCs/>
        </w:rPr>
        <w:t xml:space="preserve"> </w:t>
      </w:r>
      <w:r w:rsidRPr="002D2A8F" w:rsidR="002225EC">
        <w:rPr>
          <w:rFonts w:cs="Arial"/>
        </w:rPr>
        <w:t>70% of the</w:t>
      </w:r>
      <w:r w:rsidRPr="002D2A8F" w:rsidR="002225EC">
        <w:rPr>
          <w:rFonts w:cs="Arial"/>
          <w:bCs/>
        </w:rPr>
        <w:t xml:space="preserve"> </w:t>
      </w:r>
      <w:r>
        <w:rPr>
          <w:rFonts w:cs="Arial"/>
        </w:rPr>
        <w:t>Contracted Capacity</w:t>
      </w:r>
      <w:r w:rsidR="00F8288A">
        <w:rPr>
          <w:rFonts w:cs="Arial"/>
        </w:rPr>
        <w:t xml:space="preserve"> under Exhibit B</w:t>
      </w:r>
      <w:r w:rsidRPr="00A42750">
        <w:rPr>
          <w:rFonts w:cs="Arial"/>
        </w:rPr>
        <w:t>;</w:t>
      </w:r>
      <w:r w:rsidRPr="002D2A8F">
        <w:rPr>
          <w:rFonts w:cs="Arial"/>
        </w:rPr>
        <w:t xml:space="preserve"> </w:t>
      </w:r>
    </w:p>
    <w:p w:rsidRPr="002D2A8F" w:rsidR="002D54C4" w:rsidP="00C1276B" w:rsidRDefault="002D54C4" w14:paraId="4AE8827E" w14:textId="15A4EA04">
      <w:pPr>
        <w:pStyle w:val="zGTC04"/>
        <w:numPr>
          <w:ilvl w:val="3"/>
          <w:numId w:val="8"/>
        </w:numPr>
        <w:tabs>
          <w:tab w:val="num" w:pos="360"/>
        </w:tabs>
        <w:rPr>
          <w:rFonts w:cs="Arial"/>
        </w:rPr>
      </w:pPr>
      <w:r w:rsidRPr="002D2A8F">
        <w:rPr>
          <w:rFonts w:cs="Arial"/>
        </w:rPr>
        <w:t xml:space="preserve">Seller must have provided GPC with a certificate </w:t>
      </w:r>
      <w:r w:rsidR="00956857">
        <w:rPr>
          <w:rFonts w:cs="Arial"/>
        </w:rPr>
        <w:t xml:space="preserve">from a responsible officer of Seller </w:t>
      </w:r>
      <w:r w:rsidRPr="002D2A8F">
        <w:rPr>
          <w:rFonts w:cs="Arial"/>
        </w:rPr>
        <w:t xml:space="preserve">reasonably acceptable to GPC stating that the Facility has been designed, engineered, constructed, and tested in accordance with Prudent Industry Practices and is capable of performing in accordance with the terms of this PPA; </w:t>
      </w:r>
    </w:p>
    <w:p w:rsidR="001372AC" w:rsidP="00C1276B" w:rsidRDefault="002D54C4" w14:paraId="58D3543B" w14:textId="72B26A20">
      <w:pPr>
        <w:pStyle w:val="zGTC04"/>
        <w:numPr>
          <w:ilvl w:val="3"/>
          <w:numId w:val="8"/>
        </w:numPr>
        <w:tabs>
          <w:tab w:val="num" w:pos="360"/>
        </w:tabs>
        <w:rPr>
          <w:rFonts w:cs="Arial"/>
        </w:rPr>
      </w:pPr>
      <w:r w:rsidRPr="002D2A8F">
        <w:rPr>
          <w:rFonts w:cs="Arial"/>
        </w:rPr>
        <w:t xml:space="preserve">Seller must have delivered to GPC a certificate from a responsible officer of Seller certifying that Seller has obtained all licenses, permits, franchises, agreements, approvals, authorizations, </w:t>
      </w:r>
      <w:r w:rsidR="000036B0">
        <w:rPr>
          <w:rFonts w:cs="Arial"/>
        </w:rPr>
        <w:t>C</w:t>
      </w:r>
      <w:r w:rsidRPr="002D2A8F">
        <w:rPr>
          <w:rFonts w:cs="Arial"/>
        </w:rPr>
        <w:t xml:space="preserve">onsents, waivers, rights, exemptions, releases, variances, exceptions, or orders of or issued by, or filing with, or notice to, any Governmental Authority </w:t>
      </w:r>
      <w:r w:rsidRPr="002D2A8F" w:rsidR="0093014A">
        <w:rPr>
          <w:rFonts w:cs="Arial"/>
        </w:rPr>
        <w:t xml:space="preserve">required </w:t>
      </w:r>
      <w:r w:rsidRPr="002D2A8F">
        <w:rPr>
          <w:rFonts w:cs="Arial"/>
        </w:rPr>
        <w:t>under applicable law (“</w:t>
      </w:r>
      <w:r w:rsidRPr="002D2A8F">
        <w:rPr>
          <w:rFonts w:cs="Arial"/>
          <w:b/>
        </w:rPr>
        <w:t>Governmental Approvals</w:t>
      </w:r>
      <w:r w:rsidRPr="002D2A8F">
        <w:rPr>
          <w:rFonts w:cs="Arial"/>
        </w:rPr>
        <w:t>”) for the construction, ownership, operation, and maintenance of the Facility in accordance with this PPA</w:t>
      </w:r>
      <w:r w:rsidR="001372AC">
        <w:rPr>
          <w:rFonts w:cs="Arial"/>
        </w:rPr>
        <w:t>; and</w:t>
      </w:r>
    </w:p>
    <w:p w:rsidR="002D54C4" w:rsidP="00C1276B" w:rsidRDefault="001372AC" w14:paraId="54E2FA8F" w14:textId="5A6FA363">
      <w:pPr>
        <w:pStyle w:val="zGTC04"/>
        <w:numPr>
          <w:ilvl w:val="3"/>
          <w:numId w:val="8"/>
        </w:numPr>
        <w:tabs>
          <w:tab w:val="num" w:pos="360"/>
        </w:tabs>
        <w:rPr>
          <w:rFonts w:cs="Arial"/>
        </w:rPr>
      </w:pPr>
      <w:r>
        <w:rPr>
          <w:rFonts w:cs="Arial"/>
        </w:rPr>
        <w:t>Any additional criteria set forth in the Commercial Operation Completion Certificate.</w:t>
      </w:r>
    </w:p>
    <w:p w:rsidRPr="00956857" w:rsidR="00956857" w:rsidP="00956857" w:rsidRDefault="00956857" w14:paraId="58433ADC" w14:textId="6F846220">
      <w:pPr>
        <w:pStyle w:val="zGTC04"/>
        <w:numPr>
          <w:ilvl w:val="0"/>
          <w:numId w:val="0"/>
        </w:numPr>
        <w:ind w:left="630"/>
      </w:pPr>
      <w:r>
        <w:t xml:space="preserve">For the avoidance of doubt, the Facility may achieve commercial operation in accordance with the Interconnection Agreement, and may be considered operational for all other purposes, including tax purposes, but the Facility will not be deemed to have achieved Commercial Operation for purposes of this PPA until </w:t>
      </w:r>
      <w:r w:rsidR="006D2200">
        <w:t xml:space="preserve">(a) </w:t>
      </w:r>
      <w:r>
        <w:t>subsections (i) through (vii</w:t>
      </w:r>
      <w:r w:rsidR="006D2200">
        <w:t>i</w:t>
      </w:r>
      <w:r>
        <w:t>) are satisfied</w:t>
      </w:r>
      <w:r w:rsidR="006D2200">
        <w:t xml:space="preserve"> and (b) GPC has reasonably determined Commercial Operation has been achieved in accordance with Section 7.1.6 (</w:t>
      </w:r>
      <w:r w:rsidRPr="0036216E" w:rsidR="006D2200">
        <w:rPr>
          <w:i/>
          <w:iCs/>
        </w:rPr>
        <w:t>Commercial Operation</w:t>
      </w:r>
      <w:r w:rsidRPr="0036216E" w:rsidR="00910E44">
        <w:rPr>
          <w:i/>
          <w:iCs/>
        </w:rPr>
        <w:t xml:space="preserve"> Completion</w:t>
      </w:r>
      <w:r w:rsidRPr="0036216E" w:rsidR="006D2200">
        <w:rPr>
          <w:i/>
          <w:iCs/>
        </w:rPr>
        <w:t xml:space="preserve"> Certificate</w:t>
      </w:r>
      <w:r w:rsidR="006D2200">
        <w:t>)</w:t>
      </w:r>
      <w:r>
        <w:t xml:space="preserve">.  </w:t>
      </w:r>
    </w:p>
    <w:p w:rsidRPr="002D2A8F" w:rsidR="002D54C4" w:rsidP="008759EF" w:rsidRDefault="002D54C4" w14:paraId="22B3112C" w14:textId="3F9565FA">
      <w:pPr>
        <w:pStyle w:val="zGTC03"/>
        <w:rPr>
          <w:rFonts w:cs="Arial"/>
          <w:b/>
          <w:vanish/>
          <w:specVanish/>
        </w:rPr>
      </w:pPr>
      <w:r w:rsidRPr="002D2A8F">
        <w:rPr>
          <w:rFonts w:cs="Arial"/>
          <w:b/>
        </w:rPr>
        <w:lastRenderedPageBreak/>
        <w:t xml:space="preserve">Commercial Operation </w:t>
      </w:r>
      <w:r w:rsidR="009E673D">
        <w:rPr>
          <w:rFonts w:cs="Arial"/>
          <w:b/>
        </w:rPr>
        <w:t xml:space="preserve">Completion </w:t>
      </w:r>
      <w:r w:rsidRPr="002D2A8F">
        <w:rPr>
          <w:rFonts w:cs="Arial"/>
          <w:b/>
        </w:rPr>
        <w:t>Certificate.</w:t>
      </w:r>
    </w:p>
    <w:p w:rsidRPr="002D2A8F" w:rsidR="002D54C4" w:rsidP="002D54C4" w:rsidRDefault="002D54C4" w14:paraId="4AA69AED" w14:textId="44B54FB9">
      <w:pPr>
        <w:pStyle w:val="zGNormal"/>
      </w:pPr>
      <w:r w:rsidRPr="002D2A8F">
        <w:rPr>
          <w:b/>
          <w:bCs/>
        </w:rPr>
        <w:t xml:space="preserve"> </w:t>
      </w:r>
      <w:r w:rsidRPr="002D2A8F">
        <w:t xml:space="preserve">When Seller believes the Facility achieved the Commercial Operation requirements set forth in </w:t>
      </w:r>
      <w:r w:rsidRPr="00534192">
        <w:t xml:space="preserve">Section </w:t>
      </w:r>
      <w:r w:rsidRPr="00534192" w:rsidR="0088270C">
        <w:t>7</w:t>
      </w:r>
      <w:r w:rsidRPr="00534192">
        <w:t>.1.</w:t>
      </w:r>
      <w:r w:rsidR="004A6B8C">
        <w:t>5</w:t>
      </w:r>
      <w:r w:rsidRPr="00534192">
        <w:t xml:space="preserve"> (</w:t>
      </w:r>
      <w:r w:rsidRPr="00534192">
        <w:rPr>
          <w:i/>
        </w:rPr>
        <w:t>Commercial Operation</w:t>
      </w:r>
      <w:r w:rsidRPr="00534192">
        <w:t>)</w:t>
      </w:r>
      <w:r w:rsidRPr="002D2A8F">
        <w:t>, Seller must complete and submit to GPC the Commercial Operation Completion Certificate. Upon receipt of the Commercial Operation Completion Certificate, GPC will have the right, but not the obligation, to inspect the Facility or review inspection-related information before acceptance</w:t>
      </w:r>
      <w:r w:rsidR="002103F1">
        <w:t>, as such inspection-related information may be reasonably requested by GPC</w:t>
      </w:r>
      <w:r w:rsidRPr="002D2A8F">
        <w:t xml:space="preserve">. Within </w:t>
      </w:r>
      <w:r w:rsidR="00B414F4">
        <w:t>2</w:t>
      </w:r>
      <w:r w:rsidRPr="002D2A8F">
        <w:t>0 Days after receipt, GPC will review the Commercial Operation Completion Certificate and notify Seller whether GPC agrees</w:t>
      </w:r>
      <w:r w:rsidR="001D59FC">
        <w:t xml:space="preserve"> in its reasonable discretion</w:t>
      </w:r>
      <w:r w:rsidRPr="002D2A8F">
        <w:t xml:space="preserve"> that Commercial Operation was achieved. If GPC agrees </w:t>
      </w:r>
      <w:r w:rsidR="00E74FF5">
        <w:t xml:space="preserve">in its reasonable discretion </w:t>
      </w:r>
      <w:r w:rsidRPr="002D2A8F">
        <w:t>that Commercial Operation was achieved, the date that Seller submitted the Commercial Operation Completion Certificate will be the Commercial Operation Date. However, if GPC determines</w:t>
      </w:r>
      <w:r w:rsidR="00E74FF5">
        <w:t xml:space="preserve"> in its reasonable discretion</w:t>
      </w:r>
      <w:r w:rsidRPr="002D2A8F">
        <w:t xml:space="preserve"> that the Facility has not actually achieved Commercial Operation, </w:t>
      </w:r>
      <w:r w:rsidR="00C358D9">
        <w:t xml:space="preserve">GPC will </w:t>
      </w:r>
      <w:r w:rsidR="00D34CFA">
        <w:t>notify</w:t>
      </w:r>
      <w:r w:rsidR="00C358D9">
        <w:t xml:space="preserve"> Seller </w:t>
      </w:r>
      <w:r w:rsidR="00D34CFA">
        <w:t>of any</w:t>
      </w:r>
      <w:r w:rsidR="00C358D9">
        <w:t xml:space="preserve"> issue </w:t>
      </w:r>
      <w:r w:rsidR="00D34CFA">
        <w:t>and</w:t>
      </w:r>
      <w:r w:rsidR="00C358D9">
        <w:t xml:space="preserve"> deficienc</w:t>
      </w:r>
      <w:r w:rsidR="00D34CFA">
        <w:t>y,</w:t>
      </w:r>
      <w:r w:rsidR="00C358D9">
        <w:t xml:space="preserve"> and </w:t>
      </w:r>
      <w:r w:rsidRPr="002D2A8F">
        <w:t xml:space="preserve">Seller must promptly </w:t>
      </w:r>
      <w:r w:rsidR="00EA5404">
        <w:t xml:space="preserve">(i) </w:t>
      </w:r>
      <w:r w:rsidRPr="002D2A8F">
        <w:t>resolve any issue or deficiency and then resubmit the Commercial Operation Completion Certificate</w:t>
      </w:r>
      <w:r w:rsidR="00EA5404">
        <w:t xml:space="preserve"> or (ii) demonstrate to GPC’s </w:t>
      </w:r>
      <w:r w:rsidR="00796AE0">
        <w:t xml:space="preserve">reasonable </w:t>
      </w:r>
      <w:r w:rsidR="00EA5404">
        <w:t>satisfaction why the Facility has actually achieved Commercial Operation</w:t>
      </w:r>
      <w:r w:rsidRPr="002D2A8F">
        <w:t>. This process will repeat until Commercial Operation (as determined by GPC</w:t>
      </w:r>
      <w:r w:rsidR="00796AE0">
        <w:t xml:space="preserve"> in its reasonable discretion</w:t>
      </w:r>
      <w:r w:rsidRPr="002D2A8F">
        <w:t xml:space="preserve">) is achieved. Seller will be liable for </w:t>
      </w:r>
      <w:r w:rsidR="0054772A">
        <w:t>delay liquidated damages</w:t>
      </w:r>
      <w:r w:rsidRPr="002D2A8F">
        <w:t xml:space="preserve"> under </w:t>
      </w:r>
      <w:r w:rsidRPr="00534192">
        <w:t xml:space="preserve">Section </w:t>
      </w:r>
      <w:r w:rsidRPr="00534192" w:rsidR="00802FD2">
        <w:t>7</w:t>
      </w:r>
      <w:r w:rsidRPr="00534192">
        <w:t>.3 (</w:t>
      </w:r>
      <w:r w:rsidRPr="00534192">
        <w:rPr>
          <w:i/>
        </w:rPr>
        <w:t xml:space="preserve">Failure to Achieve </w:t>
      </w:r>
      <w:r w:rsidRPr="00534192" w:rsidR="00802FD2">
        <w:rPr>
          <w:i/>
        </w:rPr>
        <w:t xml:space="preserve">Commercial Operation by </w:t>
      </w:r>
      <w:r w:rsidRPr="00534192">
        <w:rPr>
          <w:i/>
        </w:rPr>
        <w:t>RCOD</w:t>
      </w:r>
      <w:r w:rsidRPr="00534192">
        <w:t>)</w:t>
      </w:r>
      <w:r w:rsidRPr="002D2A8F">
        <w:t xml:space="preserve"> if GPC determines </w:t>
      </w:r>
      <w:r w:rsidR="00796AE0">
        <w:t xml:space="preserve">in its reasonable discretion </w:t>
      </w:r>
      <w:r w:rsidRPr="002D2A8F">
        <w:t xml:space="preserve">that Seller did not timely achieve Commercial Operation. Subject to </w:t>
      </w:r>
      <w:r w:rsidRPr="00534192">
        <w:t xml:space="preserve">Section </w:t>
      </w:r>
      <w:r w:rsidRPr="00534192" w:rsidR="00C00513">
        <w:t>7.3.4</w:t>
      </w:r>
      <w:r w:rsidRPr="00534192">
        <w:t xml:space="preserve"> (</w:t>
      </w:r>
      <w:r w:rsidRPr="00534192">
        <w:rPr>
          <w:i/>
        </w:rPr>
        <w:t>RCOD Exceptions</w:t>
      </w:r>
      <w:r w:rsidRPr="00534192">
        <w:t>)</w:t>
      </w:r>
      <w:r w:rsidRPr="002D2A8F">
        <w:t xml:space="preserve">, if applicable, Seller </w:t>
      </w:r>
      <w:r w:rsidR="0054772A">
        <w:t>will</w:t>
      </w:r>
      <w:r w:rsidRPr="002D2A8F">
        <w:t xml:space="preserve"> be entitled to an </w:t>
      </w:r>
      <w:r w:rsidR="00ED3C76">
        <w:t xml:space="preserve">RCOD </w:t>
      </w:r>
      <w:r w:rsidRPr="002D2A8F">
        <w:t>extension</w:t>
      </w:r>
      <w:r w:rsidR="006A0C1C">
        <w:t xml:space="preserve"> if</w:t>
      </w:r>
      <w:r w:rsidR="0054772A">
        <w:t xml:space="preserve"> </w:t>
      </w:r>
      <w:r w:rsidR="006A0C1C">
        <w:t>the Interconnection Provider is solely responsible for a delay in the construction of Interconnection Facilities</w:t>
      </w:r>
      <w:r w:rsidRPr="002D2A8F">
        <w:t>.</w:t>
      </w:r>
    </w:p>
    <w:p w:rsidRPr="002D2A8F" w:rsidR="002D54C4" w:rsidP="0005282B" w:rsidRDefault="00570364" w14:paraId="74925D0C" w14:textId="3E455F62">
      <w:pPr>
        <w:pStyle w:val="zGTC02"/>
        <w:rPr>
          <w:rFonts w:ascii="Arial" w:hAnsi="Arial" w:cs="Arial"/>
          <w:vanish/>
          <w:specVanish/>
        </w:rPr>
      </w:pPr>
      <w:bookmarkStart w:name="_Toc169778605" w:id="206"/>
      <w:bookmarkStart w:name="_Toc227451372" w:id="207"/>
      <w:r w:rsidRPr="002D2A8F">
        <w:rPr>
          <w:rFonts w:ascii="Arial" w:hAnsi="Arial" w:cs="Arial"/>
        </w:rPr>
        <w:t>Key Milestones</w:t>
      </w:r>
      <w:r w:rsidRPr="002D2A8F" w:rsidR="00C37E40">
        <w:rPr>
          <w:rFonts w:ascii="Arial" w:hAnsi="Arial" w:cs="Arial"/>
        </w:rPr>
        <w:t xml:space="preserve"> and</w:t>
      </w:r>
      <w:r w:rsidRPr="002D2A8F">
        <w:rPr>
          <w:rFonts w:ascii="Arial" w:hAnsi="Arial" w:cs="Arial"/>
        </w:rPr>
        <w:t xml:space="preserve"> </w:t>
      </w:r>
      <w:r w:rsidRPr="002D2A8F" w:rsidR="002D54C4">
        <w:rPr>
          <w:rFonts w:ascii="Arial" w:hAnsi="Arial" w:cs="Arial"/>
        </w:rPr>
        <w:t>Milestone Schedule.</w:t>
      </w:r>
      <w:bookmarkEnd w:id="206"/>
      <w:bookmarkEnd w:id="207"/>
      <w:r w:rsidRPr="002D2A8F" w:rsidR="002D54C4">
        <w:rPr>
          <w:rFonts w:ascii="Arial" w:hAnsi="Arial" w:cs="Arial"/>
        </w:rPr>
        <w:t xml:space="preserve"> </w:t>
      </w:r>
    </w:p>
    <w:p w:rsidRPr="002D2A8F" w:rsidR="0005282B" w:rsidP="002D54C4" w:rsidRDefault="002D54C4" w14:paraId="4AEEBEB6" w14:textId="4AFB6A18">
      <w:pPr>
        <w:pStyle w:val="zGNormal"/>
      </w:pPr>
      <w:r w:rsidRPr="002D2A8F">
        <w:t xml:space="preserve"> By no later than </w:t>
      </w:r>
      <w:r w:rsidR="00777002">
        <w:t xml:space="preserve">10 Business </w:t>
      </w:r>
      <w:r w:rsidRPr="002D2A8F">
        <w:t xml:space="preserve">Days after the date of the Commission Certificate, Seller must provide a Milestone Schedule. </w:t>
      </w:r>
      <w:r w:rsidRPr="002D2A8F" w:rsidR="001E5458">
        <w:t xml:space="preserve">At a minimum, the Milestone Schedule </w:t>
      </w:r>
      <w:r w:rsidRPr="002D2A8F">
        <w:t xml:space="preserve">must </w:t>
      </w:r>
      <w:r w:rsidRPr="002D2A8F" w:rsidR="001E5458">
        <w:t xml:space="preserve">include the Key Milestones stated in </w:t>
      </w:r>
      <w:r w:rsidRPr="00534192" w:rsidR="001E5458">
        <w:t xml:space="preserve">Exhibit </w:t>
      </w:r>
      <w:r w:rsidRPr="00534192" w:rsidR="00DE4998">
        <w:t>A-1</w:t>
      </w:r>
      <w:r w:rsidRPr="00534192" w:rsidR="001E5458">
        <w:t xml:space="preserve"> (</w:t>
      </w:r>
      <w:r w:rsidRPr="00534192" w:rsidR="00DE4998">
        <w:rPr>
          <w:i/>
        </w:rPr>
        <w:t>Key Milestones</w:t>
      </w:r>
      <w:r w:rsidRPr="00534192" w:rsidR="00CC3F03">
        <w:rPr>
          <w:i/>
        </w:rPr>
        <w:t xml:space="preserve"> and Required Key Milestone Dates</w:t>
      </w:r>
      <w:r w:rsidRPr="00534192" w:rsidR="001E5458">
        <w:t>)</w:t>
      </w:r>
      <w:r w:rsidRPr="002D2A8F" w:rsidR="001E5458">
        <w:t xml:space="preserve"> and supported by documentation, as applicable.</w:t>
      </w:r>
    </w:p>
    <w:p w:rsidRPr="002D2A8F" w:rsidR="0005282B" w:rsidP="00BB7345" w:rsidRDefault="00081C7B" w14:paraId="688B9B8B" w14:textId="7AC04DD6">
      <w:pPr>
        <w:pStyle w:val="zGTC03"/>
        <w:rPr>
          <w:rFonts w:cs="Arial"/>
          <w:b/>
          <w:vanish/>
          <w:specVanish/>
        </w:rPr>
      </w:pPr>
      <w:r w:rsidRPr="002D2A8F">
        <w:rPr>
          <w:rFonts w:cs="Arial"/>
          <w:b/>
        </w:rPr>
        <w:t xml:space="preserve">Milestone Schedule Updates; </w:t>
      </w:r>
      <w:r w:rsidR="003B3F23">
        <w:rPr>
          <w:rFonts w:cs="Arial"/>
          <w:b/>
        </w:rPr>
        <w:t>Monthly</w:t>
      </w:r>
      <w:r w:rsidRPr="002D2A8F">
        <w:rPr>
          <w:rFonts w:cs="Arial"/>
          <w:b/>
        </w:rPr>
        <w:t xml:space="preserve"> Reports.</w:t>
      </w:r>
    </w:p>
    <w:p w:rsidRPr="002D2A8F" w:rsidR="00977392" w:rsidP="002D54C4" w:rsidRDefault="001E5458" w14:paraId="0832BE11" w14:textId="2F9A5168">
      <w:pPr>
        <w:pStyle w:val="zGNormal"/>
      </w:pPr>
      <w:r w:rsidRPr="002D2A8F">
        <w:t xml:space="preserve"> </w:t>
      </w:r>
      <w:r w:rsidRPr="002D2A8F" w:rsidR="00ED1E4E">
        <w:t xml:space="preserve">Until </w:t>
      </w:r>
      <w:r w:rsidRPr="002D2A8F" w:rsidR="00A4748D">
        <w:t>COD</w:t>
      </w:r>
      <w:r w:rsidRPr="002D2A8F" w:rsidR="00ED1E4E">
        <w:t xml:space="preserve">, </w:t>
      </w:r>
      <w:r w:rsidRPr="002D2A8F" w:rsidR="002D54C4">
        <w:t xml:space="preserve">Seller must </w:t>
      </w:r>
      <w:r w:rsidRPr="002D2A8F" w:rsidR="00ED1E4E">
        <w:t xml:space="preserve"> submit to GPC a </w:t>
      </w:r>
      <w:r w:rsidRPr="002D2A8F" w:rsidR="00F42840">
        <w:t>M</w:t>
      </w:r>
      <w:r w:rsidRPr="002D2A8F" w:rsidR="00FD789B">
        <w:t>onthly</w:t>
      </w:r>
      <w:r w:rsidRPr="002D2A8F" w:rsidR="00A460A7">
        <w:t xml:space="preserve"> </w:t>
      </w:r>
      <w:r w:rsidRPr="002D2A8F" w:rsidR="00ED1E4E">
        <w:t>written status report that</w:t>
      </w:r>
      <w:r w:rsidRPr="002D2A8F" w:rsidR="00A9461D">
        <w:t>:</w:t>
      </w:r>
      <w:r w:rsidRPr="002D2A8F" w:rsidR="00ED1E4E">
        <w:t xml:space="preserve"> (i) covers the previous Month; (ii) is prepared in a manner and format (hard copy and electronic) </w:t>
      </w:r>
      <w:r w:rsidR="00D60A0A">
        <w:t xml:space="preserve">reasonably </w:t>
      </w:r>
      <w:r w:rsidRPr="002D2A8F" w:rsidR="00ED1E4E">
        <w:t xml:space="preserve">acceptable to GPC; and (iii) includes a detailed </w:t>
      </w:r>
      <w:r w:rsidRPr="002D2A8F" w:rsidR="00904E6D">
        <w:t>summary of (a)</w:t>
      </w:r>
      <w:r w:rsidRPr="002D2A8F" w:rsidR="00ED1E4E">
        <w:t xml:space="preserve"> </w:t>
      </w:r>
      <w:r w:rsidRPr="002D2A8F" w:rsidR="006D720F">
        <w:t>Seller’s</w:t>
      </w:r>
      <w:r w:rsidRPr="002D2A8F" w:rsidR="00ED1E4E">
        <w:t xml:space="preserve"> progress </w:t>
      </w:r>
      <w:r w:rsidRPr="002D2A8F" w:rsidR="006D720F">
        <w:t xml:space="preserve">toward each </w:t>
      </w:r>
      <w:r w:rsidRPr="002D2A8F" w:rsidR="00ED1E4E">
        <w:t xml:space="preserve">of the </w:t>
      </w:r>
      <w:r w:rsidRPr="002D2A8F" w:rsidR="006D720F">
        <w:t>Key Milestones</w:t>
      </w:r>
      <w:r w:rsidRPr="002D2A8F" w:rsidR="00BC5EF1">
        <w:t xml:space="preserve"> and</w:t>
      </w:r>
      <w:r w:rsidRPr="002D2A8F" w:rsidR="00ED1E4E">
        <w:t xml:space="preserve"> the Facility’s </w:t>
      </w:r>
      <w:r w:rsidRPr="002D2A8F" w:rsidR="000B0DB6">
        <w:t xml:space="preserve">development and </w:t>
      </w:r>
      <w:r w:rsidRPr="002D2A8F" w:rsidR="00ED1E4E">
        <w:t xml:space="preserve">construction, </w:t>
      </w:r>
      <w:r w:rsidRPr="002D2A8F" w:rsidR="008D227D">
        <w:t>(b)</w:t>
      </w:r>
      <w:r w:rsidRPr="002D2A8F" w:rsidR="00ED1E4E">
        <w:t xml:space="preserve"> Seller’s adherence to the Milestone Schedule, </w:t>
      </w:r>
      <w:r w:rsidRPr="002D2A8F" w:rsidR="00E61303">
        <w:t xml:space="preserve">(c) </w:t>
      </w:r>
      <w:r w:rsidRPr="002D2A8F" w:rsidR="00ED1E4E">
        <w:t xml:space="preserve">any significant event </w:t>
      </w:r>
      <w:r w:rsidRPr="002D2A8F" w:rsidR="00F75C28">
        <w:t>that</w:t>
      </w:r>
      <w:r w:rsidRPr="002D2A8F" w:rsidR="00ED1E4E">
        <w:t xml:space="preserve"> </w:t>
      </w:r>
      <w:r w:rsidRPr="002D2A8F" w:rsidR="00E61303">
        <w:t>is</w:t>
      </w:r>
      <w:r w:rsidRPr="002D2A8F" w:rsidR="00ED1E4E">
        <w:t xml:space="preserve"> scheduled or expected to occur during the following 30 </w:t>
      </w:r>
      <w:r w:rsidRPr="002D2A8F" w:rsidR="00E61303">
        <w:t>D</w:t>
      </w:r>
      <w:r w:rsidRPr="002D2A8F" w:rsidR="00ED1E4E">
        <w:t xml:space="preserve">ays, and </w:t>
      </w:r>
      <w:r w:rsidRPr="002D2A8F" w:rsidR="00E61303">
        <w:t>(d)</w:t>
      </w:r>
      <w:r w:rsidRPr="002D2A8F" w:rsidR="00ED1E4E">
        <w:t xml:space="preserve"> any other information </w:t>
      </w:r>
      <w:r w:rsidR="00394066">
        <w:t xml:space="preserve">reasonably </w:t>
      </w:r>
      <w:r w:rsidRPr="002D2A8F" w:rsidR="00ED1E4E">
        <w:t xml:space="preserve">requested by </w:t>
      </w:r>
      <w:r w:rsidRPr="002D2A8F" w:rsidR="00F75C28">
        <w:t>GPC</w:t>
      </w:r>
      <w:r w:rsidRPr="002D2A8F" w:rsidR="00ED1E4E">
        <w:t>.</w:t>
      </w:r>
      <w:r w:rsidRPr="002D2A8F" w:rsidR="00E61303">
        <w:t xml:space="preserve"> Seller must promptly </w:t>
      </w:r>
      <w:r w:rsidRPr="002D2A8F" w:rsidR="002D54C4">
        <w:t xml:space="preserve">notify GPC of any significant change in the Milestone Schedule </w:t>
      </w:r>
      <w:r w:rsidRPr="002D2A8F" w:rsidR="00F249AE">
        <w:t>that may delay Commercial Operation</w:t>
      </w:r>
      <w:r w:rsidRPr="002D2A8F" w:rsidR="002D54C4">
        <w:t xml:space="preserve"> </w:t>
      </w:r>
      <w:r w:rsidRPr="002D2A8F" w:rsidR="00F249AE">
        <w:t xml:space="preserve">or </w:t>
      </w:r>
      <w:r w:rsidRPr="002D2A8F" w:rsidR="002D54C4">
        <w:t xml:space="preserve">the status of construction as may occur from time to time (including the reason for the change). </w:t>
      </w:r>
    </w:p>
    <w:p w:rsidRPr="002D2A8F" w:rsidR="00977392" w:rsidP="00BB7345" w:rsidRDefault="00977392" w14:paraId="525FE3C6" w14:textId="1F919EED">
      <w:pPr>
        <w:pStyle w:val="zGTC03"/>
        <w:rPr>
          <w:rFonts w:cs="Arial"/>
          <w:b/>
          <w:vanish/>
          <w:specVanish/>
        </w:rPr>
      </w:pPr>
      <w:r w:rsidRPr="002D2A8F">
        <w:rPr>
          <w:rFonts w:cs="Arial"/>
          <w:b/>
        </w:rPr>
        <w:t>Recovery Plan</w:t>
      </w:r>
      <w:r w:rsidRPr="002D2A8F" w:rsidR="00C37E40">
        <w:rPr>
          <w:rFonts w:cs="Arial"/>
          <w:b/>
        </w:rPr>
        <w:t>.</w:t>
      </w:r>
    </w:p>
    <w:p w:rsidRPr="002D2A8F" w:rsidR="002D54C4" w:rsidP="002D54C4" w:rsidRDefault="002D54C4" w14:paraId="2E08853B" w14:textId="3305E65B">
      <w:pPr>
        <w:pStyle w:val="zGNormal"/>
      </w:pPr>
      <w:r w:rsidRPr="002D2A8F">
        <w:t xml:space="preserve"> Promptly</w:t>
      </w:r>
      <w:r w:rsidR="00A50B13">
        <w:t>,</w:t>
      </w:r>
      <w:r w:rsidRPr="002D2A8F">
        <w:t xml:space="preserve"> </w:t>
      </w:r>
      <w:r w:rsidR="00D47AFE">
        <w:t>but</w:t>
      </w:r>
      <w:r w:rsidR="00A50B13">
        <w:t xml:space="preserve"> no</w:t>
      </w:r>
      <w:r w:rsidR="00F4183F">
        <w:t xml:space="preserve"> later than 10 </w:t>
      </w:r>
      <w:r w:rsidR="00E92AC1">
        <w:t xml:space="preserve">Business </w:t>
      </w:r>
      <w:r w:rsidR="00F4183F">
        <w:t>Days</w:t>
      </w:r>
      <w:r w:rsidR="001D185D">
        <w:t>,</w:t>
      </w:r>
      <w:r w:rsidRPr="002D2A8F" w:rsidR="00F4183F">
        <w:t xml:space="preserve"> </w:t>
      </w:r>
      <w:r w:rsidRPr="002D2A8F">
        <w:t xml:space="preserve">after becoming aware of </w:t>
      </w:r>
      <w:r w:rsidRPr="002D2A8F" w:rsidR="007355D4">
        <w:t>any</w:t>
      </w:r>
      <w:r w:rsidRPr="002D2A8F">
        <w:t xml:space="preserve"> event or circumstance that </w:t>
      </w:r>
      <w:r w:rsidR="00E92AC1">
        <w:t>is</w:t>
      </w:r>
      <w:r w:rsidRPr="002D2A8F" w:rsidR="00E92AC1">
        <w:t xml:space="preserve"> </w:t>
      </w:r>
      <w:r w:rsidRPr="002D2A8F">
        <w:t xml:space="preserve">reasonably expected to cause a delay in achieving </w:t>
      </w:r>
      <w:r w:rsidRPr="002D2A8F" w:rsidR="001E57A8">
        <w:t xml:space="preserve">any Key Milestone by </w:t>
      </w:r>
      <w:r w:rsidRPr="002D2A8F" w:rsidR="006762D3">
        <w:t xml:space="preserve">its </w:t>
      </w:r>
      <w:r w:rsidRPr="002D2A8F" w:rsidR="001E57A8">
        <w:t>Key Milestone Date</w:t>
      </w:r>
      <w:r w:rsidRPr="002D2A8F">
        <w:t xml:space="preserve">, Seller must provide to GPC </w:t>
      </w:r>
      <w:bookmarkStart w:name="_Hlk206618752" w:id="208"/>
      <w:r w:rsidR="00C93F12">
        <w:t xml:space="preserve">for GPC’s review and approval </w:t>
      </w:r>
      <w:bookmarkEnd w:id="208"/>
      <w:r w:rsidRPr="002D2A8F">
        <w:t>a recovery plan setting forth in detail and with supporting documentation: (i) the cause</w:t>
      </w:r>
      <w:r w:rsidRPr="002D2A8F" w:rsidR="00F413DD">
        <w:t>(</w:t>
      </w:r>
      <w:r w:rsidRPr="002D2A8F">
        <w:t>s</w:t>
      </w:r>
      <w:r w:rsidRPr="002D2A8F" w:rsidR="00F413DD">
        <w:t>)</w:t>
      </w:r>
      <w:r w:rsidRPr="002D2A8F">
        <w:t xml:space="preserve"> of the event or circumstance and the expected </w:t>
      </w:r>
      <w:r w:rsidR="0035608B">
        <w:t xml:space="preserve">length of </w:t>
      </w:r>
      <w:r w:rsidRPr="002D2A8F">
        <w:t xml:space="preserve">delay; and (ii) Seller’s plan to recover the lost time and </w:t>
      </w:r>
      <w:r w:rsidRPr="002D2A8F" w:rsidR="00CD6FDB">
        <w:t>regain compliance with the Milestone Schedule</w:t>
      </w:r>
      <w:r w:rsidRPr="002D2A8F">
        <w:t xml:space="preserve"> </w:t>
      </w:r>
      <w:r w:rsidRPr="002D2A8F" w:rsidR="0051573E">
        <w:t xml:space="preserve">to </w:t>
      </w:r>
      <w:r w:rsidRPr="002D2A8F">
        <w:t xml:space="preserve">achieve Commercial Operation by the RCOD, </w:t>
      </w:r>
      <w:r w:rsidR="009C0EFE">
        <w:t>or</w:t>
      </w:r>
      <w:r w:rsidRPr="002D2A8F" w:rsidR="009C0EFE">
        <w:t xml:space="preserve"> </w:t>
      </w:r>
      <w:r w:rsidRPr="002D2A8F">
        <w:t xml:space="preserve">if not by the RCOD, then by no later than nine Months after the RCOD. </w:t>
      </w:r>
      <w:r w:rsidR="00AA7D0F">
        <w:t>GPC’s</w:t>
      </w:r>
      <w:r w:rsidR="00B56162">
        <w:t xml:space="preserve"> right to</w:t>
      </w:r>
      <w:r w:rsidR="00AA7D0F">
        <w:t xml:space="preserve"> approv</w:t>
      </w:r>
      <w:r w:rsidR="00B56162">
        <w:t>e</w:t>
      </w:r>
      <w:r w:rsidR="00AA7D0F">
        <w:t xml:space="preserve"> </w:t>
      </w:r>
      <w:r w:rsidR="009B5B6D">
        <w:t>Seller’s</w:t>
      </w:r>
      <w:r w:rsidR="009660DB">
        <w:t xml:space="preserve"> recovery plan</w:t>
      </w:r>
      <w:r w:rsidR="00E06A77">
        <w:t xml:space="preserve"> </w:t>
      </w:r>
      <w:r w:rsidR="000B1DC5">
        <w:t>is</w:t>
      </w:r>
      <w:r w:rsidR="009660DB">
        <w:t xml:space="preserve"> limited</w:t>
      </w:r>
      <w:r w:rsidR="00E06A77">
        <w:t xml:space="preserve"> s</w:t>
      </w:r>
      <w:r w:rsidR="0087663C">
        <w:t xml:space="preserve">olely to </w:t>
      </w:r>
      <w:r w:rsidR="009660DB">
        <w:t xml:space="preserve">determining </w:t>
      </w:r>
      <w:r w:rsidR="009F134E">
        <w:t>if</w:t>
      </w:r>
      <w:r w:rsidR="0087663C">
        <w:t xml:space="preserve"> the recovery plan</w:t>
      </w:r>
      <w:r w:rsidR="009660DB">
        <w:t xml:space="preserve"> </w:t>
      </w:r>
      <w:r w:rsidR="009C0EFE">
        <w:t>demonstrates</w:t>
      </w:r>
      <w:r w:rsidR="00584B28">
        <w:t xml:space="preserve"> with sufficient particularity</w:t>
      </w:r>
      <w:r w:rsidR="009C0EFE">
        <w:t xml:space="preserve"> </w:t>
      </w:r>
      <w:r w:rsidR="006B25B0">
        <w:t>that Seller will</w:t>
      </w:r>
      <w:r w:rsidR="0087663C">
        <w:t xml:space="preserve"> regain compliance with the Milestone Schedule </w:t>
      </w:r>
      <w:r w:rsidR="00CE096D">
        <w:t>and</w:t>
      </w:r>
      <w:r w:rsidR="00D71F81">
        <w:t xml:space="preserve"> achieve Commercial Operation by the RCOD </w:t>
      </w:r>
      <w:r w:rsidR="006B25B0">
        <w:t>or</w:t>
      </w:r>
      <w:r w:rsidR="00E07237">
        <w:t>,</w:t>
      </w:r>
      <w:r w:rsidR="00D71F81">
        <w:t xml:space="preserve"> if not by the RCOD, then by no later than nine Months after the RCOD</w:t>
      </w:r>
      <w:r w:rsidR="009C0EFE">
        <w:t>,</w:t>
      </w:r>
      <w:r w:rsidR="00DB57BC">
        <w:t xml:space="preserve"> </w:t>
      </w:r>
      <w:r w:rsidR="00D84BE9">
        <w:t xml:space="preserve">and </w:t>
      </w:r>
      <w:r w:rsidR="00CE096D">
        <w:t>these</w:t>
      </w:r>
      <w:r w:rsidR="00D91B97">
        <w:t xml:space="preserve"> approval rights </w:t>
      </w:r>
      <w:r w:rsidR="00DB57BC">
        <w:t xml:space="preserve">do not extend to the general mode, manner, or cost </w:t>
      </w:r>
      <w:r w:rsidR="00CD0FD0">
        <w:t xml:space="preserve">of Seller’s </w:t>
      </w:r>
      <w:r w:rsidR="00D25F81">
        <w:t xml:space="preserve">performance of </w:t>
      </w:r>
      <w:r w:rsidR="0075506C">
        <w:t>the</w:t>
      </w:r>
      <w:r w:rsidR="00D25F81">
        <w:t xml:space="preserve"> recovery plan</w:t>
      </w:r>
      <w:r w:rsidR="00CD0FD0">
        <w:t>.</w:t>
      </w:r>
      <w:r w:rsidR="00D71F81">
        <w:t xml:space="preserve"> </w:t>
      </w:r>
      <w:r w:rsidR="00867B3C">
        <w:t>If</w:t>
      </w:r>
      <w:r w:rsidR="00C8176B">
        <w:t xml:space="preserve"> GPC </w:t>
      </w:r>
      <w:r w:rsidR="00944071">
        <w:t>does not approve Seller’s recovery plan</w:t>
      </w:r>
      <w:r w:rsidR="00584B28">
        <w:t>,</w:t>
      </w:r>
      <w:r w:rsidR="00497909">
        <w:t xml:space="preserve"> </w:t>
      </w:r>
      <w:r w:rsidR="00B315B4">
        <w:t xml:space="preserve">GPC will </w:t>
      </w:r>
      <w:r w:rsidR="003462D3">
        <w:t>notify Seller of the specific deficiencies in the recovery plan</w:t>
      </w:r>
      <w:r w:rsidR="00B315B4">
        <w:t xml:space="preserve"> </w:t>
      </w:r>
      <w:r w:rsidR="003462D3">
        <w:t>by</w:t>
      </w:r>
      <w:r w:rsidR="00B315B4">
        <w:t xml:space="preserve"> no later than 10 Days after </w:t>
      </w:r>
      <w:r w:rsidR="003462D3">
        <w:t xml:space="preserve">GPC’s </w:t>
      </w:r>
      <w:r w:rsidR="0075506C">
        <w:t>receipt of</w:t>
      </w:r>
      <w:r w:rsidR="0009684E">
        <w:t xml:space="preserve"> the recovery plan</w:t>
      </w:r>
      <w:r w:rsidR="00816F69">
        <w:t xml:space="preserve">. </w:t>
      </w:r>
      <w:r w:rsidR="00556CEC">
        <w:t>By</w:t>
      </w:r>
      <w:r w:rsidR="002742DE">
        <w:t xml:space="preserve"> </w:t>
      </w:r>
      <w:r w:rsidR="000D789A">
        <w:t xml:space="preserve">no later than 10 Days after </w:t>
      </w:r>
      <w:r w:rsidR="00346B68">
        <w:t>receipt of GPC’s</w:t>
      </w:r>
      <w:r w:rsidDel="00346B68" w:rsidR="000D789A">
        <w:t xml:space="preserve"> </w:t>
      </w:r>
      <w:r w:rsidR="00556CEC">
        <w:t>rejection</w:t>
      </w:r>
      <w:r w:rsidR="000D789A">
        <w:t>,</w:t>
      </w:r>
      <w:r w:rsidR="00556CEC">
        <w:t xml:space="preserve"> Seller must</w:t>
      </w:r>
      <w:r w:rsidR="00D35E9C">
        <w:t xml:space="preserve"> revise the recovery plan </w:t>
      </w:r>
      <w:r w:rsidR="004B6051">
        <w:t xml:space="preserve">to </w:t>
      </w:r>
      <w:r w:rsidR="00346B68">
        <w:t>address</w:t>
      </w:r>
      <w:r w:rsidR="00F14749">
        <w:t xml:space="preserve"> the </w:t>
      </w:r>
      <w:r w:rsidR="001F5F76">
        <w:t>deficiencies</w:t>
      </w:r>
      <w:r w:rsidR="00F14749">
        <w:t xml:space="preserve"> stated in</w:t>
      </w:r>
      <w:r w:rsidR="00346B68">
        <w:t xml:space="preserve"> </w:t>
      </w:r>
      <w:r w:rsidR="004B6051">
        <w:t xml:space="preserve">GPC’s </w:t>
      </w:r>
      <w:r w:rsidR="00F14749">
        <w:t>notice</w:t>
      </w:r>
      <w:r w:rsidR="004B6051">
        <w:t xml:space="preserve"> and resubmit the recovery plan to GPC</w:t>
      </w:r>
      <w:r w:rsidR="007E6C0C">
        <w:t xml:space="preserve">. </w:t>
      </w:r>
      <w:r w:rsidR="001B5317">
        <w:t>N</w:t>
      </w:r>
      <w:r w:rsidRPr="002D2A8F">
        <w:t xml:space="preserve">othing in this </w:t>
      </w:r>
      <w:r w:rsidRPr="00534192">
        <w:t xml:space="preserve">Section </w:t>
      </w:r>
      <w:r w:rsidRPr="00534192" w:rsidR="00FA4730">
        <w:t>7</w:t>
      </w:r>
      <w:r w:rsidRPr="00534192">
        <w:t>.</w:t>
      </w:r>
      <w:r w:rsidRPr="00534192" w:rsidR="00A67B8D">
        <w:t>2.2</w:t>
      </w:r>
      <w:r w:rsidRPr="002D2A8F">
        <w:t xml:space="preserve"> will be construed to relieve Seller of any of its PPA obligations.</w:t>
      </w:r>
      <w:r w:rsidR="00D8511C">
        <w:t xml:space="preserve"> </w:t>
      </w:r>
      <w:r w:rsidR="00D8511C">
        <w:rPr>
          <w:bCs/>
        </w:rPr>
        <w:t xml:space="preserve">The delivery of </w:t>
      </w:r>
      <w:r w:rsidR="00005066">
        <w:rPr>
          <w:bCs/>
        </w:rPr>
        <w:t xml:space="preserve">a </w:t>
      </w:r>
      <w:r w:rsidR="00D8511C">
        <w:rPr>
          <w:bCs/>
        </w:rPr>
        <w:t>recovery plan meeting GPC’s approval</w:t>
      </w:r>
      <w:r w:rsidR="00C85151">
        <w:rPr>
          <w:bCs/>
        </w:rPr>
        <w:t xml:space="preserve"> as outlined in this Section 7.2.2 (</w:t>
      </w:r>
      <w:r w:rsidRPr="00C85151" w:rsidR="00C85151">
        <w:rPr>
          <w:bCs/>
          <w:i/>
          <w:iCs/>
        </w:rPr>
        <w:t>Recovery Plan</w:t>
      </w:r>
      <w:r w:rsidR="00C85151">
        <w:rPr>
          <w:bCs/>
        </w:rPr>
        <w:t>)</w:t>
      </w:r>
      <w:r w:rsidR="00D8511C">
        <w:rPr>
          <w:bCs/>
        </w:rPr>
        <w:t xml:space="preserve"> will satisfy Seller’s obligation with respect to any delay in achieving a Key Milestone, except for a delay in achieving </w:t>
      </w:r>
      <w:r w:rsidR="00D8511C">
        <w:rPr>
          <w:bCs/>
        </w:rPr>
        <w:lastRenderedPageBreak/>
        <w:t>Commercial Operation</w:t>
      </w:r>
      <w:r w:rsidR="00D150F1">
        <w:rPr>
          <w:bCs/>
        </w:rPr>
        <w:t xml:space="preserve"> as set forth in Section 7.3 (</w:t>
      </w:r>
      <w:r w:rsidRPr="00D150F1" w:rsidR="00D150F1">
        <w:rPr>
          <w:bCs/>
          <w:i/>
          <w:iCs/>
        </w:rPr>
        <w:t>Failure to Achieve Commercial Operation by RCOD</w:t>
      </w:r>
      <w:r w:rsidR="00D150F1">
        <w:rPr>
          <w:bCs/>
        </w:rPr>
        <w:t>)</w:t>
      </w:r>
      <w:r w:rsidR="003A3430">
        <w:rPr>
          <w:bCs/>
        </w:rPr>
        <w:t xml:space="preserve"> or any delay</w:t>
      </w:r>
      <w:r w:rsidR="006E66F2">
        <w:rPr>
          <w:bCs/>
        </w:rPr>
        <w:t xml:space="preserve"> caused by a</w:t>
      </w:r>
      <w:r w:rsidR="002C25B0">
        <w:rPr>
          <w:bCs/>
        </w:rPr>
        <w:t>n</w:t>
      </w:r>
      <w:r w:rsidR="006E66F2">
        <w:rPr>
          <w:bCs/>
        </w:rPr>
        <w:t xml:space="preserve"> FME</w:t>
      </w:r>
      <w:r w:rsidR="00D150F1">
        <w:rPr>
          <w:bCs/>
        </w:rPr>
        <w:t xml:space="preserve"> as set forth in Part 15 (</w:t>
      </w:r>
      <w:r w:rsidRPr="00D150F1" w:rsidR="00D150F1">
        <w:rPr>
          <w:bCs/>
          <w:i/>
          <w:iCs/>
        </w:rPr>
        <w:t>Force Majeure</w:t>
      </w:r>
      <w:r w:rsidR="00D150F1">
        <w:rPr>
          <w:bCs/>
        </w:rPr>
        <w:t>)</w:t>
      </w:r>
      <w:r w:rsidR="00E54316">
        <w:rPr>
          <w:bCs/>
        </w:rPr>
        <w:t>.</w:t>
      </w:r>
    </w:p>
    <w:p w:rsidRPr="002D2A8F" w:rsidR="002D54C4" w:rsidP="008759EF" w:rsidRDefault="002D54C4" w14:paraId="17EBE341" w14:textId="77777777">
      <w:pPr>
        <w:pStyle w:val="zGTC03"/>
        <w:rPr>
          <w:rFonts w:cs="Arial"/>
          <w:b/>
          <w:vanish/>
          <w:specVanish/>
        </w:rPr>
      </w:pPr>
      <w:r w:rsidRPr="002D2A8F">
        <w:rPr>
          <w:rFonts w:cs="Arial"/>
          <w:b/>
        </w:rPr>
        <w:t>Requested Information and Physical Inspections.</w:t>
      </w:r>
    </w:p>
    <w:p w:rsidRPr="002D2A8F" w:rsidR="002D54C4" w:rsidP="002D54C4" w:rsidRDefault="002D54C4" w14:paraId="4F79FEA4" w14:textId="5F9B26F5">
      <w:pPr>
        <w:pStyle w:val="zGNormal"/>
      </w:pPr>
      <w:r w:rsidRPr="002D2A8F">
        <w:rPr>
          <w:b/>
        </w:rPr>
        <w:t xml:space="preserve"> </w:t>
      </w:r>
      <w:r w:rsidRPr="002D2A8F">
        <w:t>GPC</w:t>
      </w:r>
      <w:r w:rsidRPr="002D2A8F" w:rsidDel="001E238F">
        <w:t xml:space="preserve"> </w:t>
      </w:r>
      <w:r w:rsidR="00EA252E">
        <w:t>may</w:t>
      </w:r>
      <w:r w:rsidRPr="002D2A8F">
        <w:t xml:space="preserve"> reasonably request information regarding the status of the Facility and inspect the Facility’s construction, startup, and testing. Seller must provide, or cause to be provided, to GPC the requested information. Additionally, Seller must coordinate physical inspection of the Facility as GPC may reasonably request during or after completion of construction. GPC</w:t>
      </w:r>
      <w:r w:rsidRPr="002D2A8F" w:rsidDel="001E238F">
        <w:t xml:space="preserve"> </w:t>
      </w:r>
      <w:r w:rsidRPr="002D2A8F">
        <w:t>will provide Seller reasonable prior notice regarding an inspection. All GPC</w:t>
      </w:r>
      <w:r w:rsidR="007E5072">
        <w:t xml:space="preserve"> or </w:t>
      </w:r>
      <w:r w:rsidRPr="002D2A8F">
        <w:t>GPC</w:t>
      </w:r>
      <w:r w:rsidR="00511352">
        <w:t>-</w:t>
      </w:r>
      <w:r w:rsidRPr="002D2A8F">
        <w:t xml:space="preserve"> </w:t>
      </w:r>
      <w:r w:rsidR="00F050BA">
        <w:t>Representative</w:t>
      </w:r>
      <w:r w:rsidRPr="002D2A8F">
        <w:t xml:space="preserve"> activities at the Site will be subject to Seller’s </w:t>
      </w:r>
      <w:r w:rsidR="004450AC">
        <w:t xml:space="preserve">reasonable </w:t>
      </w:r>
      <w:r w:rsidRPr="002D2A8F">
        <w:t>rules and procedures (including those related to health and safety).</w:t>
      </w:r>
    </w:p>
    <w:p w:rsidRPr="002D2A8F" w:rsidR="002D54C4" w:rsidP="002D54C4" w:rsidRDefault="002D54C4" w14:paraId="10B9448C" w14:textId="76C6E741">
      <w:pPr>
        <w:pStyle w:val="zGTC02"/>
        <w:rPr>
          <w:rFonts w:ascii="Arial" w:hAnsi="Arial" w:cs="Arial"/>
          <w:specVanish/>
        </w:rPr>
      </w:pPr>
      <w:bookmarkStart w:name="_Toc169778606" w:id="209"/>
      <w:bookmarkStart w:name="_Toc227451373" w:id="210"/>
      <w:r w:rsidRPr="002D2A8F">
        <w:rPr>
          <w:rFonts w:ascii="Arial" w:hAnsi="Arial" w:cs="Arial"/>
        </w:rPr>
        <w:t>Failure to Achieve Commercial Operation by RCOD.</w:t>
      </w:r>
      <w:bookmarkStart w:name="_Toc158593206" w:id="211"/>
      <w:bookmarkStart w:name="_Toc158597485" w:id="212"/>
      <w:bookmarkStart w:name="_Toc158720109" w:id="213"/>
      <w:bookmarkStart w:name="_Toc158722863" w:id="214"/>
      <w:bookmarkEnd w:id="209"/>
      <w:bookmarkEnd w:id="210"/>
      <w:bookmarkEnd w:id="211"/>
      <w:bookmarkEnd w:id="212"/>
      <w:bookmarkEnd w:id="213"/>
      <w:bookmarkEnd w:id="214"/>
    </w:p>
    <w:p w:rsidRPr="002D2A8F" w:rsidR="002D54C4" w:rsidP="008759EF" w:rsidRDefault="002D54C4" w14:paraId="2E877824" w14:textId="4A539ECA">
      <w:pPr>
        <w:pStyle w:val="zGTC03"/>
        <w:rPr>
          <w:rFonts w:cs="Arial"/>
          <w:b/>
          <w:vanish/>
          <w:w w:val="0"/>
          <w:specVanish/>
        </w:rPr>
      </w:pPr>
      <w:r w:rsidRPr="002D2A8F">
        <w:rPr>
          <w:rFonts w:cs="Arial"/>
          <w:b/>
          <w:w w:val="0"/>
        </w:rPr>
        <w:t>Delay Liquidated Damages.</w:t>
      </w:r>
    </w:p>
    <w:p w:rsidRPr="002D2A8F" w:rsidR="003317D2" w:rsidP="00143898" w:rsidRDefault="002D54C4" w14:paraId="0E47D7DF" w14:textId="325B443E">
      <w:pPr>
        <w:pStyle w:val="zGNormal"/>
        <w:rPr>
          <w:w w:val="0"/>
        </w:rPr>
      </w:pPr>
      <w:r w:rsidRPr="002D2A8F">
        <w:rPr>
          <w:w w:val="0"/>
        </w:rPr>
        <w:t xml:space="preserve"> If Seller fails to </w:t>
      </w:r>
      <w:bookmarkStart w:name="_Hlk16781251" w:id="215"/>
      <w:r w:rsidRPr="002D2A8F">
        <w:rPr>
          <w:w w:val="0"/>
        </w:rPr>
        <w:t>achieve Commercial Operation by the RCOD</w:t>
      </w:r>
      <w:bookmarkEnd w:id="215"/>
      <w:r w:rsidRPr="002D2A8F">
        <w:rPr>
          <w:w w:val="0"/>
        </w:rPr>
        <w:t xml:space="preserve">, Seller must pay to </w:t>
      </w:r>
      <w:r w:rsidRPr="002D2A8F">
        <w:t>GPC</w:t>
      </w:r>
      <w:r w:rsidRPr="002D2A8F">
        <w:rPr>
          <w:w w:val="0"/>
        </w:rPr>
        <w:t xml:space="preserve"> delay liquidated damages calculated in accordance with </w:t>
      </w:r>
      <w:r w:rsidR="00870D38">
        <w:rPr>
          <w:w w:val="0"/>
        </w:rPr>
        <w:t>Part 2</w:t>
      </w:r>
      <w:r w:rsidRPr="002D2A8F">
        <w:rPr>
          <w:w w:val="0"/>
        </w:rPr>
        <w:t xml:space="preserve"> </w:t>
      </w:r>
      <w:r w:rsidR="00870D38">
        <w:rPr>
          <w:w w:val="0"/>
        </w:rPr>
        <w:t>(</w:t>
      </w:r>
      <w:r w:rsidRPr="002D2A8F">
        <w:rPr>
          <w:i/>
          <w:w w:val="0"/>
        </w:rPr>
        <w:t>Liquidated Damages</w:t>
      </w:r>
      <w:r w:rsidR="00870D38">
        <w:rPr>
          <w:i/>
          <w:w w:val="0"/>
        </w:rPr>
        <w:t>)</w:t>
      </w:r>
      <w:r w:rsidRPr="002D2A8F">
        <w:rPr>
          <w:i/>
          <w:w w:val="0"/>
        </w:rPr>
        <w:t xml:space="preserve"> </w:t>
      </w:r>
      <w:r w:rsidR="00870D38">
        <w:rPr>
          <w:w w:val="0"/>
        </w:rPr>
        <w:t>of</w:t>
      </w:r>
      <w:r w:rsidR="001305B2">
        <w:rPr>
          <w:w w:val="0"/>
        </w:rPr>
        <w:t xml:space="preserve"> </w:t>
      </w:r>
      <w:r w:rsidRPr="00534192" w:rsidR="001305B2">
        <w:rPr>
          <w:w w:val="0"/>
        </w:rPr>
        <w:t>Exhibit A-2 (</w:t>
      </w:r>
      <w:r w:rsidRPr="00534192" w:rsidR="001305B2">
        <w:rPr>
          <w:i/>
          <w:w w:val="0"/>
        </w:rPr>
        <w:t>Performance Security and L</w:t>
      </w:r>
      <w:r w:rsidRPr="00534192" w:rsidR="0012217D">
        <w:rPr>
          <w:i/>
          <w:w w:val="0"/>
        </w:rPr>
        <w:t>iquidated Damages</w:t>
      </w:r>
      <w:r w:rsidRPr="00534192" w:rsidR="0012217D">
        <w:rPr>
          <w:w w:val="0"/>
        </w:rPr>
        <w:t>)</w:t>
      </w:r>
      <w:r w:rsidRPr="002D2A8F">
        <w:rPr>
          <w:w w:val="0"/>
        </w:rPr>
        <w:t xml:space="preserve">, prorated daily, until the earlier of: (i) </w:t>
      </w:r>
      <w:r w:rsidRPr="002D2A8F" w:rsidR="00A4748D">
        <w:rPr>
          <w:w w:val="0"/>
        </w:rPr>
        <w:t>COD</w:t>
      </w:r>
      <w:r w:rsidRPr="002D2A8F">
        <w:rPr>
          <w:w w:val="0"/>
        </w:rPr>
        <w:t xml:space="preserve">; (ii) the Day GPC receives notice from Seller that Commercial Operation will not be achieved; or (iii) </w:t>
      </w:r>
      <w:r w:rsidR="005B7C34">
        <w:rPr>
          <w:w w:val="0"/>
        </w:rPr>
        <w:t xml:space="preserve"> termination of this PPA for an Event of Default by Seller</w:t>
      </w:r>
      <w:r w:rsidR="00196200">
        <w:rPr>
          <w:w w:val="0"/>
        </w:rPr>
        <w:t>.</w:t>
      </w:r>
    </w:p>
    <w:p w:rsidRPr="002D2A8F" w:rsidR="002D54C4" w:rsidP="00182B34" w:rsidRDefault="002D54C4" w14:paraId="026BE862" w14:textId="385CE99D">
      <w:pPr>
        <w:pStyle w:val="zGTC03"/>
        <w:spacing w:after="120"/>
        <w:rPr>
          <w:rFonts w:cs="Arial"/>
          <w:b/>
          <w:vanish/>
          <w:specVanish/>
        </w:rPr>
      </w:pPr>
      <w:r w:rsidRPr="002D2A8F">
        <w:rPr>
          <w:rFonts w:cs="Arial"/>
          <w:b/>
        </w:rPr>
        <w:t xml:space="preserve">No </w:t>
      </w:r>
      <w:r w:rsidRPr="002D2A8F">
        <w:rPr>
          <w:rFonts w:cs="Arial"/>
          <w:b/>
          <w:w w:val="0"/>
        </w:rPr>
        <w:t>Payment to Seller during Delay.</w:t>
      </w:r>
    </w:p>
    <w:p w:rsidRPr="002D2A8F" w:rsidR="002D54C4" w:rsidP="00182B34" w:rsidRDefault="002D54C4" w14:paraId="00BE9A99" w14:textId="77777777">
      <w:pPr>
        <w:pStyle w:val="zGNormal"/>
        <w:spacing w:before="120" w:after="120"/>
        <w:rPr>
          <w:w w:val="0"/>
        </w:rPr>
      </w:pPr>
      <w:r w:rsidRPr="002D2A8F">
        <w:rPr>
          <w:w w:val="0"/>
        </w:rPr>
        <w:t xml:space="preserve"> GPC will not owe any Monthly Capacity Payment to Seller during any period of delay in achieving Commercial Operation. </w:t>
      </w:r>
    </w:p>
    <w:p w:rsidRPr="002D2A8F" w:rsidR="002D54C4" w:rsidP="00182B34" w:rsidRDefault="002D54C4" w14:paraId="2B3D8C65" w14:textId="47463D9B">
      <w:pPr>
        <w:pStyle w:val="zGTC03"/>
        <w:spacing w:after="120"/>
        <w:rPr>
          <w:rFonts w:cs="Arial"/>
          <w:vanish/>
          <w:w w:val="0"/>
          <w:specVanish/>
        </w:rPr>
      </w:pPr>
      <w:r w:rsidRPr="002D2A8F">
        <w:rPr>
          <w:rFonts w:cs="Arial"/>
          <w:b/>
          <w:w w:val="0"/>
        </w:rPr>
        <w:t>Seller Payment of Delay Liquidated Damages</w:t>
      </w:r>
      <w:r w:rsidR="00B45EC1">
        <w:rPr>
          <w:rFonts w:cs="Arial"/>
          <w:b/>
          <w:w w:val="0"/>
        </w:rPr>
        <w:t xml:space="preserve">; </w:t>
      </w:r>
      <w:r w:rsidR="005062F9">
        <w:rPr>
          <w:rFonts w:cs="Arial"/>
          <w:b/>
          <w:w w:val="0"/>
        </w:rPr>
        <w:t xml:space="preserve">Pre-COD </w:t>
      </w:r>
      <w:r w:rsidR="00B45EC1">
        <w:rPr>
          <w:rFonts w:cs="Arial"/>
          <w:b/>
          <w:w w:val="0"/>
        </w:rPr>
        <w:t>Termination Damages</w:t>
      </w:r>
      <w:r w:rsidRPr="002D2A8F">
        <w:rPr>
          <w:rFonts w:cs="Arial"/>
          <w:b/>
          <w:w w:val="0"/>
        </w:rPr>
        <w:t>.</w:t>
      </w:r>
    </w:p>
    <w:p w:rsidRPr="002D2A8F" w:rsidR="002D54C4" w:rsidP="00182B34" w:rsidRDefault="002D54C4" w14:paraId="733FBAA0" w14:textId="07BE92F6">
      <w:pPr>
        <w:pStyle w:val="zGNormal"/>
        <w:spacing w:before="120" w:after="120"/>
      </w:pPr>
      <w:r w:rsidRPr="002D2A8F">
        <w:rPr>
          <w:w w:val="0"/>
        </w:rPr>
        <w:t xml:space="preserve"> Seller </w:t>
      </w:r>
      <w:r w:rsidRPr="002D2A8F">
        <w:t>must</w:t>
      </w:r>
      <w:r w:rsidRPr="002D2A8F" w:rsidDel="00CD43FD">
        <w:rPr>
          <w:w w:val="0"/>
        </w:rPr>
        <w:t xml:space="preserve"> </w:t>
      </w:r>
      <w:r w:rsidRPr="002D2A8F">
        <w:rPr>
          <w:w w:val="0"/>
        </w:rPr>
        <w:t xml:space="preserve">pay </w:t>
      </w:r>
      <w:r w:rsidRPr="002D2A8F">
        <w:t>GPC, on a Monthly basis by no later than 10 Days after the end of the applicable Month,</w:t>
      </w:r>
      <w:r w:rsidRPr="002D2A8F" w:rsidDel="001E238F">
        <w:t xml:space="preserve"> </w:t>
      </w:r>
      <w:r w:rsidRPr="002D2A8F">
        <w:t xml:space="preserve">delay liquidated damages </w:t>
      </w:r>
      <w:r w:rsidR="006D75EB">
        <w:t>that accrued</w:t>
      </w:r>
      <w:r w:rsidRPr="002D2A8F" w:rsidR="006D75EB">
        <w:t xml:space="preserve"> </w:t>
      </w:r>
      <w:r w:rsidRPr="002D2A8F">
        <w:t xml:space="preserve">under this </w:t>
      </w:r>
      <w:r w:rsidRPr="00534192">
        <w:t xml:space="preserve">Section </w:t>
      </w:r>
      <w:r w:rsidRPr="00534192" w:rsidR="00A73635">
        <w:t>7</w:t>
      </w:r>
      <w:r w:rsidRPr="00534192">
        <w:t>.3 (</w:t>
      </w:r>
      <w:r w:rsidRPr="00534192">
        <w:rPr>
          <w:i/>
        </w:rPr>
        <w:t>Failure to Achieve Commercial Operation by RCOD</w:t>
      </w:r>
      <w:r w:rsidRPr="00534192">
        <w:t>)</w:t>
      </w:r>
      <w:r w:rsidR="00F371E6">
        <w:t xml:space="preserve"> during the </w:t>
      </w:r>
      <w:r w:rsidR="007C7A5F">
        <w:t xml:space="preserve">preceding </w:t>
      </w:r>
      <w:r w:rsidR="00E21A90">
        <w:t>M</w:t>
      </w:r>
      <w:r w:rsidR="007C7A5F">
        <w:t>onth</w:t>
      </w:r>
      <w:r w:rsidRPr="002D2A8F">
        <w:t xml:space="preserve">. In accordance with </w:t>
      </w:r>
      <w:r w:rsidRPr="00534192">
        <w:t xml:space="preserve">Section </w:t>
      </w:r>
      <w:r w:rsidRPr="00534192" w:rsidR="001F3164">
        <w:t>6</w:t>
      </w:r>
      <w:r w:rsidRPr="00534192">
        <w:t>.</w:t>
      </w:r>
      <w:r w:rsidRPr="00534192" w:rsidR="0073194D">
        <w:t>3</w:t>
      </w:r>
      <w:r w:rsidRPr="00534192">
        <w:t xml:space="preserve"> (</w:t>
      </w:r>
      <w:r w:rsidRPr="00534192">
        <w:rPr>
          <w:i/>
        </w:rPr>
        <w:t>Draws; Replenishment</w:t>
      </w:r>
      <w:r w:rsidRPr="00534192">
        <w:t>)</w:t>
      </w:r>
      <w:r w:rsidRPr="002D2A8F">
        <w:t>: (i) GPC</w:t>
      </w:r>
      <w:r w:rsidRPr="002D2A8F" w:rsidDel="001E238F">
        <w:t xml:space="preserve"> </w:t>
      </w:r>
      <w:r w:rsidRPr="002D2A8F">
        <w:t xml:space="preserve">may draw upon the Performance Security to recover delay liquidated damages owed under this </w:t>
      </w:r>
      <w:r w:rsidRPr="00534192">
        <w:t xml:space="preserve">Section </w:t>
      </w:r>
      <w:r w:rsidRPr="00534192" w:rsidR="000B3D33">
        <w:t>7</w:t>
      </w:r>
      <w:r w:rsidRPr="00534192">
        <w:t>.3</w:t>
      </w:r>
      <w:r w:rsidR="009A1528">
        <w:t xml:space="preserve"> to the extent not paid when due</w:t>
      </w:r>
      <w:r w:rsidRPr="002D2A8F">
        <w:t>; and (ii) Seller must</w:t>
      </w:r>
      <w:r w:rsidRPr="002D2A8F" w:rsidDel="00CD43FD">
        <w:t xml:space="preserve"> </w:t>
      </w:r>
      <w:r w:rsidRPr="002D2A8F">
        <w:t xml:space="preserve">replenish the Performance Security. The Parties will resolve any dispute regarding delay liquidated damages under this </w:t>
      </w:r>
      <w:r w:rsidRPr="00534192">
        <w:t xml:space="preserve">Section </w:t>
      </w:r>
      <w:r w:rsidRPr="00534192" w:rsidR="00692A95">
        <w:t>7</w:t>
      </w:r>
      <w:r w:rsidRPr="00534192">
        <w:t xml:space="preserve">.3 </w:t>
      </w:r>
      <w:r w:rsidRPr="002D2A8F">
        <w:t xml:space="preserve">in accordance with </w:t>
      </w:r>
      <w:r w:rsidRPr="00534192">
        <w:t>Section 5</w:t>
      </w:r>
      <w:r w:rsidRPr="00534192" w:rsidR="004745F1">
        <w:t>.2</w:t>
      </w:r>
      <w:r w:rsidRPr="00534192">
        <w:t xml:space="preserve"> (</w:t>
      </w:r>
      <w:r w:rsidRPr="00534192">
        <w:rPr>
          <w:i/>
        </w:rPr>
        <w:t>Billing Disputes and Final Accounting</w:t>
      </w:r>
      <w:r w:rsidRPr="00534192">
        <w:t>)</w:t>
      </w:r>
      <w:r w:rsidRPr="002D2A8F">
        <w:t>.</w:t>
      </w:r>
      <w:r w:rsidR="004045C0">
        <w:t xml:space="preserve"> </w:t>
      </w:r>
      <w:r w:rsidR="0036389A">
        <w:t>I</w:t>
      </w:r>
      <w:r w:rsidR="00353C8F">
        <w:t xml:space="preserve">f </w:t>
      </w:r>
      <w:r w:rsidR="00BC1C8F">
        <w:t xml:space="preserve">Seller notifies GPC that </w:t>
      </w:r>
      <w:r w:rsidR="00D77EF9">
        <w:t>Seller has reasonably determined that it will not achieve Commercial Operation</w:t>
      </w:r>
      <w:r w:rsidR="00353C8F">
        <w:t xml:space="preserve"> and GPC does not terminate this PPA within 30 Days </w:t>
      </w:r>
      <w:r w:rsidR="005F59E7">
        <w:t>after GPC’s</w:t>
      </w:r>
      <w:r w:rsidR="00353C8F">
        <w:t xml:space="preserve"> </w:t>
      </w:r>
      <w:r w:rsidR="00897C09">
        <w:t xml:space="preserve">receipt of Seller’s notice, Seller will have the right to terminate this PPA </w:t>
      </w:r>
      <w:r w:rsidR="007546C3">
        <w:t>on notice to GPC</w:t>
      </w:r>
      <w:r w:rsidR="00897C09">
        <w:t xml:space="preserve">. </w:t>
      </w:r>
      <w:r w:rsidR="00CB1ACC">
        <w:t>A Seller termination in accordance with the preceding sentence will constitute a Seller Event of Default under Section 16.1.12</w:t>
      </w:r>
      <w:r w:rsidR="00CE7744">
        <w:t xml:space="preserve"> (</w:t>
      </w:r>
      <w:r w:rsidRPr="00C5503D" w:rsidR="00CE7744">
        <w:rPr>
          <w:i/>
          <w:iCs/>
        </w:rPr>
        <w:t>Abandonment or Failure to Achieve RCOD</w:t>
      </w:r>
      <w:r w:rsidR="00CE7744">
        <w:t>)</w:t>
      </w:r>
      <w:r w:rsidR="008849CD">
        <w:t xml:space="preserve">. </w:t>
      </w:r>
      <w:r w:rsidRPr="002D2A8F">
        <w:t>If GPC</w:t>
      </w:r>
      <w:r w:rsidRPr="002D2A8F" w:rsidDel="001E238F">
        <w:t xml:space="preserve"> </w:t>
      </w:r>
      <w:r w:rsidRPr="002D2A8F">
        <w:t xml:space="preserve">terminates this PPA for a Seller Event of Default under </w:t>
      </w:r>
      <w:r w:rsidRPr="00534192">
        <w:t>Section 16.1.1</w:t>
      </w:r>
      <w:r w:rsidRPr="00534192" w:rsidR="003904F7">
        <w:t>2</w:t>
      </w:r>
      <w:r w:rsidRPr="002D2A8F">
        <w:t xml:space="preserve">, </w:t>
      </w:r>
      <w:r w:rsidR="008849CD">
        <w:t xml:space="preserve">or if Seller terminates the PPA </w:t>
      </w:r>
      <w:r w:rsidR="00125BFE">
        <w:t xml:space="preserve">in accordance with the preceding sentences, </w:t>
      </w:r>
      <w:r w:rsidRPr="002D2A8F">
        <w:t xml:space="preserve">then, in addition to Seller’s payment of the delay liquidated damages that accrue under </w:t>
      </w:r>
      <w:r w:rsidRPr="00534192">
        <w:t xml:space="preserve">Section </w:t>
      </w:r>
      <w:r w:rsidRPr="00534192" w:rsidR="001E41DE">
        <w:t>7</w:t>
      </w:r>
      <w:r w:rsidRPr="00534192">
        <w:t>.3</w:t>
      </w:r>
      <w:r w:rsidRPr="002D2A8F">
        <w:t>, Seller must</w:t>
      </w:r>
      <w:r w:rsidRPr="002D2A8F" w:rsidDel="00770FA2">
        <w:t xml:space="preserve"> </w:t>
      </w:r>
      <w:r w:rsidRPr="002D2A8F">
        <w:t>pay to GPC</w:t>
      </w:r>
      <w:r w:rsidR="00D17C67">
        <w:t>, as the Termination Payment,</w:t>
      </w:r>
      <w:r w:rsidRPr="002D2A8F" w:rsidDel="001E238F">
        <w:t xml:space="preserve"> </w:t>
      </w:r>
      <w:r w:rsidRPr="002D2A8F">
        <w:t xml:space="preserve">termination liquidated damages </w:t>
      </w:r>
      <w:r w:rsidRPr="002D2A8F" w:rsidR="00873799">
        <w:t xml:space="preserve">in an amount </w:t>
      </w:r>
      <w:r w:rsidRPr="002D2A8F">
        <w:t xml:space="preserve">equal to the applicable </w:t>
      </w:r>
      <w:r w:rsidRPr="002D2A8F" w:rsidR="00873799">
        <w:t xml:space="preserve">Performance Security </w:t>
      </w:r>
      <w:r w:rsidRPr="002D2A8F">
        <w:t xml:space="preserve">amount shown in </w:t>
      </w:r>
      <w:r w:rsidR="00870D38">
        <w:t xml:space="preserve">Part 1 </w:t>
      </w:r>
      <w:r w:rsidRPr="00870D38" w:rsidR="00870D38">
        <w:rPr>
          <w:i/>
          <w:iCs/>
        </w:rPr>
        <w:t>(Performance Security)</w:t>
      </w:r>
      <w:r w:rsidR="00870D38">
        <w:t xml:space="preserve"> of </w:t>
      </w:r>
      <w:r w:rsidRPr="00534192" w:rsidR="00873799">
        <w:t xml:space="preserve">Exhibit </w:t>
      </w:r>
      <w:r w:rsidRPr="00534192" w:rsidR="003904F7">
        <w:t>A-2</w:t>
      </w:r>
      <w:r w:rsidRPr="00534192" w:rsidR="00873799">
        <w:t xml:space="preserve"> (</w:t>
      </w:r>
      <w:r w:rsidRPr="00534192" w:rsidR="00873799">
        <w:rPr>
          <w:i/>
        </w:rPr>
        <w:t>Performance Security</w:t>
      </w:r>
      <w:r w:rsidRPr="00534192" w:rsidR="003904F7">
        <w:rPr>
          <w:i/>
        </w:rPr>
        <w:t xml:space="preserve"> and Liquidated Damages</w:t>
      </w:r>
      <w:r w:rsidRPr="00534192" w:rsidR="00873799">
        <w:t>)</w:t>
      </w:r>
      <w:r w:rsidR="00FF543E">
        <w:t xml:space="preserve">. </w:t>
      </w:r>
      <w:r w:rsidRPr="002D2A8F">
        <w:t>Seller must</w:t>
      </w:r>
      <w:r w:rsidRPr="002D2A8F" w:rsidDel="00770FA2">
        <w:t xml:space="preserve"> </w:t>
      </w:r>
      <w:r w:rsidR="002414D5">
        <w:t>also</w:t>
      </w:r>
      <w:r w:rsidRPr="002D2A8F" w:rsidDel="00770FA2">
        <w:t xml:space="preserve"> </w:t>
      </w:r>
      <w:r w:rsidRPr="002D2A8F">
        <w:t>reimburse GPC</w:t>
      </w:r>
      <w:r w:rsidRPr="002D2A8F" w:rsidDel="001E238F">
        <w:t xml:space="preserve"> </w:t>
      </w:r>
      <w:r w:rsidRPr="002D2A8F">
        <w:t xml:space="preserve">for the total costs GPC incurred for modifications to the </w:t>
      </w:r>
      <w:r w:rsidR="00D810FB">
        <w:t>Electric</w:t>
      </w:r>
      <w:r w:rsidRPr="002D2A8F">
        <w:t xml:space="preserve"> System associated with the Facility and the </w:t>
      </w:r>
      <w:r w:rsidR="00385852">
        <w:t>operational capability</w:t>
      </w:r>
      <w:r w:rsidRPr="002D2A8F" w:rsidR="00385852">
        <w:t xml:space="preserve"> </w:t>
      </w:r>
      <w:r w:rsidR="000F4251">
        <w:t>to deliver</w:t>
      </w:r>
      <w:r w:rsidRPr="002D2A8F" w:rsidR="000F4251">
        <w:t xml:space="preserve"> </w:t>
      </w:r>
      <w:r w:rsidRPr="002D2A8F">
        <w:t xml:space="preserve">energy from the Facility </w:t>
      </w:r>
      <w:r w:rsidR="000F4251">
        <w:t>to</w:t>
      </w:r>
      <w:r w:rsidRPr="002D2A8F" w:rsidR="000F4251">
        <w:t xml:space="preserve"> </w:t>
      </w:r>
      <w:r w:rsidRPr="002D2A8F">
        <w:t>GPC’s customers</w:t>
      </w:r>
      <w:r w:rsidR="001049AA">
        <w:t>, subject to any applicable requirement of the Southern OATT</w:t>
      </w:r>
      <w:r w:rsidRPr="002D2A8F">
        <w:t xml:space="preserve">. Following termination, as described in the preceding sentences, and Seller’s payment to GPC of all required damages in accordance with this </w:t>
      </w:r>
      <w:r w:rsidRPr="00534192">
        <w:t xml:space="preserve">Section </w:t>
      </w:r>
      <w:r w:rsidRPr="00534192" w:rsidR="001E41DE">
        <w:t>7</w:t>
      </w:r>
      <w:r w:rsidRPr="00534192">
        <w:t>.</w:t>
      </w:r>
      <w:r w:rsidRPr="00534192" w:rsidR="00E1266F">
        <w:t>3</w:t>
      </w:r>
      <w:r w:rsidR="00000816">
        <w:t xml:space="preserve"> and Section 16.3.2</w:t>
      </w:r>
      <w:r w:rsidR="006A1DED">
        <w:t xml:space="preserve"> (</w:t>
      </w:r>
      <w:r w:rsidRPr="006A1DED" w:rsidR="006A1DED">
        <w:rPr>
          <w:i/>
          <w:iCs/>
        </w:rPr>
        <w:t>Termination Payment</w:t>
      </w:r>
      <w:r w:rsidR="006A1DED">
        <w:t>)</w:t>
      </w:r>
      <w:r w:rsidRPr="002D2A8F">
        <w:t>, neither Party will</w:t>
      </w:r>
      <w:r w:rsidRPr="002D2A8F" w:rsidDel="00770FA2">
        <w:t xml:space="preserve"> </w:t>
      </w:r>
      <w:r w:rsidRPr="002D2A8F">
        <w:t>have any other liability to the other Party under this PPA.</w:t>
      </w:r>
    </w:p>
    <w:p w:rsidRPr="002D2A8F" w:rsidR="002D54C4" w:rsidP="00EC58B6" w:rsidRDefault="002D54C4" w14:paraId="6EE7852B" w14:textId="77777777">
      <w:pPr>
        <w:pStyle w:val="zGTC03"/>
        <w:rPr>
          <w:rFonts w:cs="Arial"/>
          <w:vanish/>
          <w:specVanish/>
        </w:rPr>
      </w:pPr>
      <w:r w:rsidRPr="002D2A8F">
        <w:rPr>
          <w:rFonts w:cs="Arial"/>
          <w:b/>
        </w:rPr>
        <w:t>RCOD Exceptions.</w:t>
      </w:r>
      <w:r w:rsidRPr="002D2A8F">
        <w:rPr>
          <w:rFonts w:cs="Arial"/>
        </w:rPr>
        <w:t xml:space="preserve"> </w:t>
      </w:r>
    </w:p>
    <w:p w:rsidRPr="002D2A8F" w:rsidR="002D54C4" w:rsidP="00EC58B6" w:rsidRDefault="002D54C4" w14:paraId="42ECC093" w14:textId="19B7A56E">
      <w:pPr>
        <w:pStyle w:val="zGNormal"/>
        <w:spacing w:after="120"/>
      </w:pPr>
      <w:r w:rsidRPr="002D2A8F">
        <w:t xml:space="preserve"> If Seller’s failure to achieve Commercial Operation by the RCOD is solely caused by: (i) an FME under </w:t>
      </w:r>
      <w:r w:rsidRPr="00534192">
        <w:t>Section 15.</w:t>
      </w:r>
      <w:r w:rsidRPr="00534192" w:rsidR="00D370AC">
        <w:t>3</w:t>
      </w:r>
      <w:r w:rsidRPr="00534192">
        <w:t xml:space="preserve"> (</w:t>
      </w:r>
      <w:r w:rsidRPr="00534192">
        <w:rPr>
          <w:i/>
        </w:rPr>
        <w:t>No Breach or Liability</w:t>
      </w:r>
      <w:r w:rsidRPr="00534192">
        <w:t>)</w:t>
      </w:r>
      <w:r w:rsidRPr="002D2A8F">
        <w:t xml:space="preserve">; (ii) a delay in the construction by </w:t>
      </w:r>
      <w:r w:rsidR="004E7809">
        <w:t>Interconnection Provider</w:t>
      </w:r>
      <w:r w:rsidR="005E6109">
        <w:t xml:space="preserve"> of </w:t>
      </w:r>
      <w:r w:rsidR="0049479A">
        <w:t>the</w:t>
      </w:r>
      <w:r w:rsidRPr="002D2A8F">
        <w:t xml:space="preserve"> Interconnection Facilities</w:t>
      </w:r>
      <w:r w:rsidR="00D163EA">
        <w:t>; or (iii) a</w:t>
      </w:r>
      <w:r w:rsidR="00287DD9">
        <w:t xml:space="preserve"> delay in GPC’s review and coordination of Seller’s AGC system design</w:t>
      </w:r>
      <w:r w:rsidR="0010487A">
        <w:t xml:space="preserve"> for the Facility</w:t>
      </w:r>
      <w:r w:rsidR="00287DD9">
        <w:t>,</w:t>
      </w:r>
      <w:r w:rsidRPr="002D2A8F">
        <w:t xml:space="preserve">  so long as Seller has complied with </w:t>
      </w:r>
      <w:r w:rsidRPr="00534192">
        <w:t xml:space="preserve">Section </w:t>
      </w:r>
      <w:r w:rsidRPr="00534192" w:rsidR="005640A0">
        <w:t>8</w:t>
      </w:r>
      <w:r w:rsidRPr="00534192">
        <w:t>.1.</w:t>
      </w:r>
      <w:r w:rsidRPr="00534192" w:rsidR="005640A0">
        <w:t>3</w:t>
      </w:r>
      <w:r w:rsidRPr="00534192">
        <w:t xml:space="preserve"> (</w:t>
      </w:r>
      <w:r w:rsidRPr="00534192">
        <w:rPr>
          <w:i/>
        </w:rPr>
        <w:t>Interconnection Projected Completion Date</w:t>
      </w:r>
      <w:r w:rsidRPr="00534192">
        <w:t>)</w:t>
      </w:r>
      <w:r w:rsidRPr="002D2A8F">
        <w:t xml:space="preserve"> and the delay is not caused by any action or inaction on the part of Seller, the RCOD will be extended</w:t>
      </w:r>
      <w:r w:rsidR="00870D38">
        <w:t>, in each case,</w:t>
      </w:r>
      <w:r w:rsidRPr="002D2A8F">
        <w:t xml:space="preserve"> </w:t>
      </w:r>
      <w:r w:rsidR="00306CE2">
        <w:t xml:space="preserve">by the number of days supported by </w:t>
      </w:r>
      <w:r w:rsidR="00525223">
        <w:t>a</w:t>
      </w:r>
      <w:r w:rsidR="00306CE2">
        <w:t xml:space="preserve"> critical path analysis</w:t>
      </w:r>
      <w:r w:rsidRPr="002D2A8F">
        <w:t xml:space="preserve">. </w:t>
      </w:r>
      <w:r w:rsidR="00632EEB">
        <w:t>I</w:t>
      </w:r>
      <w:r w:rsidRPr="002D2A8F">
        <w:t xml:space="preserve">n the case of (ii), if Seller has not </w:t>
      </w:r>
      <w:r w:rsidR="006A662F">
        <w:t xml:space="preserve"> met </w:t>
      </w:r>
      <w:r w:rsidRPr="002D2A8F">
        <w:t xml:space="preserve">all </w:t>
      </w:r>
      <w:r w:rsidR="006A662F">
        <w:t>IA</w:t>
      </w:r>
      <w:r w:rsidRPr="002D2A8F">
        <w:t xml:space="preserve"> obligations in a timely manner, Seller’s failure to achieve Commercial Operation by the RCOD will not be excused, the RCOD will not be extended, and, while </w:t>
      </w:r>
      <w:r w:rsidR="00A22B3B">
        <w:t>the Interconnection Provider</w:t>
      </w:r>
      <w:r w:rsidRPr="002D2A8F" w:rsidR="000F36D0">
        <w:t xml:space="preserve"> </w:t>
      </w:r>
      <w:r w:rsidRPr="002D2A8F">
        <w:t xml:space="preserve">completes construction of the Interconnection Facilities, </w:t>
      </w:r>
      <w:r w:rsidR="00867BB2">
        <w:t xml:space="preserve">Seller will owe </w:t>
      </w:r>
      <w:r w:rsidRPr="002D2A8F">
        <w:t xml:space="preserve">delay </w:t>
      </w:r>
      <w:r w:rsidR="0004278D">
        <w:t xml:space="preserve">liquidated </w:t>
      </w:r>
      <w:r w:rsidRPr="002D2A8F">
        <w:lastRenderedPageBreak/>
        <w:t xml:space="preserve">damages for each Day of delay after RCOD as set forth in </w:t>
      </w:r>
      <w:r w:rsidRPr="00534192">
        <w:t xml:space="preserve">Section </w:t>
      </w:r>
      <w:r w:rsidRPr="00534192" w:rsidR="008F48F5">
        <w:t>7</w:t>
      </w:r>
      <w:r w:rsidRPr="00534192" w:rsidR="00C55486">
        <w:t>.</w:t>
      </w:r>
      <w:r w:rsidRPr="00534192" w:rsidR="00F37CB6">
        <w:t>3</w:t>
      </w:r>
      <w:r w:rsidRPr="00534192" w:rsidR="00C73BC4">
        <w:t>.1</w:t>
      </w:r>
      <w:r w:rsidRPr="00534192">
        <w:t xml:space="preserve"> (</w:t>
      </w:r>
      <w:r w:rsidRPr="00534192" w:rsidR="00C73BC4">
        <w:rPr>
          <w:i/>
        </w:rPr>
        <w:t>Delay Liquidated Damages</w:t>
      </w:r>
      <w:r w:rsidRPr="00534192">
        <w:t>)</w:t>
      </w:r>
      <w:r w:rsidRPr="008F48F5">
        <w:t>.</w:t>
      </w:r>
    </w:p>
    <w:p w:rsidRPr="002D2A8F" w:rsidR="002D54C4" w:rsidP="00EC58B6" w:rsidRDefault="002D54C4" w14:paraId="0FA4AE48" w14:textId="7A366148">
      <w:pPr>
        <w:pStyle w:val="zGTC03"/>
        <w:rPr>
          <w:rFonts w:cs="Arial"/>
          <w:vanish/>
          <w:specVanish/>
        </w:rPr>
      </w:pPr>
      <w:r w:rsidRPr="002D2A8F">
        <w:rPr>
          <w:rFonts w:cs="Arial"/>
          <w:b/>
        </w:rPr>
        <w:t>Liability Following Termination.</w:t>
      </w:r>
      <w:r w:rsidRPr="002D2A8F">
        <w:rPr>
          <w:rFonts w:cs="Arial"/>
        </w:rPr>
        <w:t xml:space="preserve"> </w:t>
      </w:r>
    </w:p>
    <w:p w:rsidRPr="002D2A8F" w:rsidR="002D54C4" w:rsidP="00EC58B6" w:rsidRDefault="002D54C4" w14:paraId="3BBEC2B1" w14:textId="52032C7B">
      <w:pPr>
        <w:pStyle w:val="zGNormal"/>
        <w:spacing w:after="120"/>
      </w:pPr>
      <w:r w:rsidRPr="002D2A8F">
        <w:t xml:space="preserve"> If GPC terminates this PPA in accordance with </w:t>
      </w:r>
      <w:r w:rsidRPr="00534192">
        <w:t>Section</w:t>
      </w:r>
      <w:r w:rsidRPr="002D2A8F">
        <w:t xml:space="preserve"> </w:t>
      </w:r>
      <w:r w:rsidRPr="00534192">
        <w:t>16.3 (</w:t>
      </w:r>
      <w:r w:rsidRPr="00534192">
        <w:rPr>
          <w:i/>
        </w:rPr>
        <w:t>Remedies</w:t>
      </w:r>
      <w:r w:rsidRPr="00534192">
        <w:t>)</w:t>
      </w:r>
      <w:r w:rsidRPr="002D2A8F">
        <w:t xml:space="preserve"> for a Seller Event of Default under </w:t>
      </w:r>
      <w:r w:rsidRPr="00534192">
        <w:t>Section 16.1.1</w:t>
      </w:r>
      <w:r w:rsidRPr="00534192" w:rsidR="00F56D97">
        <w:t>2</w:t>
      </w:r>
      <w:r w:rsidRPr="00534192">
        <w:t xml:space="preserve"> (</w:t>
      </w:r>
      <w:r w:rsidRPr="00534192" w:rsidR="00123166">
        <w:rPr>
          <w:i/>
        </w:rPr>
        <w:t>Abandonment or</w:t>
      </w:r>
      <w:r w:rsidRPr="00534192" w:rsidR="00123166">
        <w:t xml:space="preserve"> </w:t>
      </w:r>
      <w:r w:rsidRPr="00534192">
        <w:rPr>
          <w:i/>
        </w:rPr>
        <w:t>Failure to Achieve RCOD</w:t>
      </w:r>
      <w:r w:rsidRPr="00534192">
        <w:t>)</w:t>
      </w:r>
      <w:r w:rsidRPr="002D2A8F">
        <w:t>, Seller will owe the Termination Payment</w:t>
      </w:r>
      <w:r w:rsidR="00FA7EF0">
        <w:t xml:space="preserve"> </w:t>
      </w:r>
      <w:r w:rsidRPr="002D2A8F" w:rsidDel="00FA7EF0">
        <w:t>under</w:t>
      </w:r>
      <w:r w:rsidRPr="002D2A8F">
        <w:t xml:space="preserve"> </w:t>
      </w:r>
      <w:r w:rsidRPr="00534192">
        <w:t>Section 16.3</w:t>
      </w:r>
      <w:r w:rsidR="00A773CD">
        <w:t xml:space="preserve"> </w:t>
      </w:r>
      <w:r w:rsidRPr="002D2A8F">
        <w:t>in addition to the delay liquidated damages that accrue before termination.</w:t>
      </w:r>
      <w:r w:rsidRPr="002D2A8F" w:rsidR="004464BB">
        <w:t xml:space="preserve"> </w:t>
      </w:r>
      <w:r w:rsidRPr="002D2A8F">
        <w:t xml:space="preserve">After the termination, other than the requirement for Seller to pay the damages that accrue under this </w:t>
      </w:r>
      <w:r w:rsidRPr="00534192">
        <w:t>Section </w:t>
      </w:r>
      <w:r w:rsidRPr="00534192" w:rsidR="00BD274C">
        <w:t>7</w:t>
      </w:r>
      <w:r w:rsidRPr="00534192">
        <w:t>.3 (</w:t>
      </w:r>
      <w:r w:rsidRPr="00534192">
        <w:rPr>
          <w:i/>
        </w:rPr>
        <w:t xml:space="preserve">Failure to Achieve Commercial Operation </w:t>
      </w:r>
      <w:r w:rsidRPr="00534192" w:rsidR="00BD274C">
        <w:rPr>
          <w:i/>
        </w:rPr>
        <w:t>by RCOD</w:t>
      </w:r>
      <w:r w:rsidRPr="00534192">
        <w:t>)</w:t>
      </w:r>
      <w:r w:rsidRPr="00783EDC" w:rsidR="00783EDC">
        <w:t xml:space="preserve"> </w:t>
      </w:r>
      <w:r w:rsidR="00783EDC">
        <w:t xml:space="preserve">and </w:t>
      </w:r>
      <w:r w:rsidRPr="00534192" w:rsidR="00783EDC">
        <w:t>Section 16.3.2 (</w:t>
      </w:r>
      <w:r w:rsidR="00876921">
        <w:rPr>
          <w:i/>
        </w:rPr>
        <w:t>Termination Payment</w:t>
      </w:r>
      <w:r w:rsidRPr="00534192" w:rsidR="00783EDC">
        <w:t>)</w:t>
      </w:r>
      <w:r w:rsidRPr="002D2A8F">
        <w:t xml:space="preserve">, neither Party will have any further liability to the other Party </w:t>
      </w:r>
      <w:r w:rsidR="00F23E3B">
        <w:t>under</w:t>
      </w:r>
      <w:r w:rsidRPr="002D2A8F">
        <w:t xml:space="preserve"> this PPA.</w:t>
      </w:r>
    </w:p>
    <w:p w:rsidRPr="002D2A8F" w:rsidR="00563235" w:rsidP="00EC58B6" w:rsidRDefault="00563235" w14:paraId="7BC649E9" w14:textId="32CD1B9A">
      <w:pPr>
        <w:pStyle w:val="zGTC03"/>
        <w:rPr>
          <w:rFonts w:cs="Arial"/>
          <w:b/>
          <w:specVanish/>
        </w:rPr>
      </w:pPr>
      <w:r w:rsidRPr="002D2A8F">
        <w:rPr>
          <w:rFonts w:cs="Arial"/>
          <w:b/>
        </w:rPr>
        <w:t xml:space="preserve">Commercial Operation Delay Caused by </w:t>
      </w:r>
      <w:r w:rsidRPr="00534192" w:rsidR="00326440">
        <w:rPr>
          <w:rFonts w:cs="Arial"/>
          <w:b/>
        </w:rPr>
        <w:t>Southern Company Transmission System Capability</w:t>
      </w:r>
      <w:r w:rsidRPr="002D2A8F">
        <w:rPr>
          <w:rFonts w:cs="Arial"/>
          <w:b/>
        </w:rPr>
        <w:t>.</w:t>
      </w:r>
    </w:p>
    <w:p w:rsidRPr="00CF577F" w:rsidR="00F65E36" w:rsidP="00F65E36" w:rsidRDefault="00F65E36" w14:paraId="27FDBE8F" w14:textId="5BDD7AED">
      <w:pPr>
        <w:pStyle w:val="zGTC04"/>
        <w:rPr>
          <w:rFonts w:cs="Arial"/>
          <w:b/>
          <w:bCs/>
          <w:vanish/>
          <w:szCs w:val="20"/>
          <w:specVanish/>
        </w:rPr>
      </w:pPr>
      <w:r w:rsidRPr="00CF577F">
        <w:rPr>
          <w:rFonts w:cs="Arial"/>
          <w:b/>
          <w:bCs/>
          <w:szCs w:val="20"/>
        </w:rPr>
        <w:t>RCOD Extension to Accommodate Start-Up and Testing.</w:t>
      </w:r>
    </w:p>
    <w:p w:rsidRPr="00CF577F" w:rsidR="00980628" w:rsidP="00F65E36" w:rsidRDefault="00F65E36" w14:paraId="49173609" w14:textId="4AA4F869">
      <w:pPr>
        <w:pStyle w:val="zGNormal"/>
      </w:pPr>
      <w:r w:rsidRPr="00CF577F">
        <w:rPr>
          <w:b/>
          <w:bCs/>
        </w:rPr>
        <w:t xml:space="preserve"> </w:t>
      </w:r>
      <w:r w:rsidRPr="00CF577F" w:rsidR="00AA58E6">
        <w:t xml:space="preserve">Subject to all conditions in this </w:t>
      </w:r>
      <w:r w:rsidRPr="00534192" w:rsidR="00AA58E6">
        <w:t>Section 7.3.6(i)</w:t>
      </w:r>
      <w:r w:rsidRPr="00CF577F" w:rsidR="00AA58E6">
        <w:t>, the RCOD will be extended if: (a) as a sole and direct result of Interconnection Facilities construction delay, Facility start-up and testing activities are delayed and Seller is prevented from achieving Commercial Operation by the RCOD; (</w:t>
      </w:r>
      <w:r w:rsidR="00870D38">
        <w:t>b</w:t>
      </w:r>
      <w:r w:rsidRPr="00CF577F" w:rsidR="00AA58E6">
        <w:t>) the Interconnection Provider is solely responsible under the IA for the Interconnection Facilities construction delay; and (</w:t>
      </w:r>
      <w:r w:rsidR="00870D38">
        <w:t>c</w:t>
      </w:r>
      <w:r w:rsidRPr="00CF577F" w:rsidR="00AA58E6">
        <w:t xml:space="preserve">) Seller undertakes all commercially reasonable action to avoid, overcome, or otherwise mitigate the impact of the delay. Any RCOD extension under this </w:t>
      </w:r>
      <w:r w:rsidRPr="00534192" w:rsidR="00AA58E6">
        <w:t>Section 7.3.6(i)</w:t>
      </w:r>
      <w:r w:rsidRPr="00CF577F" w:rsidR="00AA58E6">
        <w:t xml:space="preserve"> will be based on the demonstrable impact to the critical path of the Milestone Schedule. The RCOD will not be extended if: (I) Seller has not timely complied with </w:t>
      </w:r>
      <w:r w:rsidRPr="00534192" w:rsidR="00AA58E6">
        <w:t>Section 8.1 (</w:t>
      </w:r>
      <w:r w:rsidRPr="00534192" w:rsidR="00AA58E6">
        <w:rPr>
          <w:i/>
        </w:rPr>
        <w:t>Interconnection</w:t>
      </w:r>
      <w:r w:rsidRPr="00534192" w:rsidR="00AA58E6">
        <w:t>)</w:t>
      </w:r>
      <w:r w:rsidRPr="00CF577F" w:rsidR="00AA58E6">
        <w:t xml:space="preserve">; or (II) the delay was caused, in whole or in part, by any action or inaction on the part of Seller or a </w:t>
      </w:r>
      <w:r w:rsidR="003C059B">
        <w:t>S</w:t>
      </w:r>
      <w:r w:rsidRPr="00CF577F" w:rsidR="00AA58E6">
        <w:t xml:space="preserve">eller Representative. </w:t>
      </w:r>
    </w:p>
    <w:p w:rsidRPr="004B5DE7" w:rsidR="00F65E36" w:rsidP="00F65E36" w:rsidRDefault="00F65E36" w14:paraId="492FEAD7" w14:textId="0BCD7707">
      <w:pPr>
        <w:pStyle w:val="zGTC04"/>
        <w:rPr>
          <w:b/>
          <w:bCs/>
          <w:vanish/>
          <w:specVanish/>
        </w:rPr>
      </w:pPr>
      <w:r w:rsidRPr="004B5DE7">
        <w:rPr>
          <w:b/>
          <w:bCs/>
        </w:rPr>
        <w:t>Exclusive Remed</w:t>
      </w:r>
      <w:r w:rsidR="0013250C">
        <w:rPr>
          <w:b/>
          <w:bCs/>
        </w:rPr>
        <w:t>y</w:t>
      </w:r>
      <w:r w:rsidRPr="004B5DE7">
        <w:rPr>
          <w:b/>
          <w:bCs/>
        </w:rPr>
        <w:t>.</w:t>
      </w:r>
    </w:p>
    <w:p w:rsidRPr="004B5DE7" w:rsidR="00F65E36" w:rsidP="00F65E36" w:rsidRDefault="00F65E36" w14:paraId="4E511644" w14:textId="35DAAD9C">
      <w:pPr>
        <w:pStyle w:val="zGNormal"/>
      </w:pPr>
      <w:r w:rsidRPr="004B5DE7">
        <w:rPr>
          <w:b/>
          <w:bCs/>
        </w:rPr>
        <w:t xml:space="preserve"> </w:t>
      </w:r>
      <w:r w:rsidRPr="004B5DE7">
        <w:t xml:space="preserve">Seller understands and acknowledges that extension of RCOD in accordance with </w:t>
      </w:r>
      <w:r w:rsidRPr="00534192">
        <w:t>Section 7.3.6(i) (</w:t>
      </w:r>
      <w:r w:rsidRPr="00534192">
        <w:rPr>
          <w:i/>
        </w:rPr>
        <w:t>RCOD Extension to Accommodate Start-Up and Testing</w:t>
      </w:r>
      <w:r w:rsidRPr="00534192">
        <w:t>)</w:t>
      </w:r>
      <w:r w:rsidRPr="004B5DE7">
        <w:t xml:space="preserve"> will</w:t>
      </w:r>
      <w:r w:rsidRPr="004B5DE7" w:rsidDel="00943CAD">
        <w:t xml:space="preserve"> </w:t>
      </w:r>
      <w:r w:rsidRPr="004B5DE7">
        <w:t xml:space="preserve">be Seller’s exclusive remedy for any delay described in </w:t>
      </w:r>
      <w:r w:rsidRPr="00534192">
        <w:t>Section 7.3.6(i).</w:t>
      </w:r>
    </w:p>
    <w:p w:rsidRPr="004B5DE7" w:rsidR="00F65E36" w:rsidP="00F65E36" w:rsidRDefault="00F65E36" w14:paraId="17D01894" w14:textId="77777777">
      <w:pPr>
        <w:pStyle w:val="zGTC04"/>
        <w:rPr>
          <w:b/>
          <w:bCs/>
          <w:vanish/>
          <w:specVanish/>
        </w:rPr>
      </w:pPr>
      <w:r w:rsidRPr="004B5DE7">
        <w:rPr>
          <w:b/>
          <w:bCs/>
        </w:rPr>
        <w:t>No PPA Term Extension.</w:t>
      </w:r>
    </w:p>
    <w:p w:rsidRPr="00802935" w:rsidR="000C0132" w:rsidP="00864002" w:rsidRDefault="00F65E36" w14:paraId="24819179" w14:textId="21430EDE">
      <w:pPr>
        <w:pStyle w:val="zGNormal"/>
        <w:spacing w:after="120"/>
        <w:rPr>
          <w:specVanish/>
        </w:rPr>
      </w:pPr>
      <w:r w:rsidRPr="004B5DE7">
        <w:rPr>
          <w:b/>
          <w:bCs/>
        </w:rPr>
        <w:t xml:space="preserve"> </w:t>
      </w:r>
      <w:r w:rsidRPr="004B5DE7">
        <w:t xml:space="preserve">Despite any other provision in this PPA, an extension of RCOD under </w:t>
      </w:r>
      <w:r w:rsidRPr="00534192">
        <w:t>Section 7.3.6(i) (</w:t>
      </w:r>
      <w:r w:rsidRPr="00534192">
        <w:rPr>
          <w:i/>
        </w:rPr>
        <w:t>RCOD Extension to Accommodate Start-Up and Testing</w:t>
      </w:r>
      <w:r w:rsidRPr="00534192">
        <w:t>)</w:t>
      </w:r>
      <w:r w:rsidRPr="004B5DE7">
        <w:t xml:space="preserve"> will</w:t>
      </w:r>
      <w:r w:rsidRPr="004B5DE7" w:rsidDel="00943CAD">
        <w:t xml:space="preserve"> </w:t>
      </w:r>
      <w:r w:rsidRPr="004B5DE7">
        <w:t xml:space="preserve">not cause an extension of the Term, and no delay described in </w:t>
      </w:r>
      <w:r w:rsidR="00995ADE">
        <w:t>this</w:t>
      </w:r>
      <w:r w:rsidRPr="004B5DE7">
        <w:t xml:space="preserve"> </w:t>
      </w:r>
      <w:r w:rsidRPr="00534192">
        <w:t>Section 7.3.6</w:t>
      </w:r>
      <w:r w:rsidRPr="004B5DE7">
        <w:t xml:space="preserve"> will</w:t>
      </w:r>
      <w:r w:rsidRPr="004B5DE7" w:rsidDel="00943CAD">
        <w:t xml:space="preserve"> </w:t>
      </w:r>
      <w:r w:rsidRPr="004B5DE7">
        <w:t>otherwise extend this PPA beyond its stated Term.</w:t>
      </w:r>
      <w:bookmarkStart w:name="_Toc158593207" w:id="216"/>
      <w:bookmarkStart w:name="_Toc158597486" w:id="217"/>
      <w:bookmarkStart w:name="_Toc158720110" w:id="218"/>
      <w:bookmarkStart w:name="_Toc158722864" w:id="219"/>
      <w:bookmarkStart w:name="_Toc156309775" w:id="220"/>
      <w:bookmarkEnd w:id="216"/>
      <w:bookmarkEnd w:id="217"/>
      <w:bookmarkEnd w:id="218"/>
      <w:bookmarkEnd w:id="219"/>
      <w:bookmarkEnd w:id="220"/>
    </w:p>
    <w:p w:rsidRPr="002D2A8F" w:rsidR="002D54C4" w:rsidP="00ED6839" w:rsidRDefault="002D54C4" w14:paraId="3FEDDD57" w14:textId="4EF11CDB">
      <w:pPr>
        <w:pStyle w:val="zGTC01"/>
        <w:rPr>
          <w:rFonts w:ascii="Arial" w:hAnsi="Arial"/>
          <w:szCs w:val="20"/>
        </w:rPr>
      </w:pPr>
      <w:bookmarkStart w:name="_Toc169778608" w:id="221"/>
      <w:bookmarkStart w:name="_Toc227451374" w:id="222"/>
      <w:r w:rsidRPr="002D2A8F">
        <w:rPr>
          <w:rFonts w:ascii="Arial" w:hAnsi="Arial"/>
        </w:rPr>
        <w:t>Interconnection and metering</w:t>
      </w:r>
      <w:bookmarkEnd w:id="221"/>
      <w:bookmarkEnd w:id="222"/>
    </w:p>
    <w:p w:rsidRPr="002D2A8F" w:rsidR="002D54C4" w:rsidP="00203042" w:rsidRDefault="002D54C4" w14:paraId="7931C4F7" w14:textId="598903DB">
      <w:pPr>
        <w:pStyle w:val="zGTC02"/>
        <w:spacing w:after="120"/>
        <w:rPr>
          <w:rFonts w:ascii="Arial" w:hAnsi="Arial" w:cs="Arial"/>
          <w:specVanish/>
        </w:rPr>
      </w:pPr>
      <w:bookmarkStart w:name="_Toc156309777" w:id="223"/>
      <w:bookmarkStart w:name="_Toc169778609" w:id="224"/>
      <w:bookmarkStart w:name="_Toc227451375" w:id="225"/>
      <w:r w:rsidRPr="002D2A8F">
        <w:rPr>
          <w:rFonts w:ascii="Arial" w:hAnsi="Arial" w:cs="Arial"/>
        </w:rPr>
        <w:t>Interconnection.</w:t>
      </w:r>
      <w:bookmarkStart w:name="_Toc158593209" w:id="226"/>
      <w:bookmarkStart w:name="_Toc158597488" w:id="227"/>
      <w:bookmarkStart w:name="_Toc158720112" w:id="228"/>
      <w:bookmarkStart w:name="_Toc158722866" w:id="229"/>
      <w:bookmarkStart w:name="_Toc158929396" w:id="230"/>
      <w:bookmarkEnd w:id="223"/>
      <w:bookmarkEnd w:id="224"/>
      <w:bookmarkEnd w:id="225"/>
      <w:bookmarkEnd w:id="226"/>
      <w:bookmarkEnd w:id="227"/>
      <w:bookmarkEnd w:id="228"/>
      <w:bookmarkEnd w:id="229"/>
      <w:bookmarkEnd w:id="230"/>
    </w:p>
    <w:p w:rsidRPr="002D2A8F" w:rsidR="002D54C4" w:rsidP="00203042" w:rsidRDefault="002D54C4" w14:paraId="055E3D08" w14:textId="38360DC1">
      <w:pPr>
        <w:pStyle w:val="zGTC03"/>
        <w:rPr>
          <w:rFonts w:cs="Arial"/>
          <w:b/>
          <w:vanish/>
          <w:specVanish/>
        </w:rPr>
      </w:pPr>
      <w:r w:rsidRPr="002D2A8F">
        <w:rPr>
          <w:rFonts w:cs="Arial"/>
          <w:b/>
        </w:rPr>
        <w:t xml:space="preserve">Interconnection Study and Entry into </w:t>
      </w:r>
      <w:r w:rsidR="004878ED">
        <w:rPr>
          <w:rFonts w:cs="Arial"/>
          <w:b/>
        </w:rPr>
        <w:t>IA</w:t>
      </w:r>
      <w:r w:rsidRPr="002D2A8F">
        <w:rPr>
          <w:rFonts w:cs="Arial"/>
          <w:b/>
        </w:rPr>
        <w:t>.</w:t>
      </w:r>
    </w:p>
    <w:p w:rsidRPr="002D2A8F" w:rsidR="002D54C4" w:rsidP="00203042" w:rsidRDefault="00BC2DD3" w14:paraId="0B5814C8" w14:textId="4DB7A139">
      <w:pPr>
        <w:pStyle w:val="zGNormal"/>
        <w:spacing w:after="120"/>
      </w:pPr>
      <w:r w:rsidRPr="00261AEB">
        <w:rPr>
          <w:b/>
        </w:rPr>
        <w:t xml:space="preserve"> </w:t>
      </w:r>
      <w:r w:rsidRPr="002D2A8F" w:rsidR="002D54C4">
        <w:t xml:space="preserve">Seller must </w:t>
      </w:r>
      <w:r w:rsidR="007F68C8">
        <w:t xml:space="preserve">(a) have entered into an IA with the Interconnection Provider on or before the Effective Date, or (b) </w:t>
      </w:r>
      <w:r w:rsidRPr="002D2A8F" w:rsidR="002D54C4">
        <w:t xml:space="preserve">enter into an </w:t>
      </w:r>
      <w:r w:rsidR="00420BD2">
        <w:t>IA</w:t>
      </w:r>
      <w:r w:rsidRPr="002D2A8F" w:rsidR="002D54C4">
        <w:t xml:space="preserve"> with the </w:t>
      </w:r>
      <w:r w:rsidR="00BC00D6">
        <w:t>Interconnection</w:t>
      </w:r>
      <w:r w:rsidRPr="002D2A8F" w:rsidR="00BC00D6">
        <w:t xml:space="preserve"> </w:t>
      </w:r>
      <w:r w:rsidRPr="002D2A8F" w:rsidR="002D54C4">
        <w:t xml:space="preserve">Provider by no later than 30 Days after the </w:t>
      </w:r>
      <w:r w:rsidR="00BC00D6">
        <w:t>Interconnection</w:t>
      </w:r>
      <w:r w:rsidRPr="002D2A8F" w:rsidR="00BC00D6">
        <w:t xml:space="preserve"> </w:t>
      </w:r>
      <w:r w:rsidRPr="002D2A8F" w:rsidR="002D54C4">
        <w:t xml:space="preserve">Provider presents Seller with the </w:t>
      </w:r>
      <w:r w:rsidR="004878ED">
        <w:t>IA</w:t>
      </w:r>
      <w:r w:rsidRPr="002D2A8F" w:rsidR="002D54C4">
        <w:t xml:space="preserve"> for execution</w:t>
      </w:r>
      <w:r w:rsidR="005C76C8">
        <w:t>, unless GPC agrees otherwise in writing</w:t>
      </w:r>
      <w:r w:rsidRPr="002D2A8F" w:rsidR="002D54C4">
        <w:t>. Seller must timely comply with all obligations</w:t>
      </w:r>
      <w:r w:rsidR="007820D6">
        <w:t xml:space="preserve"> </w:t>
      </w:r>
      <w:r w:rsidRPr="002D2A8F" w:rsidR="002D54C4">
        <w:t xml:space="preserve">under the Interconnection Study Agreement and </w:t>
      </w:r>
      <w:r w:rsidR="00B64644">
        <w:t>IA</w:t>
      </w:r>
      <w:r w:rsidRPr="002D2A8F" w:rsidR="002D54C4">
        <w:t>, including timely submission of required data</w:t>
      </w:r>
      <w:r w:rsidR="007820D6">
        <w:t>,</w:t>
      </w:r>
      <w:r w:rsidRPr="002D2A8F" w:rsidR="002D54C4">
        <w:t xml:space="preserve"> documentation</w:t>
      </w:r>
      <w:r w:rsidR="007820D6">
        <w:t>,</w:t>
      </w:r>
      <w:r w:rsidRPr="002D2A8F" w:rsidR="002D54C4">
        <w:t xml:space="preserve"> and payment, as applicable. </w:t>
      </w:r>
      <w:r w:rsidR="00683164">
        <w:t xml:space="preserve">Contracted Capacity must not exceed </w:t>
      </w:r>
      <w:r w:rsidRPr="002D2A8F" w:rsidR="002D54C4">
        <w:t xml:space="preserve">the Interconnection Limit. The </w:t>
      </w:r>
      <w:r w:rsidR="00B64644">
        <w:t>IA</w:t>
      </w:r>
      <w:r w:rsidRPr="002D2A8F" w:rsidR="002D54C4">
        <w:t xml:space="preserve"> must</w:t>
      </w:r>
      <w:r w:rsidRPr="002D2A8F" w:rsidDel="00770FA2" w:rsidR="002D54C4">
        <w:t xml:space="preserve"> </w:t>
      </w:r>
      <w:r w:rsidRPr="002D2A8F" w:rsidR="002D54C4">
        <w:t xml:space="preserve">be maintained </w:t>
      </w:r>
      <w:r w:rsidR="007C13CE">
        <w:t>in effect</w:t>
      </w:r>
      <w:r w:rsidRPr="002D2A8F" w:rsidR="002D54C4">
        <w:t xml:space="preserve"> throughout the Term</w:t>
      </w:r>
      <w:r w:rsidR="00464A8F">
        <w:t xml:space="preserve"> (or, if entered into after the Effective Date, throughout the remainder of the Term)</w:t>
      </w:r>
      <w:r w:rsidRPr="002D2A8F" w:rsidR="002D54C4">
        <w:t>. Seller must</w:t>
      </w:r>
      <w:r w:rsidRPr="002D2A8F" w:rsidDel="00770FA2" w:rsidR="002D54C4">
        <w:t xml:space="preserve"> </w:t>
      </w:r>
      <w:r w:rsidRPr="002D2A8F" w:rsidR="002D54C4">
        <w:t xml:space="preserve">promptly provide </w:t>
      </w:r>
      <w:r w:rsidR="00AE6821">
        <w:t>notice</w:t>
      </w:r>
      <w:r w:rsidRPr="002D2A8F" w:rsidR="002D54C4">
        <w:t xml:space="preserve"> to GPC of the </w:t>
      </w:r>
      <w:r w:rsidR="00AE6821">
        <w:t>execution of the</w:t>
      </w:r>
      <w:r w:rsidRPr="002D2A8F" w:rsidR="002D54C4">
        <w:t xml:space="preserve"> </w:t>
      </w:r>
      <w:r w:rsidR="004878ED">
        <w:t>IA</w:t>
      </w:r>
      <w:r w:rsidR="00AE6821">
        <w:t xml:space="preserve"> or any amendment to the IA, including a copy of the executed IA or amendment</w:t>
      </w:r>
      <w:r w:rsidRPr="002D2A8F" w:rsidR="002D54C4">
        <w:t xml:space="preserve">. </w:t>
      </w:r>
    </w:p>
    <w:p w:rsidRPr="002D2A8F" w:rsidR="002D54C4" w:rsidP="00203042" w:rsidRDefault="002D54C4" w14:paraId="4D21EAF6" w14:textId="6D7D5D07">
      <w:pPr>
        <w:pStyle w:val="zGTC03"/>
        <w:rPr>
          <w:rFonts w:cs="Arial"/>
          <w:b/>
          <w:vanish/>
          <w:specVanish/>
        </w:rPr>
      </w:pPr>
      <w:r w:rsidRPr="002D2A8F">
        <w:rPr>
          <w:rFonts w:cs="Arial"/>
          <w:b/>
        </w:rPr>
        <w:t>Interconnection Costs and Expenses.</w:t>
      </w:r>
    </w:p>
    <w:p w:rsidRPr="000B78B4" w:rsidR="00AE319B" w:rsidP="000B78B4" w:rsidRDefault="002D54C4" w14:paraId="722DE017" w14:textId="790D75EF">
      <w:pPr>
        <w:pStyle w:val="zGNormal"/>
        <w:spacing w:after="120"/>
      </w:pPr>
      <w:r w:rsidRPr="002D2A8F">
        <w:rPr>
          <w:b/>
        </w:rPr>
        <w:t xml:space="preserve"> </w:t>
      </w:r>
      <w:r w:rsidRPr="002D2A8F">
        <w:t xml:space="preserve">GPC will not be responsible under this PPA for any </w:t>
      </w:r>
      <w:r w:rsidRPr="002D2A8F" w:rsidR="00C0687E">
        <w:t xml:space="preserve">cost </w:t>
      </w:r>
      <w:r w:rsidRPr="002D2A8F">
        <w:t xml:space="preserve">or </w:t>
      </w:r>
      <w:r w:rsidRPr="002D2A8F" w:rsidR="00C0687E">
        <w:t>expense</w:t>
      </w:r>
      <w:r w:rsidRPr="002D2A8F">
        <w:t xml:space="preserve"> (including overheads and administrative costs) or </w:t>
      </w:r>
      <w:r w:rsidRPr="002D2A8F" w:rsidR="00C0687E">
        <w:t xml:space="preserve">risk </w:t>
      </w:r>
      <w:r w:rsidRPr="002D2A8F">
        <w:t xml:space="preserve">incurred </w:t>
      </w:r>
      <w:r w:rsidRPr="002D2A8F" w:rsidR="00C0687E">
        <w:t>concerning</w:t>
      </w:r>
      <w:r w:rsidRPr="002D2A8F">
        <w:t xml:space="preserve">: (i) the Interconnection Study; </w:t>
      </w:r>
      <w:r w:rsidRPr="002D2A8F" w:rsidR="009D354F">
        <w:t xml:space="preserve">or </w:t>
      </w:r>
      <w:r w:rsidRPr="002D2A8F">
        <w:t xml:space="preserve">(ii) the design, construction, installation, </w:t>
      </w:r>
      <w:r w:rsidR="00024763">
        <w:t xml:space="preserve">modification, </w:t>
      </w:r>
      <w:r w:rsidRPr="002D2A8F" w:rsidR="009D354F">
        <w:t xml:space="preserve">or </w:t>
      </w:r>
      <w:r w:rsidRPr="002D2A8F">
        <w:t>maintenance of the Interconnection Facilities. Seller is responsible for determining all transmission- and interconnection-related rules, practices, and policies with which Seller must comply.</w:t>
      </w:r>
      <w:r w:rsidRPr="002D2A8F" w:rsidR="00BF62E3">
        <w:t xml:space="preserve"> </w:t>
      </w:r>
      <w:r w:rsidRPr="002D2A8F" w:rsidR="00C0687E">
        <w:t>Seller also is responsible for satisfying the payment or security requirements of a</w:t>
      </w:r>
      <w:r w:rsidR="004A7E01">
        <w:t>ny</w:t>
      </w:r>
      <w:r w:rsidRPr="002D2A8F" w:rsidR="00C0687E">
        <w:t xml:space="preserve"> </w:t>
      </w:r>
      <w:r w:rsidR="004A7E01">
        <w:t>Interconnection</w:t>
      </w:r>
      <w:r w:rsidRPr="002D2A8F" w:rsidR="004A7E01">
        <w:t xml:space="preserve"> </w:t>
      </w:r>
      <w:r w:rsidRPr="002D2A8F" w:rsidR="00C0687E">
        <w:t>Provider.</w:t>
      </w:r>
    </w:p>
    <w:p w:rsidRPr="002D2A8F" w:rsidR="002D54C4" w:rsidP="00203042" w:rsidRDefault="002D54C4" w14:paraId="0E26A71E" w14:textId="4EDA5CCA">
      <w:pPr>
        <w:pStyle w:val="zGTC03"/>
        <w:rPr>
          <w:rFonts w:cs="Arial"/>
          <w:b/>
          <w:vanish/>
          <w:specVanish/>
        </w:rPr>
      </w:pPr>
      <w:r w:rsidRPr="002D2A8F">
        <w:rPr>
          <w:rFonts w:cs="Arial"/>
          <w:b/>
        </w:rPr>
        <w:t>Interconnection Projected Completion Date.</w:t>
      </w:r>
    </w:p>
    <w:p w:rsidRPr="002D2A8F" w:rsidR="002D54C4" w:rsidP="00203042" w:rsidRDefault="002D54C4" w14:paraId="7BE5DE45" w14:textId="6C812BDA">
      <w:pPr>
        <w:pStyle w:val="zGNormal"/>
        <w:spacing w:after="120"/>
      </w:pPr>
      <w:r w:rsidRPr="002D2A8F">
        <w:t xml:space="preserve"> The </w:t>
      </w:r>
      <w:r w:rsidR="004878ED">
        <w:t>IA</w:t>
      </w:r>
      <w:r w:rsidRPr="002D2A8F">
        <w:t xml:space="preserve"> must reflect a projected completion date for construction </w:t>
      </w:r>
      <w:r w:rsidR="00AE319B">
        <w:t xml:space="preserve">or modification </w:t>
      </w:r>
      <w:r w:rsidRPr="002D2A8F">
        <w:t xml:space="preserve">of the Interconnection Facilities, including a reasonable schedule between </w:t>
      </w:r>
      <w:r w:rsidRPr="002D2A8F" w:rsidR="00EE0BE3">
        <w:t>initial synchronization and the</w:t>
      </w:r>
      <w:r w:rsidRPr="002D2A8F">
        <w:t xml:space="preserve"> </w:t>
      </w:r>
      <w:r w:rsidR="00894AA2">
        <w:t>R</w:t>
      </w:r>
      <w:r w:rsidRPr="002D2A8F" w:rsidR="00A4748D">
        <w:t>COD</w:t>
      </w:r>
      <w:r w:rsidRPr="002D2A8F">
        <w:t xml:space="preserve"> to allow for operations verification and testing consistent with the </w:t>
      </w:r>
      <w:r w:rsidR="007939E3">
        <w:t>I</w:t>
      </w:r>
      <w:r w:rsidRPr="002D2A8F" w:rsidR="00EE0BE3">
        <w:t xml:space="preserve">nterconnection </w:t>
      </w:r>
      <w:r w:rsidR="007939E3">
        <w:t>P</w:t>
      </w:r>
      <w:r w:rsidRPr="002D2A8F" w:rsidR="00EE0BE3">
        <w:t>rovider’s</w:t>
      </w:r>
      <w:r w:rsidRPr="002D2A8F">
        <w:t xml:space="preserve"> current practices. Seller must, in a timely manner, execute and perform under the </w:t>
      </w:r>
      <w:r w:rsidR="004878ED">
        <w:t>IA</w:t>
      </w:r>
      <w:r w:rsidRPr="002D2A8F">
        <w:t xml:space="preserve">, including providing timely notice to </w:t>
      </w:r>
      <w:r w:rsidRPr="002D2A8F">
        <w:lastRenderedPageBreak/>
        <w:t>proceed, timely submission of required data and documentation, and timely payment</w:t>
      </w:r>
      <w:r w:rsidR="003F3F5F">
        <w:t xml:space="preserve"> or security</w:t>
      </w:r>
      <w:r w:rsidRPr="002D2A8F" w:rsidR="00EE0BE3">
        <w:t>.</w:t>
      </w:r>
      <w:r w:rsidRPr="002D2A8F">
        <w:t xml:space="preserve"> </w:t>
      </w:r>
      <w:r w:rsidRPr="002D2A8F" w:rsidR="00130D15">
        <w:t>Seller acknowledges that before entering a</w:t>
      </w:r>
      <w:r w:rsidR="00130D15">
        <w:t>n</w:t>
      </w:r>
      <w:r w:rsidRPr="002D2A8F" w:rsidR="00130D15">
        <w:t xml:space="preserve"> </w:t>
      </w:r>
      <w:r w:rsidR="00130D15">
        <w:t xml:space="preserve">IA with </w:t>
      </w:r>
      <w:r w:rsidR="00E148D9">
        <w:t>Interconnection Provider</w:t>
      </w:r>
      <w:r w:rsidRPr="002D2A8F" w:rsidR="00130D15">
        <w:t xml:space="preserve">, as described in Section </w:t>
      </w:r>
      <w:r w:rsidRPr="00534192" w:rsidR="00130D15">
        <w:t>8.1.</w:t>
      </w:r>
      <w:r w:rsidR="00E148D9">
        <w:t>1</w:t>
      </w:r>
      <w:r w:rsidRPr="00534192" w:rsidR="00130D15">
        <w:t xml:space="preserve"> (</w:t>
      </w:r>
      <w:r w:rsidRPr="00E148D9" w:rsidR="00E148D9">
        <w:rPr>
          <w:i/>
          <w:iCs/>
        </w:rPr>
        <w:t>Interconnection Study and Entry into IA</w:t>
      </w:r>
      <w:r w:rsidR="00E148D9">
        <w:t>)</w:t>
      </w:r>
      <w:r w:rsidRPr="002D2A8F" w:rsidR="00130D15">
        <w:t>, Seller may need to enter an engineering, procurement, and construction agreement to provide timely notice to proceed.</w:t>
      </w:r>
    </w:p>
    <w:p w:rsidRPr="00E11EDA" w:rsidR="00865E80" w:rsidP="00E902D9" w:rsidRDefault="00865E80" w14:paraId="6C7CC6FE" w14:textId="03DB41F0">
      <w:pPr>
        <w:pStyle w:val="zGTC03"/>
        <w:rPr>
          <w:vanish/>
          <w:specVanish/>
        </w:rPr>
      </w:pPr>
      <w:r w:rsidRPr="00E11EDA">
        <w:t xml:space="preserve">Interconnection </w:t>
      </w:r>
      <w:r>
        <w:t>to Southern Company Transmission System</w:t>
      </w:r>
      <w:r w:rsidRPr="00E11EDA">
        <w:t xml:space="preserve">. </w:t>
      </w:r>
    </w:p>
    <w:p w:rsidRPr="00E11EDA" w:rsidR="00865E80" w:rsidP="00865E80" w:rsidRDefault="00865E80" w14:paraId="09EAEEE5" w14:textId="1BDC54A0">
      <w:pPr>
        <w:pStyle w:val="zGNormal"/>
      </w:pPr>
      <w:r w:rsidRPr="00E11EDA" w:rsidDel="00E11EDA">
        <w:rPr>
          <w:b/>
          <w:bCs/>
        </w:rPr>
        <w:t xml:space="preserve"> </w:t>
      </w:r>
      <w:r w:rsidR="00AE319B">
        <w:t>T</w:t>
      </w:r>
      <w:r>
        <w:t>he IA</w:t>
      </w:r>
      <w:r w:rsidRPr="002D2A8F">
        <w:t xml:space="preserve"> will be read in conjunction with </w:t>
      </w:r>
      <w:r w:rsidR="00894AA2">
        <w:t xml:space="preserve">this </w:t>
      </w:r>
      <w:r w:rsidRPr="00534192">
        <w:t>Part 8 (</w:t>
      </w:r>
      <w:r w:rsidRPr="00534192">
        <w:rPr>
          <w:i/>
        </w:rPr>
        <w:t>Interconnection and Metering</w:t>
      </w:r>
      <w:r w:rsidRPr="00534192">
        <w:t>)</w:t>
      </w:r>
      <w:r w:rsidRPr="002D2A8F">
        <w:t xml:space="preserve"> and any contradictory provision related to Facility interconnection will be resolved in favor of the </w:t>
      </w:r>
      <w:r>
        <w:t>IA</w:t>
      </w:r>
      <w:r w:rsidRPr="002D2A8F">
        <w:t>.</w:t>
      </w:r>
    </w:p>
    <w:p w:rsidRPr="002D2A8F" w:rsidR="002D54C4" w:rsidP="00DE593D" w:rsidRDefault="002D54C4" w14:paraId="4B269648" w14:textId="4A408449">
      <w:pPr>
        <w:pStyle w:val="zGTC02"/>
        <w:spacing w:after="120"/>
        <w:rPr>
          <w:rFonts w:ascii="Arial" w:hAnsi="Arial" w:cs="Arial"/>
          <w:specVanish/>
        </w:rPr>
      </w:pPr>
      <w:bookmarkStart w:name="_Toc169778610" w:id="231"/>
      <w:bookmarkStart w:name="_Toc227451376" w:id="232"/>
      <w:r w:rsidRPr="002D2A8F">
        <w:rPr>
          <w:rFonts w:ascii="Arial" w:hAnsi="Arial" w:cs="Arial"/>
        </w:rPr>
        <w:t>Metering and Telemetry.</w:t>
      </w:r>
      <w:bookmarkStart w:name="_Toc158593210" w:id="233"/>
      <w:bookmarkStart w:name="_Toc158597489" w:id="234"/>
      <w:bookmarkStart w:name="_Toc158720113" w:id="235"/>
      <w:bookmarkStart w:name="_Toc158722867" w:id="236"/>
      <w:bookmarkStart w:name="_Toc158929397" w:id="237"/>
      <w:bookmarkEnd w:id="231"/>
      <w:bookmarkEnd w:id="232"/>
      <w:bookmarkEnd w:id="233"/>
      <w:bookmarkEnd w:id="234"/>
      <w:bookmarkEnd w:id="235"/>
      <w:bookmarkEnd w:id="236"/>
      <w:bookmarkEnd w:id="237"/>
    </w:p>
    <w:p w:rsidRPr="002D2A8F" w:rsidR="002D54C4" w:rsidP="00DE593D" w:rsidRDefault="002D54C4" w14:paraId="22602A3D" w14:textId="5E5FE5CE">
      <w:pPr>
        <w:pStyle w:val="zGTC03"/>
        <w:rPr>
          <w:rFonts w:cs="Arial"/>
          <w:b/>
          <w:vanish/>
          <w:specVanish/>
        </w:rPr>
      </w:pPr>
      <w:r w:rsidRPr="002D2A8F">
        <w:rPr>
          <w:rFonts w:cs="Arial"/>
          <w:b/>
        </w:rPr>
        <w:t>Metering System.</w:t>
      </w:r>
    </w:p>
    <w:p w:rsidRPr="002D2A8F" w:rsidR="002D54C4" w:rsidP="00DE593D" w:rsidRDefault="002D54C4" w14:paraId="5E413715" w14:textId="4A214013">
      <w:pPr>
        <w:pStyle w:val="zGNormal"/>
        <w:spacing w:after="120"/>
      </w:pPr>
      <w:r w:rsidRPr="002D2A8F">
        <w:rPr>
          <w:b/>
        </w:rPr>
        <w:t xml:space="preserve"> </w:t>
      </w:r>
      <w:r w:rsidRPr="002D2A8F">
        <w:t xml:space="preserve">Seller must ensure the Metering System is designed, located, constructed, installed, owned, operated, and maintained in accordance with the </w:t>
      </w:r>
      <w:r w:rsidR="004878ED">
        <w:t>IA</w:t>
      </w:r>
      <w:r w:rsidRPr="002D2A8F">
        <w:t xml:space="preserve"> and Prudent Industry Practices to measure and record the energy delivered to the POI from the Facility </w:t>
      </w:r>
      <w:r w:rsidR="00B86E6C">
        <w:t xml:space="preserve">and to the Facility from the POI </w:t>
      </w:r>
      <w:r w:rsidRPr="002D2A8F">
        <w:t>to determine</w:t>
      </w:r>
      <w:r w:rsidRPr="002D2A8F" w:rsidR="00557163">
        <w:t>: (i)</w:t>
      </w:r>
      <w:r w:rsidRPr="002D2A8F">
        <w:t xml:space="preserve"> the RECs generated by the Facility</w:t>
      </w:r>
      <w:r w:rsidRPr="002D2A8F" w:rsidR="00557163">
        <w:t>; (ii)</w:t>
      </w:r>
      <w:r w:rsidRPr="002D2A8F">
        <w:t xml:space="preserve"> </w:t>
      </w:r>
      <w:r w:rsidR="00CD19EC">
        <w:t>B</w:t>
      </w:r>
      <w:r w:rsidRPr="002D2A8F">
        <w:t>ESS capacity</w:t>
      </w:r>
      <w:r w:rsidRPr="002D2A8F" w:rsidR="00557163">
        <w:t>;</w:t>
      </w:r>
      <w:r w:rsidRPr="002D2A8F">
        <w:t xml:space="preserve"> and </w:t>
      </w:r>
      <w:r w:rsidRPr="002D2A8F" w:rsidR="007D3D97">
        <w:t>(iii)</w:t>
      </w:r>
      <w:r w:rsidRPr="002D2A8F">
        <w:t xml:space="preserve"> the </w:t>
      </w:r>
      <w:r w:rsidRPr="002D2A8F" w:rsidR="007D3D97">
        <w:t xml:space="preserve">measured </w:t>
      </w:r>
      <w:r w:rsidRPr="002D2A8F">
        <w:t xml:space="preserve">availability of the </w:t>
      </w:r>
      <w:r w:rsidR="00CD19EC">
        <w:t>B</w:t>
      </w:r>
      <w:r w:rsidRPr="002D2A8F">
        <w:t xml:space="preserve">ESS in meeting GPC’s AGC </w:t>
      </w:r>
      <w:r w:rsidRPr="002D2A8F" w:rsidR="00CA7A04">
        <w:t xml:space="preserve">Setpoint </w:t>
      </w:r>
      <w:r w:rsidRPr="002D2A8F">
        <w:t xml:space="preserve">signals. The Metering System must </w:t>
      </w:r>
      <w:r w:rsidRPr="002D2A8F" w:rsidR="00141BC7">
        <w:t>continuously</w:t>
      </w:r>
      <w:r w:rsidRPr="002D2A8F">
        <w:t xml:space="preserve"> </w:t>
      </w:r>
      <w:r w:rsidRPr="002D2A8F" w:rsidR="00801A82">
        <w:t>and separately</w:t>
      </w:r>
      <w:r w:rsidRPr="002D2A8F">
        <w:t xml:space="preserve"> measure </w:t>
      </w:r>
      <w:r w:rsidR="00CD19EC">
        <w:t>B</w:t>
      </w:r>
      <w:r w:rsidRPr="002D2A8F">
        <w:t xml:space="preserve">ESS and Renewable Resource </w:t>
      </w:r>
      <w:r w:rsidRPr="002D2A8F" w:rsidR="00EC1400">
        <w:t>input/</w:t>
      </w:r>
      <w:r w:rsidRPr="002D2A8F">
        <w:t>output and report both values at all times. The Metering System will be of a mutually acceptable accuracy range and type, including audit capabilities. Seller</w:t>
      </w:r>
      <w:r w:rsidR="00191551">
        <w:t xml:space="preserve"> and Seller’s Representatives </w:t>
      </w:r>
      <w:r w:rsidRPr="002D2A8F">
        <w:t xml:space="preserve">must not adjust the Metering System without GPC’s written consent. GPC, at its own cost, </w:t>
      </w:r>
      <w:r w:rsidR="00B5361C">
        <w:t>may</w:t>
      </w:r>
      <w:r w:rsidRPr="002D2A8F">
        <w:t xml:space="preserve"> install additional meters or other such facilities, equipment, or devices as GPC deems necessary or appropriate to monitor the measurements of the Metering System</w:t>
      </w:r>
      <w:r w:rsidRPr="002D2A8F" w:rsidR="00FB4218">
        <w:t>.</w:t>
      </w:r>
      <w:r w:rsidRPr="002D2A8F">
        <w:t xml:space="preserve">  Seller </w:t>
      </w:r>
      <w:r w:rsidRPr="002D2A8F" w:rsidR="00612004">
        <w:t>must</w:t>
      </w:r>
      <w:r w:rsidRPr="002D2A8F">
        <w:t xml:space="preserve"> install, at its own expense, all needed metering support equipment on its side of the POI to facilitate </w:t>
      </w:r>
      <w:r w:rsidRPr="002D2A8F" w:rsidR="00086C96">
        <w:t xml:space="preserve">GPC’s dispatch of </w:t>
      </w:r>
      <w:r w:rsidRPr="002D2A8F" w:rsidR="00E405B4">
        <w:t xml:space="preserve">the </w:t>
      </w:r>
      <w:r w:rsidR="00CD19EC">
        <w:t>B</w:t>
      </w:r>
      <w:r w:rsidRPr="002D2A8F" w:rsidR="00E405B4">
        <w:t xml:space="preserve">ESS or Renewable Resource via </w:t>
      </w:r>
      <w:r w:rsidRPr="002D2A8F">
        <w:t>AGC</w:t>
      </w:r>
      <w:r w:rsidRPr="002D2A8F" w:rsidR="003A214C">
        <w:t xml:space="preserve"> Setpoint</w:t>
      </w:r>
      <w:r w:rsidRPr="002D2A8F">
        <w:t xml:space="preserve"> signals. Seller </w:t>
      </w:r>
      <w:r w:rsidRPr="002D2A8F" w:rsidR="00A341F9">
        <w:t>must</w:t>
      </w:r>
      <w:r w:rsidRPr="002D2A8F">
        <w:t xml:space="preserve"> </w:t>
      </w:r>
      <w:r w:rsidRPr="002D2A8F" w:rsidR="003A214C">
        <w:t>also, at Seller’s expense,</w:t>
      </w:r>
      <w:r w:rsidRPr="002D2A8F">
        <w:t xml:space="preserve"> install or upgrade </w:t>
      </w:r>
      <w:r w:rsidRPr="002D2A8F" w:rsidR="003A214C">
        <w:t>the Facility</w:t>
      </w:r>
      <w:r w:rsidRPr="002D2A8F">
        <w:t xml:space="preserve"> control systems to </w:t>
      </w:r>
      <w:r w:rsidRPr="002D2A8F" w:rsidR="000343B8">
        <w:t>allow</w:t>
      </w:r>
      <w:r w:rsidRPr="002D2A8F">
        <w:t xml:space="preserve"> GPC’s </w:t>
      </w:r>
      <w:r w:rsidRPr="002D2A8F" w:rsidR="000343B8">
        <w:t xml:space="preserve">AGC </w:t>
      </w:r>
      <w:r w:rsidRPr="002D2A8F" w:rsidR="00A94B93">
        <w:t>dispatch</w:t>
      </w:r>
      <w:r w:rsidRPr="002D2A8F" w:rsidR="000343B8">
        <w:t xml:space="preserve"> of the </w:t>
      </w:r>
      <w:r w:rsidR="00CD19EC">
        <w:t>B</w:t>
      </w:r>
      <w:r w:rsidRPr="002D2A8F" w:rsidR="000343B8">
        <w:t>ESS or Renewable Resource</w:t>
      </w:r>
      <w:r w:rsidRPr="002D2A8F" w:rsidR="00464572">
        <w:t xml:space="preserve">. </w:t>
      </w:r>
      <w:r w:rsidRPr="002D2A8F">
        <w:t xml:space="preserve">GPC will reasonably establish the telemetering equipment and systems that are necessary to </w:t>
      </w:r>
      <w:r w:rsidRPr="002D2A8F" w:rsidR="00A94B93">
        <w:t>dispatch</w:t>
      </w:r>
      <w:r w:rsidRPr="002D2A8F">
        <w:t xml:space="preserve"> the Facility from the Dispatch Center, and Seller, at </w:t>
      </w:r>
      <w:r w:rsidRPr="002D2A8F" w:rsidR="00C92772">
        <w:t xml:space="preserve">Seller’s </w:t>
      </w:r>
      <w:r w:rsidRPr="002D2A8F">
        <w:t xml:space="preserve">expense, </w:t>
      </w:r>
      <w:r w:rsidR="00F1753F">
        <w:t xml:space="preserve">must </w:t>
      </w:r>
      <w:r w:rsidRPr="002D2A8F">
        <w:t>install or cause the installation of such telemetering equipment. Seller must deliver to GPC all the telemetered data and any other data GPC requests.</w:t>
      </w:r>
    </w:p>
    <w:p w:rsidRPr="002D2A8F" w:rsidR="002D54C4" w:rsidP="00DE593D" w:rsidRDefault="002D54C4" w14:paraId="06EB0111" w14:textId="0001AAC2">
      <w:pPr>
        <w:pStyle w:val="zGTC03"/>
        <w:rPr>
          <w:rFonts w:cs="Arial"/>
          <w:b/>
          <w:vanish/>
          <w:specVanish/>
        </w:rPr>
      </w:pPr>
      <w:r w:rsidRPr="002D2A8F">
        <w:rPr>
          <w:rFonts w:cs="Arial"/>
          <w:b/>
        </w:rPr>
        <w:t>Inspection.</w:t>
      </w:r>
    </w:p>
    <w:p w:rsidRPr="002D2A8F" w:rsidR="002D54C4" w:rsidP="00DE593D" w:rsidRDefault="002D54C4" w14:paraId="009493E4" w14:textId="2DFF354D">
      <w:pPr>
        <w:pStyle w:val="zGNormal"/>
        <w:spacing w:after="120"/>
      </w:pPr>
      <w:r w:rsidRPr="002D2A8F">
        <w:t xml:space="preserve"> Seller must</w:t>
      </w:r>
      <w:r w:rsidRPr="002D2A8F" w:rsidDel="00943CAD">
        <w:t xml:space="preserve"> </w:t>
      </w:r>
      <w:r w:rsidRPr="002D2A8F">
        <w:t>inspect and test all meters at such times as will conform to Prudent Industry Practices, but not less often than once biennially. Seller will</w:t>
      </w:r>
      <w:r w:rsidRPr="002D2A8F" w:rsidDel="00943CAD">
        <w:t xml:space="preserve"> </w:t>
      </w:r>
      <w:r w:rsidRPr="002D2A8F">
        <w:t>be responsible for all costs and expenses incurred in connection with such inspections or tests.</w:t>
      </w:r>
      <w:r w:rsidRPr="002D2A8F" w:rsidR="00DD5AED">
        <w:t xml:space="preserve"> </w:t>
      </w:r>
    </w:p>
    <w:p w:rsidRPr="002D2A8F" w:rsidR="002D54C4" w:rsidP="00DE593D" w:rsidRDefault="002D54C4" w14:paraId="5EFA3378" w14:textId="0D109079">
      <w:pPr>
        <w:pStyle w:val="zGTC03"/>
        <w:rPr>
          <w:rFonts w:cs="Arial"/>
          <w:b/>
          <w:vanish/>
          <w:specVanish/>
        </w:rPr>
      </w:pPr>
      <w:r w:rsidRPr="002D2A8F">
        <w:rPr>
          <w:rFonts w:cs="Arial"/>
          <w:b/>
        </w:rPr>
        <w:t>Adjustments.</w:t>
      </w:r>
    </w:p>
    <w:p w:rsidRPr="002D2A8F" w:rsidR="002D54C4" w:rsidP="00DE593D" w:rsidRDefault="002D54C4" w14:paraId="3F9571CA" w14:textId="49AC373A">
      <w:pPr>
        <w:pStyle w:val="zGNormal"/>
        <w:spacing w:after="120"/>
      </w:pPr>
      <w:r w:rsidRPr="002D2A8F">
        <w:t xml:space="preserve"> If the Metering System</w:t>
      </w:r>
      <w:r w:rsidR="00CF3302">
        <w:t>, including any meter</w:t>
      </w:r>
      <w:r w:rsidRPr="002D2A8F">
        <w:t xml:space="preserve"> </w:t>
      </w:r>
      <w:r w:rsidR="00D12E45">
        <w:t xml:space="preserve">or </w:t>
      </w:r>
      <w:r w:rsidR="00CF3302">
        <w:t>measuring</w:t>
      </w:r>
      <w:r w:rsidR="00D12E45">
        <w:t xml:space="preserve"> </w:t>
      </w:r>
      <w:r w:rsidR="00101CB4">
        <w:t>component of the Metering System</w:t>
      </w:r>
      <w:r w:rsidR="00CF3302">
        <w:t>,</w:t>
      </w:r>
      <w:r w:rsidRPr="002D2A8F">
        <w:t xml:space="preserve"> fails to register,</w:t>
      </w:r>
      <w:r w:rsidRPr="002D2A8F" w:rsidR="00341016">
        <w:t xml:space="preserve"> </w:t>
      </w:r>
      <w:r w:rsidR="0003595A">
        <w:t xml:space="preserve"> </w:t>
      </w:r>
      <w:r w:rsidR="00DA0BA9">
        <w:t>has</w:t>
      </w:r>
      <w:r w:rsidR="00B65CAA">
        <w:t xml:space="preserve"> a</w:t>
      </w:r>
      <w:r w:rsidR="0003595A">
        <w:t xml:space="preserve"> </w:t>
      </w:r>
      <w:r w:rsidRPr="002D2A8F" w:rsidR="00341016">
        <w:t>broken</w:t>
      </w:r>
      <w:r w:rsidR="00B65CAA">
        <w:t xml:space="preserve"> seal</w:t>
      </w:r>
      <w:r w:rsidRPr="002D2A8F" w:rsidR="00341016">
        <w:t>,</w:t>
      </w:r>
      <w:r w:rsidRPr="002D2A8F">
        <w:t xml:space="preserve"> or upon testing </w:t>
      </w:r>
      <w:r w:rsidR="005817A6">
        <w:t>provide</w:t>
      </w:r>
      <w:r w:rsidR="005D530D">
        <w:t>s a</w:t>
      </w:r>
      <w:r w:rsidR="00BE227A">
        <w:t xml:space="preserve"> </w:t>
      </w:r>
      <w:r w:rsidR="005817A6">
        <w:t xml:space="preserve">measurement that </w:t>
      </w:r>
      <w:r w:rsidRPr="002D2A8F">
        <w:t>var</w:t>
      </w:r>
      <w:r w:rsidR="00591D2B">
        <w:t>ies</w:t>
      </w:r>
      <w:r w:rsidRPr="002D2A8F">
        <w:t xml:space="preserve"> by more than </w:t>
      </w:r>
      <w:r w:rsidR="00C85906">
        <w:t>the lesser of</w:t>
      </w:r>
      <w:r w:rsidR="00186C76">
        <w:t>:</w:t>
      </w:r>
      <w:r w:rsidR="00C85906">
        <w:t xml:space="preserve"> (</w:t>
      </w:r>
      <w:r w:rsidR="000938A7">
        <w:t>i)</w:t>
      </w:r>
      <w:r w:rsidRPr="002D2A8F">
        <w:t xml:space="preserve"> 0.5% </w:t>
      </w:r>
      <w:r w:rsidR="00186C76">
        <w:t>relative to</w:t>
      </w:r>
      <w:r w:rsidRPr="002D2A8F" w:rsidR="00186C76">
        <w:t xml:space="preserve"> </w:t>
      </w:r>
      <w:r w:rsidRPr="002D2A8F">
        <w:t>the measurement made by the standard meter used in the test</w:t>
      </w:r>
      <w:r w:rsidR="00F933D5">
        <w:t xml:space="preserve">, or (ii) </w:t>
      </w:r>
      <w:r w:rsidR="008E304B">
        <w:t xml:space="preserve">1.0% </w:t>
      </w:r>
      <w:r w:rsidR="00156D34">
        <w:t>relative to</w:t>
      </w:r>
      <w:r w:rsidR="008E304B">
        <w:t xml:space="preserve"> the manufacturer’s accuracy specification </w:t>
      </w:r>
      <w:r w:rsidR="00191495">
        <w:t xml:space="preserve">for the standard meter used in </w:t>
      </w:r>
      <w:r w:rsidR="007E7B52">
        <w:t>the</w:t>
      </w:r>
      <w:r w:rsidR="00191495">
        <w:t xml:space="preserve"> test</w:t>
      </w:r>
      <w:r w:rsidRPr="002D2A8F">
        <w:t xml:space="preserve">, </w:t>
      </w:r>
      <w:r w:rsidR="00156D34">
        <w:t xml:space="preserve">then </w:t>
      </w:r>
      <w:r w:rsidR="00191495">
        <w:t>Seller must</w:t>
      </w:r>
      <w:r w:rsidR="00FF7071">
        <w:t>, at its sole cost and expense,</w:t>
      </w:r>
      <w:r w:rsidR="00191495">
        <w:t xml:space="preserve"> repair or replace the </w:t>
      </w:r>
      <w:r w:rsidR="007364EB">
        <w:t xml:space="preserve">affected </w:t>
      </w:r>
      <w:r w:rsidR="002B2BB2">
        <w:t xml:space="preserve">portion(s) of the </w:t>
      </w:r>
      <w:r w:rsidR="00FF7071">
        <w:t>Metering System</w:t>
      </w:r>
      <w:r w:rsidR="00191495">
        <w:t xml:space="preserve"> </w:t>
      </w:r>
      <w:r w:rsidR="00DE38B0">
        <w:t xml:space="preserve">within a reasonable </w:t>
      </w:r>
      <w:r w:rsidR="00435959">
        <w:t>period</w:t>
      </w:r>
      <w:r w:rsidR="00DE38B0">
        <w:t xml:space="preserve"> </w:t>
      </w:r>
      <w:r w:rsidR="00C86FD0">
        <w:t>after</w:t>
      </w:r>
      <w:r w:rsidR="00DE38B0">
        <w:t xml:space="preserve"> </w:t>
      </w:r>
      <w:r w:rsidR="0054419D">
        <w:t>the</w:t>
      </w:r>
      <w:r w:rsidR="00DE38B0">
        <w:t xml:space="preserve"> test. </w:t>
      </w:r>
      <w:r w:rsidR="00767F16">
        <w:t xml:space="preserve">Further, </w:t>
      </w:r>
      <w:r w:rsidR="00BE227A">
        <w:t>if</w:t>
      </w:r>
      <w:r w:rsidR="005852F6">
        <w:t xml:space="preserve"> </w:t>
      </w:r>
      <w:r w:rsidR="00A507DE">
        <w:t xml:space="preserve">the Metering System or component </w:t>
      </w:r>
      <w:r w:rsidR="00BE227A">
        <w:t xml:space="preserve">provides </w:t>
      </w:r>
      <w:r w:rsidR="00BE1239">
        <w:t xml:space="preserve">a measurement that varies by more than </w:t>
      </w:r>
      <w:r w:rsidR="006267AC">
        <w:t xml:space="preserve">1.0% </w:t>
      </w:r>
      <w:r w:rsidR="002E19DB">
        <w:t>relative to</w:t>
      </w:r>
      <w:r w:rsidR="006267AC">
        <w:t xml:space="preserve"> the measurement made by the standard meter used in the test, then</w:t>
      </w:r>
      <w:r w:rsidRPr="002D2A8F">
        <w:t xml:space="preserve"> all measurements of energy made by the Metering System during </w:t>
      </w:r>
      <w:r w:rsidRPr="002D2A8F" w:rsidR="0080045A">
        <w:t xml:space="preserve">the </w:t>
      </w:r>
      <w:r w:rsidRPr="00534192">
        <w:t>Adjustment Period</w:t>
      </w:r>
      <w:r w:rsidR="00EA76F0">
        <w:t xml:space="preserve"> will be adjusted</w:t>
      </w:r>
      <w:r w:rsidR="009757BB">
        <w:t xml:space="preserve"> </w:t>
      </w:r>
      <w:r w:rsidR="009060B3">
        <w:t xml:space="preserve">to </w:t>
      </w:r>
      <w:r w:rsidR="00D37719">
        <w:t>correct</w:t>
      </w:r>
      <w:r w:rsidR="006324EF">
        <w:t xml:space="preserve"> </w:t>
      </w:r>
      <w:r w:rsidR="00D37719">
        <w:t>any inaccuracies</w:t>
      </w:r>
      <w:r w:rsidR="002C649F">
        <w:t xml:space="preserve">, </w:t>
      </w:r>
      <w:r w:rsidR="009B305B">
        <w:t xml:space="preserve">and </w:t>
      </w:r>
      <w:r w:rsidR="002C649F">
        <w:t xml:space="preserve">all amounts previously invoiced or paid </w:t>
      </w:r>
      <w:r w:rsidR="00AF1CB3">
        <w:t xml:space="preserve">for </w:t>
      </w:r>
      <w:r w:rsidR="00116D5D">
        <w:t>that</w:t>
      </w:r>
      <w:r w:rsidR="002C649F">
        <w:t xml:space="preserve"> </w:t>
      </w:r>
      <w:r w:rsidR="00AF1CB3">
        <w:t>energy</w:t>
      </w:r>
      <w:r w:rsidR="009230EF">
        <w:t xml:space="preserve"> will be reconciled</w:t>
      </w:r>
      <w:r w:rsidRPr="002D2A8F">
        <w:t xml:space="preserve">. </w:t>
      </w:r>
      <w:r w:rsidRPr="002D2A8F" w:rsidR="007113E5">
        <w:t>“</w:t>
      </w:r>
      <w:r w:rsidRPr="002D2A8F">
        <w:rPr>
          <w:b/>
        </w:rPr>
        <w:t>Adjustment Period</w:t>
      </w:r>
      <w:r w:rsidRPr="002D2A8F" w:rsidR="007113E5">
        <w:t>”</w:t>
      </w:r>
      <w:r w:rsidRPr="002D2A8F">
        <w:t xml:space="preserve"> means either: </w:t>
      </w:r>
      <w:r w:rsidRPr="002D2A8F">
        <w:rPr>
          <w:bCs/>
        </w:rPr>
        <w:t>(</w:t>
      </w:r>
      <w:r w:rsidR="000938A7">
        <w:rPr>
          <w:bCs/>
        </w:rPr>
        <w:t>a</w:t>
      </w:r>
      <w:r w:rsidRPr="002D2A8F">
        <w:rPr>
          <w:bCs/>
        </w:rPr>
        <w:t>) the actual period when inaccurate measurements were made by the Metering System, if that period can be determined to the mutual satisfaction of the Parties; or (</w:t>
      </w:r>
      <w:r w:rsidR="000938A7">
        <w:rPr>
          <w:bCs/>
        </w:rPr>
        <w:t>b</w:t>
      </w:r>
      <w:r w:rsidRPr="002D2A8F">
        <w:rPr>
          <w:bCs/>
        </w:rPr>
        <w:t>) if the actual period cannot be determined to the mutual satisfaction of the Parties, the second half of the period from the date of the last test of the Metering System to the date the failure is discovered or the test is made</w:t>
      </w:r>
      <w:r w:rsidRPr="002D2A8F">
        <w:t>. If the Parties are unable to agree on the adjustment to be applied to the Adjustment Period, the adjustment will</w:t>
      </w:r>
      <w:r w:rsidRPr="002D2A8F" w:rsidDel="00943CAD">
        <w:t xml:space="preserve"> </w:t>
      </w:r>
      <w:r w:rsidRPr="002D2A8F">
        <w:t>be determined: (</w:t>
      </w:r>
      <w:r w:rsidR="000938A7">
        <w:t>I</w:t>
      </w:r>
      <w:r w:rsidRPr="002D2A8F">
        <w:t>) by correcting the error if the percentage of error is ascertainable by calibration, test, or mathematical calculation; or (</w:t>
      </w:r>
      <w:r w:rsidR="000938A7">
        <w:t>II</w:t>
      </w:r>
      <w:r w:rsidRPr="002D2A8F">
        <w:t xml:space="preserve">) if not so ascertainable, by estimating </w:t>
      </w:r>
      <w:r w:rsidR="000C55AC">
        <w:t>based on</w:t>
      </w:r>
      <w:r w:rsidRPr="002D2A8F">
        <w:t xml:space="preserve"> deliveries made under similar conditions during the period since the last test. Within 30 Days after the determination of any adjustment, GPC</w:t>
      </w:r>
      <w:r w:rsidRPr="002D2A8F" w:rsidDel="003C44DC">
        <w:t xml:space="preserve"> </w:t>
      </w:r>
      <w:r w:rsidRPr="002D2A8F">
        <w:t>will</w:t>
      </w:r>
      <w:r w:rsidRPr="002D2A8F" w:rsidDel="00943CAD">
        <w:t xml:space="preserve"> </w:t>
      </w:r>
      <w:r w:rsidRPr="002D2A8F">
        <w:t>pay Seller any additional amount then due or GPC will</w:t>
      </w:r>
      <w:r w:rsidRPr="002D2A8F" w:rsidDel="00943CAD">
        <w:t xml:space="preserve"> </w:t>
      </w:r>
      <w:r w:rsidRPr="002D2A8F">
        <w:t xml:space="preserve">be entitled to a credit against any subsequent </w:t>
      </w:r>
      <w:r w:rsidRPr="002D2A8F" w:rsidR="000F72CC">
        <w:t>Monthly Capacity P</w:t>
      </w:r>
      <w:r w:rsidRPr="002D2A8F">
        <w:t>ayment.</w:t>
      </w:r>
    </w:p>
    <w:p w:rsidRPr="002D2A8F" w:rsidR="002D54C4" w:rsidP="00DE593D" w:rsidRDefault="002D54C4" w14:paraId="633B269A" w14:textId="77777777">
      <w:pPr>
        <w:pStyle w:val="zGTC03"/>
        <w:rPr>
          <w:rFonts w:cs="Arial"/>
          <w:b/>
          <w:vanish/>
          <w:specVanish/>
        </w:rPr>
      </w:pPr>
      <w:r w:rsidRPr="002D2A8F">
        <w:rPr>
          <w:rFonts w:cs="Arial"/>
          <w:b/>
        </w:rPr>
        <w:t>Notice of Testing.</w:t>
      </w:r>
    </w:p>
    <w:p w:rsidRPr="002D2A8F" w:rsidR="002D54C4" w:rsidP="00DE593D" w:rsidRDefault="002D54C4" w14:paraId="6F44C213" w14:textId="6ECF9378">
      <w:pPr>
        <w:pStyle w:val="zGNormal"/>
        <w:spacing w:after="120"/>
      </w:pPr>
      <w:r w:rsidRPr="002D2A8F">
        <w:t xml:space="preserve"> GPC and its </w:t>
      </w:r>
      <w:r w:rsidR="00891949">
        <w:t>R</w:t>
      </w:r>
      <w:r w:rsidRPr="002D2A8F">
        <w:t xml:space="preserve">epresentatives </w:t>
      </w:r>
      <w:r w:rsidRPr="002D2A8F" w:rsidR="00471F86">
        <w:t>may</w:t>
      </w:r>
      <w:r w:rsidRPr="002D2A8F">
        <w:t xml:space="preserve"> be present at any test, inspection, maintenance, adjustment, </w:t>
      </w:r>
      <w:r w:rsidR="00891949">
        <w:t>or</w:t>
      </w:r>
      <w:r w:rsidRPr="002D2A8F" w:rsidR="00891949">
        <w:t xml:space="preserve"> </w:t>
      </w:r>
      <w:r w:rsidRPr="002D2A8F">
        <w:t xml:space="preserve">replacement of any part of the Metering System relating to obligations under this PPA. Seller must provide GPC with reasonable prior notice regarding an activity described in the preceding sentence. </w:t>
      </w:r>
    </w:p>
    <w:p w:rsidRPr="002D2A8F" w:rsidR="001A2947" w:rsidP="00DE593D" w:rsidRDefault="001A2947" w14:paraId="6E583D43" w14:textId="77777777">
      <w:pPr>
        <w:pStyle w:val="zGTC03"/>
        <w:rPr>
          <w:rFonts w:cs="Arial"/>
          <w:b/>
          <w:vanish/>
          <w:szCs w:val="20"/>
          <w:specVanish/>
        </w:rPr>
      </w:pPr>
      <w:r w:rsidRPr="002D2A8F">
        <w:rPr>
          <w:rFonts w:cs="Arial"/>
          <w:b/>
        </w:rPr>
        <w:lastRenderedPageBreak/>
        <w:t>Loss Factor Adjustment</w:t>
      </w:r>
      <w:r w:rsidRPr="002D2A8F">
        <w:rPr>
          <w:rFonts w:cs="Arial"/>
          <w:b/>
          <w:szCs w:val="20"/>
        </w:rPr>
        <w:t>.</w:t>
      </w:r>
    </w:p>
    <w:p w:rsidRPr="002D2A8F" w:rsidR="002323E1" w:rsidP="00DE593D" w:rsidRDefault="001A2947" w14:paraId="2DFE5D70" w14:textId="68035973">
      <w:pPr>
        <w:pStyle w:val="zGNormal"/>
        <w:spacing w:after="120"/>
      </w:pPr>
      <w:r w:rsidRPr="002D2A8F">
        <w:t xml:space="preserve"> If, and to the extent, the Metering System is not measuring deliveries of energy physically at the POI, the metered energy quantity will</w:t>
      </w:r>
      <w:r w:rsidRPr="002D2A8F" w:rsidDel="00943CAD">
        <w:t xml:space="preserve"> </w:t>
      </w:r>
      <w:r w:rsidRPr="002D2A8F">
        <w:t xml:space="preserve">be adjusted for losses to or from the POI by a loss factor determined by GPC, in accordance with Prudent Industry Practices. </w:t>
      </w:r>
    </w:p>
    <w:p w:rsidRPr="002D2A8F" w:rsidR="002D54C4" w:rsidP="00ED6839" w:rsidRDefault="00CD19EC" w14:paraId="29A38EEE" w14:textId="78A3FA75">
      <w:pPr>
        <w:pStyle w:val="zGTC01"/>
        <w:rPr>
          <w:rFonts w:ascii="Arial" w:hAnsi="Arial"/>
        </w:rPr>
      </w:pPr>
      <w:bookmarkStart w:name="_Toc156309781" w:id="238"/>
      <w:bookmarkStart w:name="_Toc169778611" w:id="239"/>
      <w:bookmarkStart w:name="_Toc227451377" w:id="240"/>
      <w:r>
        <w:rPr>
          <w:rFonts w:ascii="Arial" w:hAnsi="Arial"/>
        </w:rPr>
        <w:t>B</w:t>
      </w:r>
      <w:r w:rsidRPr="002D2A8F" w:rsidR="002D54C4">
        <w:rPr>
          <w:rFonts w:ascii="Arial" w:hAnsi="Arial"/>
        </w:rPr>
        <w:t>ESS</w:t>
      </w:r>
      <w:r w:rsidRPr="002D2A8F" w:rsidR="00EB1357">
        <w:rPr>
          <w:rFonts w:ascii="Arial" w:hAnsi="Arial"/>
        </w:rPr>
        <w:t xml:space="preserve"> </w:t>
      </w:r>
      <w:r w:rsidRPr="002D2A8F" w:rsidR="002D54C4">
        <w:rPr>
          <w:rFonts w:ascii="Arial" w:hAnsi="Arial"/>
        </w:rPr>
        <w:t xml:space="preserve">Capacity and </w:t>
      </w:r>
      <w:r w:rsidRPr="002D2A8F" w:rsidR="008A6305">
        <w:rPr>
          <w:rFonts w:ascii="Arial" w:hAnsi="Arial"/>
        </w:rPr>
        <w:t>PERFORMANCE</w:t>
      </w:r>
      <w:r w:rsidRPr="002D2A8F" w:rsidR="002D54C4">
        <w:rPr>
          <w:rFonts w:ascii="Arial" w:hAnsi="Arial"/>
        </w:rPr>
        <w:t xml:space="preserve"> Tests</w:t>
      </w:r>
      <w:bookmarkEnd w:id="238"/>
      <w:bookmarkEnd w:id="239"/>
      <w:bookmarkEnd w:id="240"/>
    </w:p>
    <w:p w:rsidRPr="002D2A8F" w:rsidR="002D54C4" w:rsidRDefault="002D54C4" w14:paraId="02AF0314" w14:textId="11F5401D">
      <w:pPr>
        <w:pStyle w:val="zGTC02"/>
        <w:rPr>
          <w:rFonts w:ascii="Arial" w:hAnsi="Arial" w:cs="Arial"/>
          <w:vanish/>
          <w:specVanish/>
        </w:rPr>
      </w:pPr>
      <w:bookmarkStart w:name="_Toc156309782" w:id="241"/>
      <w:bookmarkStart w:name="_Toc169778612" w:id="242"/>
      <w:bookmarkStart w:name="_Toc227451378" w:id="243"/>
      <w:r w:rsidRPr="002D2A8F">
        <w:rPr>
          <w:rFonts w:ascii="Arial" w:hAnsi="Arial" w:cs="Arial"/>
        </w:rPr>
        <w:t xml:space="preserve">Tested Storage Capacity and </w:t>
      </w:r>
      <w:r w:rsidR="009E41C1">
        <w:rPr>
          <w:rFonts w:ascii="Arial" w:hAnsi="Arial" w:cs="Arial"/>
        </w:rPr>
        <w:t>Contracted</w:t>
      </w:r>
      <w:r w:rsidRPr="002D2A8F" w:rsidR="009E41C1">
        <w:rPr>
          <w:rFonts w:ascii="Arial" w:hAnsi="Arial" w:cs="Arial"/>
        </w:rPr>
        <w:t xml:space="preserve"> </w:t>
      </w:r>
      <w:r w:rsidRPr="002D2A8F">
        <w:rPr>
          <w:rFonts w:ascii="Arial" w:hAnsi="Arial" w:cs="Arial"/>
        </w:rPr>
        <w:t>Capacity.</w:t>
      </w:r>
      <w:bookmarkStart w:name="_Toc158593214" w:id="244"/>
      <w:bookmarkStart w:name="_Toc158597493" w:id="245"/>
      <w:bookmarkStart w:name="_Toc158720117" w:id="246"/>
      <w:bookmarkStart w:name="_Toc158722871" w:id="247"/>
      <w:bookmarkStart w:name="_Toc158929401" w:id="248"/>
      <w:bookmarkEnd w:id="241"/>
      <w:bookmarkEnd w:id="242"/>
      <w:bookmarkEnd w:id="243"/>
      <w:bookmarkEnd w:id="244"/>
      <w:bookmarkEnd w:id="245"/>
      <w:bookmarkEnd w:id="246"/>
      <w:bookmarkEnd w:id="247"/>
      <w:bookmarkEnd w:id="248"/>
    </w:p>
    <w:p w:rsidRPr="002D2A8F" w:rsidR="00BD2E75" w:rsidRDefault="002D54C4" w14:paraId="10100F81" w14:textId="3D4BFE69">
      <w:pPr>
        <w:pStyle w:val="zGNormal"/>
      </w:pPr>
      <w:r w:rsidRPr="002D2A8F">
        <w:t xml:space="preserve"> </w:t>
      </w:r>
      <w:r w:rsidR="004033F8">
        <w:t>Before</w:t>
      </w:r>
      <w:r w:rsidRPr="002D2A8F">
        <w:t xml:space="preserve"> Commercial Operation, Seller </w:t>
      </w:r>
      <w:r w:rsidR="00085287">
        <w:t>must</w:t>
      </w:r>
      <w:r w:rsidRPr="002D2A8F">
        <w:t xml:space="preserve"> conduct, at its expense, </w:t>
      </w:r>
      <w:r w:rsidRPr="002D2A8F" w:rsidR="001F4ACE">
        <w:t>Performance Testing</w:t>
      </w:r>
      <w:r w:rsidRPr="002D2A8F">
        <w:t xml:space="preserve"> as detailed in </w:t>
      </w:r>
      <w:r w:rsidRPr="00534192">
        <w:t>Section 1</w:t>
      </w:r>
      <w:r w:rsidRPr="00534192" w:rsidR="008D59CC">
        <w:t>.2</w:t>
      </w:r>
      <w:r w:rsidRPr="00534192">
        <w:t xml:space="preserve"> </w:t>
      </w:r>
      <w:r w:rsidRPr="00534192" w:rsidR="00B63FDE">
        <w:t>(</w:t>
      </w:r>
      <w:r w:rsidRPr="00534192" w:rsidR="00B63FDE">
        <w:rPr>
          <w:i/>
        </w:rPr>
        <w:t>Tested Storage Capacity; Performance Testing</w:t>
      </w:r>
      <w:r w:rsidRPr="00534192" w:rsidR="00B63FDE">
        <w:t xml:space="preserve">) </w:t>
      </w:r>
      <w:r w:rsidRPr="00534192">
        <w:t xml:space="preserve">of Exhibit </w:t>
      </w:r>
      <w:r w:rsidRPr="00534192" w:rsidR="007E48DE">
        <w:t>B</w:t>
      </w:r>
      <w:r w:rsidRPr="00534192" w:rsidR="00851E64">
        <w:t xml:space="preserve"> (</w:t>
      </w:r>
      <w:r w:rsidRPr="00534192" w:rsidR="00851E64">
        <w:rPr>
          <w:i/>
        </w:rPr>
        <w:t>Capacity; Capacity Payments and Payment Reductions; Buydown</w:t>
      </w:r>
      <w:r w:rsidRPr="00534192" w:rsidR="00851E64">
        <w:t>)</w:t>
      </w:r>
      <w:r w:rsidRPr="002D2A8F">
        <w:t xml:space="preserve">. </w:t>
      </w:r>
      <w:r w:rsidRPr="002D2A8F">
        <w:rPr>
          <w:bCs/>
        </w:rPr>
        <w:t xml:space="preserve">Seller </w:t>
      </w:r>
      <w:r w:rsidR="0028145A">
        <w:rPr>
          <w:bCs/>
        </w:rPr>
        <w:t>must</w:t>
      </w:r>
      <w:r w:rsidRPr="002D2A8F" w:rsidR="0028145A">
        <w:rPr>
          <w:bCs/>
        </w:rPr>
        <w:t xml:space="preserve"> </w:t>
      </w:r>
      <w:r w:rsidRPr="002D2A8F">
        <w:rPr>
          <w:bCs/>
        </w:rPr>
        <w:t xml:space="preserve">notify GPC </w:t>
      </w:r>
      <w:r w:rsidR="0028145A">
        <w:rPr>
          <w:bCs/>
        </w:rPr>
        <w:t>Representatives</w:t>
      </w:r>
      <w:r w:rsidRPr="002D2A8F" w:rsidR="0028145A">
        <w:rPr>
          <w:bCs/>
        </w:rPr>
        <w:t xml:space="preserve"> </w:t>
      </w:r>
      <w:r w:rsidRPr="002D2A8F">
        <w:rPr>
          <w:bCs/>
        </w:rPr>
        <w:t xml:space="preserve">in advance of </w:t>
      </w:r>
      <w:r w:rsidR="00B7220A">
        <w:rPr>
          <w:bCs/>
        </w:rPr>
        <w:t>Seller’s</w:t>
      </w:r>
      <w:r w:rsidRPr="002D2A8F">
        <w:rPr>
          <w:bCs/>
        </w:rPr>
        <w:t xml:space="preserve"> </w:t>
      </w:r>
      <w:r w:rsidRPr="002D2A8F" w:rsidR="006018EF">
        <w:rPr>
          <w:bCs/>
        </w:rPr>
        <w:t>Performance Testing</w:t>
      </w:r>
      <w:r w:rsidRPr="002D2A8F">
        <w:rPr>
          <w:bCs/>
        </w:rPr>
        <w:t xml:space="preserve"> and allow GPC to witness and participate in the </w:t>
      </w:r>
      <w:r w:rsidR="0045671E">
        <w:rPr>
          <w:bCs/>
        </w:rPr>
        <w:t>Performance T</w:t>
      </w:r>
      <w:r w:rsidRPr="002D2A8F">
        <w:rPr>
          <w:bCs/>
        </w:rPr>
        <w:t xml:space="preserve">esting as GPC desires. </w:t>
      </w:r>
      <w:r w:rsidR="00307864">
        <w:rPr>
          <w:bCs/>
        </w:rPr>
        <w:t xml:space="preserve">Subject to </w:t>
      </w:r>
      <w:r w:rsidR="00A81A19">
        <w:rPr>
          <w:bCs/>
        </w:rPr>
        <w:t>Seller</w:t>
      </w:r>
      <w:r w:rsidR="002E4039">
        <w:rPr>
          <w:bCs/>
        </w:rPr>
        <w:t>’s compliance with the previous sentence</w:t>
      </w:r>
      <w:r w:rsidR="00A81A19">
        <w:rPr>
          <w:bCs/>
        </w:rPr>
        <w:t xml:space="preserve">, Seller will not be required to delay or reschedule Performance Testing solely due to GPC’s unavailability. </w:t>
      </w:r>
      <w:r w:rsidRPr="002D2A8F">
        <w:rPr>
          <w:bCs/>
        </w:rPr>
        <w:t>Upon Seller’s completion of any Performance Test, Seller must</w:t>
      </w:r>
      <w:r w:rsidRPr="002D2A8F" w:rsidDel="00943CAD">
        <w:rPr>
          <w:bCs/>
        </w:rPr>
        <w:t xml:space="preserve"> </w:t>
      </w:r>
      <w:r w:rsidRPr="002D2A8F">
        <w:rPr>
          <w:bCs/>
        </w:rPr>
        <w:t>promptly provide to GPC</w:t>
      </w:r>
      <w:r w:rsidRPr="002D2A8F" w:rsidDel="003C44DC">
        <w:rPr>
          <w:bCs/>
        </w:rPr>
        <w:t xml:space="preserve"> </w:t>
      </w:r>
      <w:r w:rsidRPr="002D2A8F">
        <w:rPr>
          <w:bCs/>
        </w:rPr>
        <w:t xml:space="preserve">a complete written report, in accordance with </w:t>
      </w:r>
      <w:r w:rsidRPr="00534192">
        <w:t xml:space="preserve">Exhibit </w:t>
      </w:r>
      <w:r w:rsidRPr="00534192" w:rsidR="00270419">
        <w:t>E</w:t>
      </w:r>
      <w:r w:rsidRPr="00534192">
        <w:t xml:space="preserve"> (</w:t>
      </w:r>
      <w:r w:rsidRPr="00534192">
        <w:rPr>
          <w:i/>
        </w:rPr>
        <w:t>Performance Testing Procedures</w:t>
      </w:r>
      <w:r w:rsidRPr="00534192">
        <w:t>)</w:t>
      </w:r>
      <w:r w:rsidRPr="002D2A8F">
        <w:rPr>
          <w:bCs/>
        </w:rPr>
        <w:t>, of the Performance Test, certified by a responsible officer of Seller, for GPC’s review and verification. Following the Delivery Commencement Date,</w:t>
      </w:r>
      <w:r w:rsidRPr="002D2A8F">
        <w:t xml:space="preserve"> Seller must</w:t>
      </w:r>
      <w:r w:rsidRPr="002D2A8F" w:rsidDel="00943CAD">
        <w:t xml:space="preserve"> </w:t>
      </w:r>
      <w:r w:rsidRPr="002D2A8F">
        <w:t xml:space="preserve">cooperate with GPC’s request for information concerning </w:t>
      </w:r>
      <w:r w:rsidR="00CE40BC">
        <w:t>Facility</w:t>
      </w:r>
      <w:r w:rsidRPr="002D2A8F" w:rsidR="00CE40BC">
        <w:t xml:space="preserve"> </w:t>
      </w:r>
      <w:r w:rsidRPr="002D2A8F">
        <w:t>performance that GPC</w:t>
      </w:r>
      <w:r w:rsidRPr="002D2A8F" w:rsidDel="003C44DC">
        <w:t xml:space="preserve"> </w:t>
      </w:r>
      <w:r w:rsidRPr="002D2A8F">
        <w:t xml:space="preserve">may reasonably request from time to time. </w:t>
      </w:r>
    </w:p>
    <w:p w:rsidRPr="002D2A8F" w:rsidR="002D54C4" w:rsidRDefault="002D54C4" w14:paraId="7B32DF3F" w14:textId="77777777">
      <w:pPr>
        <w:pStyle w:val="zGTC02"/>
        <w:rPr>
          <w:rFonts w:ascii="Arial" w:hAnsi="Arial" w:cs="Arial"/>
          <w:vanish/>
          <w:specVanish/>
        </w:rPr>
      </w:pPr>
      <w:bookmarkStart w:name="_Toc156309783" w:id="249"/>
      <w:bookmarkStart w:name="_Toc169778613" w:id="250"/>
      <w:bookmarkStart w:name="_Toc227451379" w:id="251"/>
      <w:r w:rsidRPr="002D2A8F">
        <w:rPr>
          <w:rFonts w:ascii="Arial" w:hAnsi="Arial" w:cs="Arial"/>
        </w:rPr>
        <w:t>Disputes Concerning Capacity Tests.</w:t>
      </w:r>
      <w:bookmarkStart w:name="_Toc158593215" w:id="252"/>
      <w:bookmarkStart w:name="_Toc158597494" w:id="253"/>
      <w:bookmarkStart w:name="_Toc158720118" w:id="254"/>
      <w:bookmarkStart w:name="_Toc158722872" w:id="255"/>
      <w:bookmarkStart w:name="_Toc158929402" w:id="256"/>
      <w:bookmarkEnd w:id="249"/>
      <w:bookmarkEnd w:id="250"/>
      <w:bookmarkEnd w:id="251"/>
      <w:bookmarkEnd w:id="252"/>
      <w:bookmarkEnd w:id="253"/>
      <w:bookmarkEnd w:id="254"/>
      <w:bookmarkEnd w:id="255"/>
      <w:bookmarkEnd w:id="256"/>
    </w:p>
    <w:p w:rsidRPr="002D2A8F" w:rsidR="002D54C4" w:rsidRDefault="00CF7AA5" w14:paraId="69AB6E78" w14:textId="71759D56">
      <w:pPr>
        <w:pStyle w:val="zGNormal"/>
      </w:pPr>
      <w:r w:rsidRPr="002D2A8F">
        <w:t xml:space="preserve"> </w:t>
      </w:r>
      <w:r w:rsidRPr="002D2A8F" w:rsidR="002D54C4">
        <w:t>If the Parties disagree regarding the Performance Test results, the Parties will</w:t>
      </w:r>
      <w:r w:rsidRPr="002D2A8F" w:rsidDel="00943CAD" w:rsidR="002D54C4">
        <w:t xml:space="preserve"> </w:t>
      </w:r>
      <w:r w:rsidRPr="002D2A8F" w:rsidR="002D54C4">
        <w:t xml:space="preserve">resolve the dispute in accordance with </w:t>
      </w:r>
      <w:r w:rsidR="00085287">
        <w:t>Section</w:t>
      </w:r>
      <w:r w:rsidRPr="00534192" w:rsidR="002D54C4">
        <w:t xml:space="preserve"> 1</w:t>
      </w:r>
      <w:r w:rsidRPr="00534192" w:rsidR="0039476E">
        <w:t>9.2</w:t>
      </w:r>
      <w:r w:rsidRPr="00534192" w:rsidR="002D54C4">
        <w:t xml:space="preserve"> (</w:t>
      </w:r>
      <w:r w:rsidRPr="00534192" w:rsidR="0039476E">
        <w:rPr>
          <w:i/>
        </w:rPr>
        <w:t>Exper</w:t>
      </w:r>
      <w:r w:rsidRPr="00534192" w:rsidR="00914099">
        <w:rPr>
          <w:i/>
        </w:rPr>
        <w:t>t Arbitration</w:t>
      </w:r>
      <w:r w:rsidRPr="00534192" w:rsidR="002D54C4">
        <w:t>)</w:t>
      </w:r>
      <w:r w:rsidRPr="002D2A8F" w:rsidR="002D54C4">
        <w:t xml:space="preserve">. If the dispute is not resolved by the first Day of any Annual Period, the </w:t>
      </w:r>
      <w:r w:rsidR="00726D46">
        <w:t xml:space="preserve">relevant </w:t>
      </w:r>
      <w:r w:rsidR="001362E4">
        <w:t>Tested Storage Capacity</w:t>
      </w:r>
      <w:r w:rsidRPr="002D2A8F" w:rsidR="002D54C4">
        <w:t xml:space="preserve"> </w:t>
      </w:r>
      <w:r w:rsidR="00852187">
        <w:t xml:space="preserve">from the most recent </w:t>
      </w:r>
      <w:r w:rsidR="00085287">
        <w:t xml:space="preserve">undisputed </w:t>
      </w:r>
      <w:r w:rsidR="00852187">
        <w:t xml:space="preserve">Performance Test </w:t>
      </w:r>
      <w:r w:rsidRPr="002D2A8F" w:rsidR="002D54C4">
        <w:t xml:space="preserve">will be used by GPC for </w:t>
      </w:r>
      <w:r w:rsidR="001362E4">
        <w:t>the Monthly Capacity Fee</w:t>
      </w:r>
      <w:r w:rsidRPr="002D2A8F" w:rsidR="002D54C4">
        <w:t xml:space="preserve"> calculation until </w:t>
      </w:r>
      <w:r w:rsidR="0088704A">
        <w:t>the</w:t>
      </w:r>
      <w:r w:rsidRPr="002D2A8F" w:rsidR="0088704A">
        <w:t xml:space="preserve"> </w:t>
      </w:r>
      <w:r w:rsidRPr="002D2A8F" w:rsidR="002D54C4">
        <w:t xml:space="preserve">dispute is resolved. </w:t>
      </w:r>
      <w:r w:rsidR="0098164E">
        <w:t>After</w:t>
      </w:r>
      <w:r w:rsidRPr="002D2A8F" w:rsidR="0098164E">
        <w:t xml:space="preserve"> </w:t>
      </w:r>
      <w:r w:rsidRPr="002D2A8F" w:rsidR="002D54C4">
        <w:t>the dispute</w:t>
      </w:r>
      <w:r w:rsidR="0098164E">
        <w:t xml:space="preserve"> is resolved</w:t>
      </w:r>
      <w:r w:rsidRPr="002D2A8F" w:rsidR="002D54C4">
        <w:t xml:space="preserve">, an adjustment </w:t>
      </w:r>
      <w:r w:rsidR="00030408">
        <w:t>may</w:t>
      </w:r>
      <w:r w:rsidRPr="002D2A8F" w:rsidDel="00943CAD" w:rsidR="00030408">
        <w:t xml:space="preserve"> </w:t>
      </w:r>
      <w:r w:rsidRPr="002D2A8F" w:rsidR="002D54C4">
        <w:t xml:space="preserve">be made to Monthly Capacity Payments made regarding the Annual Period to account for any difference between the </w:t>
      </w:r>
      <w:r w:rsidR="00790AAE">
        <w:t>SDDC</w:t>
      </w:r>
      <w:r w:rsidRPr="002D2A8F" w:rsidR="002D54C4">
        <w:t xml:space="preserve"> and the </w:t>
      </w:r>
      <w:r w:rsidR="00726D46">
        <w:t xml:space="preserve">preceding </w:t>
      </w:r>
      <w:r w:rsidR="00790AAE">
        <w:t>Tested Storage Capacity</w:t>
      </w:r>
      <w:r w:rsidR="00C82090">
        <w:t xml:space="preserve"> from the most recent Performance Test</w:t>
      </w:r>
      <w:r w:rsidRPr="002D2A8F" w:rsidR="002D54C4">
        <w:t>.</w:t>
      </w:r>
    </w:p>
    <w:p w:rsidRPr="002D2A8F" w:rsidR="002D54C4" w:rsidP="00ED6839" w:rsidRDefault="002D54C4" w14:paraId="70B9D1B9" w14:textId="77777777">
      <w:pPr>
        <w:pStyle w:val="zGTC01"/>
        <w:rPr>
          <w:rFonts w:ascii="Arial" w:hAnsi="Arial"/>
          <w:szCs w:val="20"/>
        </w:rPr>
      </w:pPr>
      <w:bookmarkStart w:name="_Toc169778614" w:id="257"/>
      <w:bookmarkStart w:name="_Toc227451380" w:id="258"/>
      <w:r w:rsidRPr="002D2A8F">
        <w:rPr>
          <w:rFonts w:ascii="Arial" w:hAnsi="Arial"/>
        </w:rPr>
        <w:t>Operation and Maintenance</w:t>
      </w:r>
      <w:bookmarkEnd w:id="257"/>
      <w:bookmarkEnd w:id="258"/>
    </w:p>
    <w:p w:rsidRPr="002D2A8F" w:rsidR="002D54C4" w:rsidRDefault="002D54C4" w14:paraId="23AFA822" w14:textId="77777777">
      <w:pPr>
        <w:pStyle w:val="zGTC02"/>
        <w:rPr>
          <w:rFonts w:ascii="Arial" w:hAnsi="Arial" w:cs="Arial"/>
          <w:specVanish/>
        </w:rPr>
      </w:pPr>
      <w:bookmarkStart w:name="_Toc156309785" w:id="259"/>
      <w:bookmarkStart w:name="_Toc169778615" w:id="260"/>
      <w:bookmarkStart w:name="_Toc227451381" w:id="261"/>
      <w:r w:rsidRPr="002D2A8F">
        <w:rPr>
          <w:rFonts w:ascii="Arial" w:hAnsi="Arial" w:cs="Arial"/>
        </w:rPr>
        <w:t>Operation and Maintenance.</w:t>
      </w:r>
      <w:bookmarkStart w:name="_Toc158593217" w:id="262"/>
      <w:bookmarkStart w:name="_Toc158597496" w:id="263"/>
      <w:bookmarkStart w:name="_Toc158720120" w:id="264"/>
      <w:bookmarkStart w:name="_Toc158722874" w:id="265"/>
      <w:bookmarkStart w:name="_Toc158929404" w:id="266"/>
      <w:bookmarkEnd w:id="259"/>
      <w:bookmarkEnd w:id="260"/>
      <w:bookmarkEnd w:id="261"/>
      <w:bookmarkEnd w:id="262"/>
      <w:bookmarkEnd w:id="263"/>
      <w:bookmarkEnd w:id="264"/>
      <w:bookmarkEnd w:id="265"/>
      <w:bookmarkEnd w:id="266"/>
    </w:p>
    <w:p w:rsidRPr="002D2A8F" w:rsidR="002D54C4" w:rsidP="008759EF" w:rsidRDefault="002D54C4" w14:paraId="2649FD8B" w14:textId="77777777">
      <w:pPr>
        <w:pStyle w:val="zGTC03"/>
        <w:rPr>
          <w:rFonts w:cs="Arial"/>
          <w:vanish/>
          <w:specVanish/>
        </w:rPr>
      </w:pPr>
      <w:r w:rsidRPr="002D2A8F">
        <w:rPr>
          <w:rFonts w:cs="Arial"/>
          <w:b/>
        </w:rPr>
        <w:t>General Standards.</w:t>
      </w:r>
      <w:r w:rsidRPr="002D2A8F">
        <w:rPr>
          <w:rFonts w:cs="Arial"/>
        </w:rPr>
        <w:t xml:space="preserve"> </w:t>
      </w:r>
    </w:p>
    <w:p w:rsidRPr="002D2A8F" w:rsidR="002D54C4" w:rsidRDefault="002D54C4" w14:paraId="7F908C18" w14:textId="4821EA32">
      <w:pPr>
        <w:pStyle w:val="zGNormal"/>
      </w:pPr>
      <w:r w:rsidRPr="002D2A8F">
        <w:t>Seller must</w:t>
      </w:r>
      <w:r w:rsidRPr="002D2A8F" w:rsidDel="00943CAD">
        <w:t xml:space="preserve"> </w:t>
      </w:r>
      <w:r w:rsidRPr="002D2A8F">
        <w:t xml:space="preserve">manage, control, operate, and maintain all parts of the Facility in a manner consistent with Prudent Industry Practices, considering GPC’s right to dispatch the Renewable Resource and </w:t>
      </w:r>
      <w:r w:rsidR="00CD19EC">
        <w:t>B</w:t>
      </w:r>
      <w:r w:rsidRPr="002D2A8F">
        <w:t xml:space="preserve">ESS, and in accordance with applicable planning standards and operating policies of SERC and NERC and in accordance with the Operating Procedures to be developed by the Operating Committee. The requirements of this </w:t>
      </w:r>
      <w:r w:rsidRPr="00534192">
        <w:t xml:space="preserve">Section </w:t>
      </w:r>
      <w:r w:rsidRPr="00534192" w:rsidR="00270419">
        <w:t>10</w:t>
      </w:r>
      <w:r w:rsidRPr="00534192">
        <w:t>.1.1</w:t>
      </w:r>
      <w:r w:rsidRPr="002D2A8F">
        <w:t xml:space="preserve"> will</w:t>
      </w:r>
      <w:r w:rsidRPr="002D2A8F" w:rsidDel="00943CAD">
        <w:t xml:space="preserve"> </w:t>
      </w:r>
      <w:r w:rsidRPr="002D2A8F">
        <w:t xml:space="preserve">not be interpreted to limit GPC’s </w:t>
      </w:r>
      <w:r w:rsidR="00790AAE">
        <w:t>dispatch</w:t>
      </w:r>
      <w:r w:rsidRPr="002D2A8F" w:rsidR="00790AAE">
        <w:t xml:space="preserve"> </w:t>
      </w:r>
      <w:r w:rsidRPr="002D2A8F">
        <w:t>rights as provided for elsewhere in this PPA.</w:t>
      </w:r>
    </w:p>
    <w:p w:rsidRPr="002D2A8F" w:rsidR="002D54C4" w:rsidP="008759EF" w:rsidRDefault="002D54C4" w14:paraId="675B6350" w14:textId="4F4DFC2E">
      <w:pPr>
        <w:pStyle w:val="zGTC03"/>
        <w:rPr>
          <w:rFonts w:cs="Arial"/>
          <w:vanish/>
          <w:specVanish/>
        </w:rPr>
      </w:pPr>
      <w:r w:rsidRPr="002D2A8F">
        <w:rPr>
          <w:rFonts w:cs="Arial"/>
          <w:b/>
        </w:rPr>
        <w:t>Written Operating Procedures.</w:t>
      </w:r>
    </w:p>
    <w:p w:rsidRPr="002D2A8F" w:rsidR="002D54C4" w:rsidRDefault="00282488" w14:paraId="37FDD1CC" w14:textId="7A419419">
      <w:pPr>
        <w:pStyle w:val="zGNormal"/>
      </w:pPr>
      <w:r w:rsidRPr="002D2A8F">
        <w:t xml:space="preserve"> </w:t>
      </w:r>
      <w:r w:rsidRPr="002D2A8F" w:rsidR="002D54C4">
        <w:t>Seller and GPC</w:t>
      </w:r>
      <w:r w:rsidRPr="002D2A8F" w:rsidDel="003C44DC" w:rsidR="002D54C4">
        <w:t xml:space="preserve"> </w:t>
      </w:r>
      <w:r w:rsidRPr="002D2A8F" w:rsidR="002D54C4">
        <w:t>will</w:t>
      </w:r>
      <w:r w:rsidRPr="002D2A8F" w:rsidDel="00943CAD" w:rsidR="002D54C4">
        <w:t xml:space="preserve"> </w:t>
      </w:r>
      <w:r w:rsidRPr="002D2A8F" w:rsidR="002D54C4">
        <w:t xml:space="preserve">mutually develop and agree upon written Operating Procedures no later than </w:t>
      </w:r>
      <w:r w:rsidRPr="005B7638" w:rsidR="006F3794">
        <w:t xml:space="preserve">six </w:t>
      </w:r>
      <w:r w:rsidRPr="005B7638" w:rsidR="002D54C4">
        <w:t>Months</w:t>
      </w:r>
      <w:r w:rsidRPr="002D2A8F" w:rsidR="002D54C4">
        <w:t xml:space="preserve"> before the Delivery Commencement Date. Topics covered will</w:t>
      </w:r>
      <w:r w:rsidRPr="002D2A8F" w:rsidDel="00943CAD" w:rsidR="002D54C4">
        <w:t xml:space="preserve"> </w:t>
      </w:r>
      <w:r w:rsidRPr="002D2A8F" w:rsidR="002D54C4">
        <w:t>include: (i) Performance Tests procedures, deliveries of energy during start</w:t>
      </w:r>
      <w:r w:rsidRPr="002D2A8F" w:rsidR="002D54C4">
        <w:noBreakHyphen/>
        <w:t>up, and testing of the Facility; (ii) the method of Day</w:t>
      </w:r>
      <w:r w:rsidRPr="002D2A8F" w:rsidR="002D54C4">
        <w:noBreakHyphen/>
        <w:t>to</w:t>
      </w:r>
      <w:r w:rsidRPr="002D2A8F" w:rsidR="002D54C4">
        <w:noBreakHyphen/>
        <w:t xml:space="preserve">Day communications; (iii) clearance and switching practices; (iv) daily capacity availability and energy reports; (v) Facility operations log; </w:t>
      </w:r>
      <w:r w:rsidR="007327A2">
        <w:t xml:space="preserve">(vi) </w:t>
      </w:r>
      <w:r w:rsidRPr="002D2A8F" w:rsidR="002D54C4">
        <w:t>reactive power output; (v</w:t>
      </w:r>
      <w:r w:rsidR="004A62EF">
        <w:t>i</w:t>
      </w:r>
      <w:r w:rsidRPr="002D2A8F" w:rsidR="002D54C4">
        <w:t xml:space="preserve">i) </w:t>
      </w:r>
      <w:r w:rsidRPr="002D2A8F" w:rsidR="00DA2A9C">
        <w:t>T</w:t>
      </w:r>
      <w:r w:rsidRPr="002D2A8F" w:rsidR="002D54C4">
        <w:t xml:space="preserve">echnical </w:t>
      </w:r>
      <w:r w:rsidRPr="002D2A8F" w:rsidR="00DA2A9C">
        <w:t>L</w:t>
      </w:r>
      <w:r w:rsidRPr="002D2A8F" w:rsidR="002D54C4">
        <w:t>imits regarding Facility operation (including maximum ramp rates</w:t>
      </w:r>
      <w:r w:rsidR="00AA09BE">
        <w:t xml:space="preserve"> </w:t>
      </w:r>
      <w:r w:rsidRPr="002D2A8F" w:rsidR="002D54C4">
        <w:t xml:space="preserve">and other limits specified in </w:t>
      </w:r>
      <w:r w:rsidRPr="00534192" w:rsidR="002D54C4">
        <w:t xml:space="preserve">Exhibit </w:t>
      </w:r>
      <w:r w:rsidRPr="00534192" w:rsidR="00BD3B14">
        <w:t>F</w:t>
      </w:r>
      <w:r w:rsidRPr="00534192" w:rsidR="00C66B74">
        <w:t xml:space="preserve"> </w:t>
      </w:r>
      <w:r w:rsidRPr="00534192" w:rsidR="002D54C4">
        <w:t>(</w:t>
      </w:r>
      <w:r w:rsidRPr="00534192" w:rsidR="00C66B74">
        <w:rPr>
          <w:i/>
        </w:rPr>
        <w:t>Facility Operat</w:t>
      </w:r>
      <w:r w:rsidRPr="00534192" w:rsidR="00AC3946">
        <w:rPr>
          <w:i/>
        </w:rPr>
        <w:t>i</w:t>
      </w:r>
      <w:r w:rsidRPr="00534192" w:rsidR="00FF1627">
        <w:rPr>
          <w:i/>
        </w:rPr>
        <w:t>ng</w:t>
      </w:r>
      <w:r w:rsidRPr="00534192" w:rsidR="00C66B74">
        <w:rPr>
          <w:i/>
        </w:rPr>
        <w:t xml:space="preserve"> </w:t>
      </w:r>
      <w:r w:rsidRPr="00534192" w:rsidR="00ED21A0">
        <w:rPr>
          <w:i/>
        </w:rPr>
        <w:t>and</w:t>
      </w:r>
      <w:r w:rsidRPr="00534192" w:rsidR="00C66B74">
        <w:rPr>
          <w:i/>
        </w:rPr>
        <w:t xml:space="preserve"> Dispatching Requirements</w:t>
      </w:r>
      <w:r w:rsidRPr="00534192" w:rsidR="002D54C4">
        <w:t>)</w:t>
      </w:r>
      <w:r w:rsidRPr="002D2A8F" w:rsidR="002D54C4">
        <w:t>); (vi</w:t>
      </w:r>
      <w:r w:rsidR="004A62EF">
        <w:t>i</w:t>
      </w:r>
      <w:r w:rsidRPr="002D2A8F" w:rsidR="002D54C4">
        <w:t xml:space="preserve">i) ramp rates for the delivery of power to the </w:t>
      </w:r>
      <w:r w:rsidR="00526F43">
        <w:t>POI</w:t>
      </w:r>
      <w:r w:rsidRPr="002D2A8F" w:rsidR="002D54C4">
        <w:t xml:space="preserve">; </w:t>
      </w:r>
      <w:r w:rsidR="000B2968">
        <w:t>(</w:t>
      </w:r>
      <w:r w:rsidR="00242213">
        <w:t>ix</w:t>
      </w:r>
      <w:r w:rsidR="000B2968">
        <w:t>)</w:t>
      </w:r>
      <w:r w:rsidRPr="002D2A8F" w:rsidR="002D54C4">
        <w:t xml:space="preserve"> coordination of maintenance scheduling; (x) designation of </w:t>
      </w:r>
      <w:r w:rsidR="004A2D22">
        <w:t>C</w:t>
      </w:r>
      <w:r w:rsidRPr="002D2A8F" w:rsidR="002D54C4">
        <w:t xml:space="preserve">onfidential </w:t>
      </w:r>
      <w:r w:rsidR="004A2D22">
        <w:t>I</w:t>
      </w:r>
      <w:r w:rsidRPr="002D2A8F" w:rsidR="002D54C4">
        <w:t>nformation; and (x</w:t>
      </w:r>
      <w:r w:rsidR="00AD164F">
        <w:t>i</w:t>
      </w:r>
      <w:r w:rsidRPr="002D2A8F" w:rsidR="002D54C4">
        <w:t>) any other matters as the Operating Representatives agree are appropriate. The Operating Representatives will</w:t>
      </w:r>
      <w:r w:rsidRPr="002D2A8F" w:rsidDel="009313F8" w:rsidR="002D54C4">
        <w:t xml:space="preserve"> </w:t>
      </w:r>
      <w:r w:rsidRPr="002D2A8F" w:rsidR="002D54C4">
        <w:t>be responsible for modifying, from time to time, these Operating Procedures in writing to reflect agreed changes.  In the event of inconsistency or conflict between the Operating Procedures and specific terms of this PPA, the specific terms of this PPA will</w:t>
      </w:r>
      <w:r w:rsidRPr="002D2A8F" w:rsidDel="009313F8" w:rsidR="002D54C4">
        <w:t xml:space="preserve"> </w:t>
      </w:r>
      <w:r w:rsidRPr="002D2A8F" w:rsidR="002D54C4">
        <w:t>take precedence.</w:t>
      </w:r>
    </w:p>
    <w:p w:rsidRPr="002D2A8F" w:rsidR="002D54C4" w:rsidP="00B80C40" w:rsidRDefault="002D54C4" w14:paraId="35C5448F" w14:textId="007F4A23">
      <w:pPr>
        <w:pStyle w:val="zGTC03"/>
        <w:rPr>
          <w:rFonts w:cs="Arial"/>
          <w:b/>
        </w:rPr>
      </w:pPr>
      <w:r w:rsidRPr="002D2A8F">
        <w:rPr>
          <w:rFonts w:cs="Arial"/>
          <w:b/>
        </w:rPr>
        <w:t>Safety Devices, Safety Practices, and Records.</w:t>
      </w:r>
      <w:r w:rsidRPr="002D2A8F">
        <w:rPr>
          <w:rFonts w:cs="Arial"/>
        </w:rPr>
        <w:t xml:space="preserve"> Seller must employ at the Facility all safety devices and safety practices required by Prudent Industry Practices. Seller must keep accurate records of any accident or other occurrence at the Site that results in injury to persons or damage to property. Seller must provide to GPC reasonable access to these records upon at least seven Days’ notice during normal business </w:t>
      </w:r>
      <w:r w:rsidR="00BB64E2">
        <w:rPr>
          <w:rFonts w:cs="Arial"/>
        </w:rPr>
        <w:t>H</w:t>
      </w:r>
      <w:r w:rsidRPr="002D2A8F">
        <w:rPr>
          <w:rFonts w:cs="Arial"/>
        </w:rPr>
        <w:t>ours, but Seller will not be required to provide access to employment records regarding Facility personnel.</w:t>
      </w:r>
    </w:p>
    <w:p w:rsidRPr="002D2A8F" w:rsidR="002D54C4" w:rsidP="008759EF" w:rsidRDefault="002D54C4" w14:paraId="6BE403A7" w14:textId="29A1A14E">
      <w:pPr>
        <w:pStyle w:val="zGTC03"/>
        <w:rPr>
          <w:rFonts w:cs="Arial"/>
          <w:b/>
          <w:vanish/>
          <w:specVanish/>
        </w:rPr>
      </w:pPr>
      <w:r w:rsidRPr="002D2A8F">
        <w:rPr>
          <w:rFonts w:cs="Arial"/>
          <w:b/>
        </w:rPr>
        <w:lastRenderedPageBreak/>
        <w:t>Facility Personnel.</w:t>
      </w:r>
    </w:p>
    <w:p w:rsidRPr="002D2A8F" w:rsidR="002D54C4" w:rsidRDefault="002D54C4" w14:paraId="256D187A" w14:textId="77777777">
      <w:pPr>
        <w:pStyle w:val="zGNormal"/>
      </w:pPr>
      <w:r w:rsidRPr="002D2A8F">
        <w:t xml:space="preserve"> During the Term, Seller must</w:t>
      </w:r>
      <w:r w:rsidRPr="002D2A8F" w:rsidDel="009313F8">
        <w:t xml:space="preserve"> </w:t>
      </w:r>
      <w:r w:rsidRPr="002D2A8F">
        <w:t>employ qualified and trained personnel for management, operation, and maintenance of the Facility.</w:t>
      </w:r>
    </w:p>
    <w:p w:rsidRPr="002D2A8F" w:rsidR="002D54C4" w:rsidRDefault="002D54C4" w14:paraId="6550CF11" w14:textId="77777777">
      <w:pPr>
        <w:pStyle w:val="zGTC02"/>
        <w:rPr>
          <w:rFonts w:ascii="Arial" w:hAnsi="Arial" w:cs="Arial"/>
          <w:specVanish/>
        </w:rPr>
      </w:pPr>
      <w:bookmarkStart w:name="_Toc156309786" w:id="267"/>
      <w:bookmarkStart w:name="_Toc169778616" w:id="268"/>
      <w:bookmarkStart w:name="_Toc227451382" w:id="269"/>
      <w:r w:rsidRPr="002D2A8F">
        <w:rPr>
          <w:rFonts w:ascii="Arial" w:hAnsi="Arial" w:cs="Arial"/>
        </w:rPr>
        <w:t>Maintenance Scheduling.</w:t>
      </w:r>
      <w:bookmarkStart w:name="_Toc158593218" w:id="270"/>
      <w:bookmarkStart w:name="_Toc158597497" w:id="271"/>
      <w:bookmarkStart w:name="_Toc158720121" w:id="272"/>
      <w:bookmarkStart w:name="_Toc158722875" w:id="273"/>
      <w:bookmarkStart w:name="_Toc158929405" w:id="274"/>
      <w:bookmarkEnd w:id="267"/>
      <w:bookmarkEnd w:id="268"/>
      <w:bookmarkEnd w:id="269"/>
      <w:bookmarkEnd w:id="270"/>
      <w:bookmarkEnd w:id="271"/>
      <w:bookmarkEnd w:id="272"/>
      <w:bookmarkEnd w:id="273"/>
      <w:bookmarkEnd w:id="274"/>
    </w:p>
    <w:p w:rsidRPr="002D2A8F" w:rsidR="002D54C4" w:rsidP="008759EF" w:rsidRDefault="002D54C4" w14:paraId="6441E43F" w14:textId="155D328D">
      <w:pPr>
        <w:pStyle w:val="zGTC03"/>
        <w:rPr>
          <w:rFonts w:cs="Arial"/>
          <w:b/>
          <w:vanish/>
          <w:specVanish/>
        </w:rPr>
      </w:pPr>
      <w:r w:rsidRPr="002D2A8F">
        <w:rPr>
          <w:rFonts w:cs="Arial"/>
          <w:b/>
        </w:rPr>
        <w:t>Maintenance Schedule Reporting and Approvals.</w:t>
      </w:r>
    </w:p>
    <w:p w:rsidRPr="002D2A8F" w:rsidR="002D54C4" w:rsidRDefault="002D54C4" w14:paraId="4EDE2864" w14:textId="40DB75B9">
      <w:pPr>
        <w:pStyle w:val="zGNormal"/>
      </w:pPr>
      <w:r w:rsidRPr="002D2A8F">
        <w:rPr>
          <w:b/>
        </w:rPr>
        <w:t xml:space="preserve"> </w:t>
      </w:r>
      <w:r w:rsidRPr="002D2A8F">
        <w:t xml:space="preserve">Commencing </w:t>
      </w:r>
      <w:r w:rsidRPr="002D2A8F" w:rsidR="00B92953">
        <w:t xml:space="preserve">in the year </w:t>
      </w:r>
      <w:r w:rsidR="00D821DB">
        <w:t>before</w:t>
      </w:r>
      <w:r w:rsidRPr="002D2A8F" w:rsidR="00B92953">
        <w:t xml:space="preserve"> the year of the Delivery Commencement Date</w:t>
      </w:r>
      <w:r w:rsidRPr="002D2A8F" w:rsidR="00C129B6">
        <w:t>,</w:t>
      </w:r>
      <w:r w:rsidRPr="002D2A8F" w:rsidR="00B92953">
        <w:t xml:space="preserve"> and </w:t>
      </w:r>
      <w:r w:rsidRPr="002D2A8F" w:rsidR="00C129B6">
        <w:t>continuing throughout the Term</w:t>
      </w:r>
      <w:r w:rsidRPr="002D2A8F" w:rsidR="00B92953">
        <w:t xml:space="preserve">, Seller </w:t>
      </w:r>
      <w:r w:rsidRPr="002D2A8F" w:rsidR="00C129B6">
        <w:t>must</w:t>
      </w:r>
      <w:r w:rsidRPr="002D2A8F" w:rsidR="00B92953">
        <w:t xml:space="preserve"> submit to </w:t>
      </w:r>
      <w:r w:rsidRPr="002D2A8F" w:rsidR="00C129B6">
        <w:t>GPC</w:t>
      </w:r>
      <w:r w:rsidRPr="002D2A8F" w:rsidR="00B92953">
        <w:t xml:space="preserve"> before September 1</w:t>
      </w:r>
      <w:r w:rsidRPr="002D2A8F" w:rsidR="00D66485">
        <w:t xml:space="preserve"> </w:t>
      </w:r>
      <w:r w:rsidRPr="002D2A8F">
        <w:t>Maintenance Schedule</w:t>
      </w:r>
      <w:r w:rsidRPr="002D2A8F" w:rsidR="00EC01BD">
        <w:t>s</w:t>
      </w:r>
      <w:r w:rsidRPr="002D2A8F">
        <w:t xml:space="preserve"> </w:t>
      </w:r>
      <w:r w:rsidRPr="002D2A8F" w:rsidR="00A83C7B">
        <w:t>covering</w:t>
      </w:r>
      <w:r w:rsidRPr="002D2A8F">
        <w:t xml:space="preserve"> the next four Annual Periods or the number of Annual Periods remaining in the Term, whichever is less. Seller must</w:t>
      </w:r>
      <w:r w:rsidRPr="002D2A8F" w:rsidDel="009313F8">
        <w:t xml:space="preserve"> </w:t>
      </w:r>
      <w:r w:rsidRPr="002D2A8F">
        <w:t xml:space="preserve">not schedule any maintenance of the Facility during </w:t>
      </w:r>
      <w:r w:rsidR="007E63D1">
        <w:t>any</w:t>
      </w:r>
      <w:r w:rsidRPr="002D2A8F" w:rsidR="007E63D1">
        <w:t xml:space="preserve"> </w:t>
      </w:r>
      <w:r w:rsidRPr="002D2A8F">
        <w:t>On Peak Season of any Annual Period that would decrease the</w:t>
      </w:r>
      <w:r w:rsidR="008A48D2">
        <w:t xml:space="preserve"> </w:t>
      </w:r>
      <w:r w:rsidR="00CD19EC">
        <w:t>B</w:t>
      </w:r>
      <w:r w:rsidR="008A48D2">
        <w:t>ESS</w:t>
      </w:r>
      <w:r w:rsidRPr="002D2A8F">
        <w:t xml:space="preserve"> </w:t>
      </w:r>
      <w:r w:rsidR="008A48D2">
        <w:t xml:space="preserve">(i) </w:t>
      </w:r>
      <w:r w:rsidRPr="002D2A8F">
        <w:t>capacity output below the SDDC</w:t>
      </w:r>
      <w:r w:rsidR="008A48D2">
        <w:t>;</w:t>
      </w:r>
      <w:r w:rsidRPr="001F64E7" w:rsidR="001F64E7">
        <w:t xml:space="preserve"> </w:t>
      </w:r>
      <w:r w:rsidR="008A48D2">
        <w:t>(ii)</w:t>
      </w:r>
      <w:r w:rsidRPr="002D2A8F">
        <w:t xml:space="preserve"> </w:t>
      </w:r>
      <w:r w:rsidRPr="001F64E7" w:rsidR="001F64E7">
        <w:t>energy storage capability</w:t>
      </w:r>
      <w:r w:rsidRPr="002D2A8F">
        <w:t xml:space="preserve"> </w:t>
      </w:r>
      <w:r w:rsidRPr="001F64E7" w:rsidR="001F64E7">
        <w:t>below the SDOE</w:t>
      </w:r>
      <w:r w:rsidR="008A48D2">
        <w:t>;</w:t>
      </w:r>
      <w:r w:rsidRPr="001F64E7" w:rsidR="001F64E7">
        <w:t xml:space="preserve"> or </w:t>
      </w:r>
      <w:r w:rsidR="008A48D2">
        <w:t xml:space="preserve">(iii) </w:t>
      </w:r>
      <w:r w:rsidRPr="001F64E7" w:rsidR="001F64E7">
        <w:t xml:space="preserve">rate of charge capability below the ROC, </w:t>
      </w:r>
      <w:r w:rsidRPr="002D2A8F">
        <w:t xml:space="preserve">without the prior written consent of GPC. </w:t>
      </w:r>
      <w:r w:rsidR="00DD4A7B">
        <w:t>The proposed Maintenance Schedules are subject to the</w:t>
      </w:r>
      <w:r w:rsidR="008347BC">
        <w:t xml:space="preserve"> approval of </w:t>
      </w:r>
      <w:r w:rsidR="00E8503A">
        <w:t>GPC</w:t>
      </w:r>
      <w:r w:rsidR="00575ADC">
        <w:t>, which approval GPC will not unreasonably withhold or delay</w:t>
      </w:r>
      <w:r w:rsidR="00E8503A">
        <w:t xml:space="preserve">. </w:t>
      </w:r>
      <w:r w:rsidRPr="002D2A8F">
        <w:t>GPC</w:t>
      </w:r>
      <w:r w:rsidRPr="002D2A8F" w:rsidDel="003C44DC">
        <w:t xml:space="preserve"> </w:t>
      </w:r>
      <w:r w:rsidRPr="002D2A8F">
        <w:t>will</w:t>
      </w:r>
      <w:r w:rsidRPr="002D2A8F" w:rsidDel="009313F8">
        <w:t xml:space="preserve"> </w:t>
      </w:r>
      <w:r w:rsidRPr="002D2A8F">
        <w:t>have 30 Days to review the proposed Maintenance Schedules and may approve or reject (in whole or in part)</w:t>
      </w:r>
      <w:r w:rsidR="00A17DE8">
        <w:t xml:space="preserve"> the Maintenance Schedules.</w:t>
      </w:r>
      <w:r w:rsidRPr="002D2A8F">
        <w:t xml:space="preserve"> If any portion of </w:t>
      </w:r>
      <w:r w:rsidR="009E089E">
        <w:t>a</w:t>
      </w:r>
      <w:r w:rsidRPr="002D2A8F">
        <w:t xml:space="preserve"> Maintenance Schedule is rejected by GPC, Seller must</w:t>
      </w:r>
      <w:r w:rsidRPr="002D2A8F" w:rsidDel="009313F8">
        <w:t xml:space="preserve"> </w:t>
      </w:r>
      <w:r w:rsidRPr="002D2A8F">
        <w:t xml:space="preserve">resubmit </w:t>
      </w:r>
      <w:r w:rsidR="004756A3">
        <w:t>a</w:t>
      </w:r>
      <w:r w:rsidRPr="002D2A8F">
        <w:t xml:space="preserve"> revised Maintenance Schedule to GPC</w:t>
      </w:r>
      <w:r w:rsidRPr="002D2A8F" w:rsidDel="003C44DC">
        <w:t xml:space="preserve"> </w:t>
      </w:r>
      <w:r w:rsidRPr="002D2A8F">
        <w:t xml:space="preserve">within 30 Days </w:t>
      </w:r>
      <w:r w:rsidR="5E88D997">
        <w:t xml:space="preserve">after </w:t>
      </w:r>
      <w:r w:rsidRPr="002D2A8F">
        <w:t>GPC’s rejection and GPC</w:t>
      </w:r>
      <w:r w:rsidRPr="002D2A8F" w:rsidDel="003C44DC">
        <w:t xml:space="preserve"> </w:t>
      </w:r>
      <w:r w:rsidRPr="002D2A8F">
        <w:t>and Seller agree to use best efforts to promptly develop Maintenance Schedules that are mutually acceptable</w:t>
      </w:r>
      <w:r w:rsidR="004756A3">
        <w:t>,</w:t>
      </w:r>
      <w:r w:rsidRPr="002D2A8F">
        <w:t xml:space="preserve"> considering the burdens that GPC’s changes impose on Seller compared to the burdens avoided by GPC</w:t>
      </w:r>
      <w:r w:rsidRPr="002D2A8F" w:rsidDel="003C44DC">
        <w:t xml:space="preserve"> </w:t>
      </w:r>
      <w:r w:rsidRPr="002D2A8F">
        <w:t xml:space="preserve">because of such changes. Any dispute concerning this </w:t>
      </w:r>
      <w:r w:rsidRPr="00534192">
        <w:t xml:space="preserve">Section </w:t>
      </w:r>
      <w:r w:rsidRPr="00534192" w:rsidR="0068177B">
        <w:t>10</w:t>
      </w:r>
      <w:r w:rsidRPr="00534192">
        <w:t>.2.1</w:t>
      </w:r>
      <w:r w:rsidRPr="002D2A8F">
        <w:t xml:space="preserve"> will</w:t>
      </w:r>
      <w:r w:rsidRPr="002D2A8F" w:rsidDel="009313F8">
        <w:t xml:space="preserve"> </w:t>
      </w:r>
      <w:r w:rsidRPr="002D2A8F">
        <w:t xml:space="preserve">be resolved in accordance with </w:t>
      </w:r>
      <w:r w:rsidR="004B12E3">
        <w:t xml:space="preserve">the provisions of </w:t>
      </w:r>
      <w:r w:rsidRPr="00534192">
        <w:t>Part 1</w:t>
      </w:r>
      <w:r w:rsidRPr="00534192" w:rsidR="0068177B">
        <w:t>9</w:t>
      </w:r>
      <w:r w:rsidRPr="00534192">
        <w:t xml:space="preserve"> (</w:t>
      </w:r>
      <w:r w:rsidRPr="00534192">
        <w:rPr>
          <w:i/>
        </w:rPr>
        <w:t>Dispute Resolution</w:t>
      </w:r>
      <w:r w:rsidRPr="00534192">
        <w:t>)</w:t>
      </w:r>
      <w:r w:rsidRPr="002D2A8F">
        <w:t xml:space="preserve"> applicable to Maintenance Schedule disputes. The outages included in the final, approved Maintenance Schedule for the current Annual Period will</w:t>
      </w:r>
      <w:r w:rsidRPr="002D2A8F" w:rsidDel="009313F8">
        <w:t xml:space="preserve"> </w:t>
      </w:r>
      <w:r w:rsidRPr="002D2A8F">
        <w:t>be the Scheduled Outages for that Annual Period</w:t>
      </w:r>
      <w:r w:rsidRPr="002D2A8F" w:rsidR="00AE5DC9">
        <w:t>.</w:t>
      </w:r>
      <w:r w:rsidRPr="002D2A8F" w:rsidR="007E5F9B">
        <w:t xml:space="preserve"> GPC will exclude Scheduled Outages from its calculation of</w:t>
      </w:r>
      <w:r w:rsidRPr="002D2A8F" w:rsidDel="00836F8F" w:rsidR="007E5F9B">
        <w:t xml:space="preserve"> </w:t>
      </w:r>
      <w:r w:rsidRPr="002D2A8F" w:rsidR="007E5F9B">
        <w:t xml:space="preserve">Performance Metrics under </w:t>
      </w:r>
      <w:r w:rsidRPr="00534192" w:rsidR="007E5F9B">
        <w:t xml:space="preserve">Exhibit </w:t>
      </w:r>
      <w:r w:rsidRPr="00534192" w:rsidR="009D1A13">
        <w:t>C</w:t>
      </w:r>
      <w:r w:rsidRPr="00534192" w:rsidR="007E5F9B">
        <w:t xml:space="preserve"> (</w:t>
      </w:r>
      <w:r w:rsidRPr="00534192" w:rsidR="00186E51">
        <w:rPr>
          <w:i/>
        </w:rPr>
        <w:t xml:space="preserve">Monthly Capacity Payments; Monthly Capacity Reductions; AGC Performance </w:t>
      </w:r>
      <w:r w:rsidRPr="004C6ED4" w:rsidR="00937930">
        <w:rPr>
          <w:bCs/>
          <w:i/>
        </w:rPr>
        <w:t>Metrics and</w:t>
      </w:r>
      <w:r w:rsidRPr="00534192" w:rsidR="00937930">
        <w:rPr>
          <w:i/>
        </w:rPr>
        <w:t xml:space="preserve"> </w:t>
      </w:r>
      <w:r w:rsidRPr="00534192" w:rsidR="00186E51">
        <w:rPr>
          <w:i/>
        </w:rPr>
        <w:t>Requirements</w:t>
      </w:r>
      <w:r w:rsidRPr="00534192" w:rsidR="007E5F9B">
        <w:t>)</w:t>
      </w:r>
      <w:r w:rsidRPr="002D2A8F">
        <w:t>.</w:t>
      </w:r>
    </w:p>
    <w:p w:rsidRPr="002D2A8F" w:rsidR="002D54C4" w:rsidP="008759EF" w:rsidRDefault="002D54C4" w14:paraId="3BC0668F" w14:textId="77777777">
      <w:pPr>
        <w:pStyle w:val="zGTC03"/>
        <w:rPr>
          <w:rFonts w:cs="Arial"/>
          <w:b/>
          <w:vanish/>
          <w:specVanish/>
        </w:rPr>
      </w:pPr>
      <w:r w:rsidRPr="002D2A8F">
        <w:rPr>
          <w:rFonts w:cs="Arial"/>
          <w:b/>
        </w:rPr>
        <w:t xml:space="preserve">Maintenance Outages. </w:t>
      </w:r>
    </w:p>
    <w:p w:rsidRPr="002D2A8F" w:rsidR="002D54C4" w:rsidP="00E24131" w:rsidRDefault="002D54C4" w14:paraId="5F2B5ACF" w14:textId="11015B7C">
      <w:pPr>
        <w:pStyle w:val="zGNormal"/>
        <w:spacing w:before="120" w:after="120"/>
      </w:pPr>
      <w:r w:rsidRPr="002D2A8F">
        <w:t>In addition to Scheduled Outages, Seller may request Maintenance Outages during any Annual Period. Seller must</w:t>
      </w:r>
      <w:r w:rsidRPr="002D2A8F" w:rsidDel="009313F8">
        <w:t xml:space="preserve"> </w:t>
      </w:r>
      <w:r w:rsidRPr="002D2A8F">
        <w:t xml:space="preserve">notify GPC (in writing, electronically, or orally) of each Maintenance Outage no less than 24 </w:t>
      </w:r>
      <w:r w:rsidR="00BB64E2">
        <w:t>H</w:t>
      </w:r>
      <w:r w:rsidRPr="002D2A8F">
        <w:t>ours in advance and at least one Business Day in advance of Seller’s proposed commencement of the Maintenance Outage. In Seller’s request, Seller must</w:t>
      </w:r>
      <w:r w:rsidRPr="002D2A8F" w:rsidDel="009313F8">
        <w:t xml:space="preserve"> </w:t>
      </w:r>
      <w:r w:rsidRPr="002D2A8F">
        <w:t xml:space="preserve">identify the equipment and the percentage of </w:t>
      </w:r>
      <w:r w:rsidRPr="002D2A8F" w:rsidR="001E545A">
        <w:t xml:space="preserve">SDDC and </w:t>
      </w:r>
      <w:r w:rsidRPr="002D2A8F">
        <w:t>SDOE that will not be available for delivery at the POI and the proposed start time and duration of the Maintenance Outage. GPC</w:t>
      </w:r>
      <w:r w:rsidRPr="002D2A8F" w:rsidDel="003C44DC">
        <w:t xml:space="preserve"> </w:t>
      </w:r>
      <w:r w:rsidRPr="002D2A8F">
        <w:t>will</w:t>
      </w:r>
      <w:r w:rsidRPr="002D2A8F" w:rsidDel="009313F8">
        <w:t xml:space="preserve"> </w:t>
      </w:r>
      <w:r w:rsidRPr="002D2A8F">
        <w:t>respond to Seller’s request as soon as reasonably practicable. Seller must</w:t>
      </w:r>
      <w:r w:rsidRPr="002D2A8F" w:rsidDel="009313F8">
        <w:t xml:space="preserve"> </w:t>
      </w:r>
      <w:r w:rsidRPr="002D2A8F">
        <w:t>not take a Maintenance Outage</w:t>
      </w:r>
      <w:r w:rsidR="001C6389">
        <w:t xml:space="preserve"> that would impair the Facility’s ability to meet the SDDC or SDOE</w:t>
      </w:r>
      <w:r w:rsidRPr="002D2A8F">
        <w:t xml:space="preserve"> without GPC’s prior written or telephonic consent, and GPC’ will</w:t>
      </w:r>
      <w:r w:rsidRPr="002D2A8F" w:rsidDel="009313F8">
        <w:t xml:space="preserve"> </w:t>
      </w:r>
      <w:r w:rsidRPr="002D2A8F">
        <w:t>not unreasonably withhold, condition, or delay its consent. Despite the preceding sentence, each Party acknowledges that it will</w:t>
      </w:r>
      <w:r w:rsidRPr="002D2A8F" w:rsidDel="009313F8">
        <w:t xml:space="preserve"> </w:t>
      </w:r>
      <w:r w:rsidRPr="002D2A8F">
        <w:t>be reasonable for GPC</w:t>
      </w:r>
      <w:r w:rsidRPr="002D2A8F" w:rsidDel="003C44DC">
        <w:t xml:space="preserve"> </w:t>
      </w:r>
      <w:r w:rsidRPr="002D2A8F">
        <w:t>to deny any request for a Maintenance Outage if GPC</w:t>
      </w:r>
      <w:r w:rsidRPr="002D2A8F" w:rsidDel="003C44DC">
        <w:t xml:space="preserve"> </w:t>
      </w:r>
      <w:r w:rsidRPr="002D2A8F">
        <w:t xml:space="preserve">reasonably believes that it may need the </w:t>
      </w:r>
      <w:r w:rsidR="00CD19EC">
        <w:t>B</w:t>
      </w:r>
      <w:r w:rsidRPr="002D2A8F">
        <w:t>ESS during the requested time period. GPC</w:t>
      </w:r>
      <w:r w:rsidRPr="002D2A8F" w:rsidDel="003C44DC">
        <w:t xml:space="preserve"> </w:t>
      </w:r>
      <w:r w:rsidRPr="002D2A8F">
        <w:t>will</w:t>
      </w:r>
      <w:r w:rsidRPr="002D2A8F" w:rsidDel="009313F8">
        <w:t xml:space="preserve"> </w:t>
      </w:r>
      <w:r w:rsidRPr="002D2A8F">
        <w:t xml:space="preserve">have the right to revoke its consent to a Maintenance Outage if </w:t>
      </w:r>
      <w:r w:rsidR="00041EC9">
        <w:t xml:space="preserve">any </w:t>
      </w:r>
      <w:r w:rsidRPr="002D2A8F">
        <w:t>changed condition require</w:t>
      </w:r>
      <w:r w:rsidR="008336C6">
        <w:t>s</w:t>
      </w:r>
      <w:r w:rsidRPr="002D2A8F">
        <w:t xml:space="preserve"> the availability of the </w:t>
      </w:r>
      <w:r w:rsidR="00CD19EC">
        <w:t>B</w:t>
      </w:r>
      <w:r w:rsidRPr="002D2A8F">
        <w:t>ESS. If GPC</w:t>
      </w:r>
      <w:r w:rsidRPr="002D2A8F" w:rsidDel="003C44DC">
        <w:t xml:space="preserve"> </w:t>
      </w:r>
      <w:r w:rsidRPr="002D2A8F">
        <w:t xml:space="preserve">requests Seller to return to full </w:t>
      </w:r>
      <w:r w:rsidR="00BD638B">
        <w:t>A</w:t>
      </w:r>
      <w:r w:rsidRPr="002D2A8F">
        <w:t xml:space="preserve">vailability status all or part of that portion of the </w:t>
      </w:r>
      <w:r w:rsidR="00CD19EC">
        <w:t>B</w:t>
      </w:r>
      <w:r w:rsidRPr="002D2A8F">
        <w:t>ESS that is affected by the Maintenance Outage, Seller must</w:t>
      </w:r>
      <w:r w:rsidRPr="002D2A8F" w:rsidDel="009313F8">
        <w:t xml:space="preserve"> </w:t>
      </w:r>
      <w:r w:rsidRPr="002D2A8F">
        <w:t xml:space="preserve">comply as soon as reasonably practical.  GPC will not dispatch the </w:t>
      </w:r>
      <w:r w:rsidR="00CD19EC">
        <w:t>B</w:t>
      </w:r>
      <w:r w:rsidRPr="002D2A8F">
        <w:t xml:space="preserve">ESS to the extent that the </w:t>
      </w:r>
      <w:r w:rsidR="00CD19EC">
        <w:t>B</w:t>
      </w:r>
      <w:r w:rsidRPr="002D2A8F">
        <w:t xml:space="preserve">ESS is not capable of </w:t>
      </w:r>
      <w:r w:rsidR="00CD1D79">
        <w:t>receiving or</w:t>
      </w:r>
      <w:r w:rsidRPr="002D2A8F">
        <w:t xml:space="preserve"> delivering energy as a direct result of a Scheduled Outage or a Maintenance Outage approved by GPC.</w:t>
      </w:r>
      <w:r w:rsidRPr="002D2A8F" w:rsidR="00565CFF">
        <w:t xml:space="preserve"> GPC’s calculation of Performance Metrics under </w:t>
      </w:r>
      <w:r w:rsidRPr="00534192" w:rsidR="00565CFF">
        <w:t xml:space="preserve">Exhibit </w:t>
      </w:r>
      <w:r w:rsidRPr="00534192" w:rsidR="002B0EB2">
        <w:t>C</w:t>
      </w:r>
      <w:r w:rsidRPr="00534192" w:rsidR="00565CFF">
        <w:t xml:space="preserve"> (</w:t>
      </w:r>
      <w:r w:rsidRPr="00534192" w:rsidR="00546980">
        <w:rPr>
          <w:i/>
        </w:rPr>
        <w:t xml:space="preserve">Monthly Capacity Payments; Monthly Capacity Reductions; AGC Performance </w:t>
      </w:r>
      <w:r w:rsidRPr="004C6ED4" w:rsidR="00937930">
        <w:rPr>
          <w:bCs/>
          <w:i/>
        </w:rPr>
        <w:t>Metrics and</w:t>
      </w:r>
      <w:r w:rsidRPr="00534192" w:rsidR="00937930">
        <w:rPr>
          <w:i/>
        </w:rPr>
        <w:t xml:space="preserve"> </w:t>
      </w:r>
      <w:r w:rsidRPr="00534192" w:rsidR="00546980">
        <w:rPr>
          <w:i/>
        </w:rPr>
        <w:t>Requirements</w:t>
      </w:r>
      <w:r w:rsidRPr="00534192" w:rsidR="00565CFF">
        <w:t>)</w:t>
      </w:r>
      <w:r w:rsidRPr="00585ABE" w:rsidR="00565CFF">
        <w:t xml:space="preserve"> </w:t>
      </w:r>
      <w:r w:rsidRPr="002D2A8F" w:rsidR="00565CFF">
        <w:t>will exclude approved Maintenance Outages.</w:t>
      </w:r>
      <w:r w:rsidR="004A1A5C">
        <w:t xml:space="preserve"> </w:t>
      </w:r>
      <w:r w:rsidRPr="000C0B43" w:rsidR="004A1A5C">
        <w:t>For avoidance of doubt, GPC’s advance</w:t>
      </w:r>
      <w:r w:rsidR="004A1A5C">
        <w:t>d</w:t>
      </w:r>
      <w:r w:rsidRPr="000C0B43" w:rsidR="004A1A5C">
        <w:t xml:space="preserve"> consent is not required for Seller to take any action that Seller reasonably believes is necessary to prevent damage to person or property, but (i) any resulting outage or derate will not be considered a Maintenance Outage or Scheduled Outage; and (ii) Seller must notify GPC of any resulting outage or derate as soon as practicable.</w:t>
      </w:r>
    </w:p>
    <w:p w:rsidRPr="002D2A8F" w:rsidR="002D54C4" w:rsidP="00E24131" w:rsidRDefault="002D54C4" w14:paraId="1D478F64" w14:textId="77777777">
      <w:pPr>
        <w:pStyle w:val="zGTC03"/>
        <w:spacing w:after="120"/>
        <w:rPr>
          <w:rFonts w:cs="Arial"/>
          <w:b/>
          <w:vanish/>
          <w:specVanish/>
        </w:rPr>
      </w:pPr>
      <w:r w:rsidRPr="002D2A8F">
        <w:rPr>
          <w:rFonts w:cs="Arial"/>
          <w:b/>
        </w:rPr>
        <w:t>Reporting of Forced Outages and Derates.</w:t>
      </w:r>
    </w:p>
    <w:p w:rsidRPr="002D2A8F" w:rsidR="002D54C4" w:rsidRDefault="002D54C4" w14:paraId="5D54C126" w14:textId="6FF9590D">
      <w:pPr>
        <w:pStyle w:val="zGNormal6"/>
      </w:pPr>
      <w:r w:rsidRPr="002D2A8F">
        <w:t xml:space="preserve"> </w:t>
      </w:r>
      <w:r w:rsidRPr="002D2A8F" w:rsidR="007D706F">
        <w:t>Through the method</w:t>
      </w:r>
      <w:r w:rsidRPr="002D2A8F" w:rsidR="004D581F">
        <w:t xml:space="preserve"> </w:t>
      </w:r>
      <w:r w:rsidRPr="002D2A8F" w:rsidR="004132BB">
        <w:t xml:space="preserve">required by the Operating Procedures, </w:t>
      </w:r>
      <w:r w:rsidRPr="002D2A8F">
        <w:t>Seller must notify GPC promptly</w:t>
      </w:r>
      <w:r w:rsidRPr="002D2A8F" w:rsidR="004132BB">
        <w:t xml:space="preserve"> </w:t>
      </w:r>
      <w:r w:rsidRPr="002D2A8F">
        <w:t>upon the occurrence of any Forced Outage or Forced Derate</w:t>
      </w:r>
      <w:r w:rsidR="00E36EBA">
        <w:t xml:space="preserve">, except that Seller </w:t>
      </w:r>
      <w:r w:rsidR="00DB0CDA">
        <w:t>will not be required to notify</w:t>
      </w:r>
      <w:r w:rsidR="00F47CE4">
        <w:t xml:space="preserve"> GPC of</w:t>
      </w:r>
      <w:r w:rsidR="001D3E23">
        <w:t xml:space="preserve"> any Forced Derate</w:t>
      </w:r>
      <w:r w:rsidR="00984E79">
        <w:t xml:space="preserve"> that</w:t>
      </w:r>
      <w:r w:rsidR="00414274">
        <w:t>: (i)</w:t>
      </w:r>
      <w:r w:rsidR="00984E79">
        <w:t xml:space="preserve"> is less than 0.5 MW</w:t>
      </w:r>
      <w:r w:rsidR="00414274">
        <w:t>;</w:t>
      </w:r>
      <w:r w:rsidR="00E20F0D">
        <w:t xml:space="preserve"> </w:t>
      </w:r>
      <w:r w:rsidR="00414274">
        <w:t>(ii)</w:t>
      </w:r>
      <w:r w:rsidR="00984E79">
        <w:t xml:space="preserve"> falls within</w:t>
      </w:r>
      <w:r w:rsidR="004E7455">
        <w:t xml:space="preserve"> </w:t>
      </w:r>
      <w:r w:rsidR="007D2EC7">
        <w:t>the rounding requirements specified in the Operating Procedures</w:t>
      </w:r>
      <w:r w:rsidR="00FA1325">
        <w:t xml:space="preserve">; </w:t>
      </w:r>
      <w:r w:rsidR="008B04F1">
        <w:t>or (iii) does not reduce the Facility’s ability to meet the SDDC or SDOE</w:t>
      </w:r>
      <w:r w:rsidRPr="002D2A8F">
        <w:t>. As soon as practicable, but in any event not later than</w:t>
      </w:r>
      <w:r w:rsidR="002E508B">
        <w:t xml:space="preserve"> one Business Day after</w:t>
      </w:r>
      <w:r w:rsidRPr="002D2A8F">
        <w:t xml:space="preserve"> the beginning of </w:t>
      </w:r>
      <w:r w:rsidRPr="002D2A8F">
        <w:lastRenderedPageBreak/>
        <w:t xml:space="preserve">the period of the Forced Outage or Forced Derate, Seller must notify GPC of: (i) the cause of the outage or derate; (ii) the amount of </w:t>
      </w:r>
      <w:r w:rsidRPr="002D2A8F" w:rsidR="00246D0D">
        <w:t xml:space="preserve">SDDC and SDOE </w:t>
      </w:r>
      <w:r w:rsidRPr="002D2A8F">
        <w:t>affected by the outage or derate; (iii) the proposed corrective action to address the outage or derate; and (iv) Seller’s reasonable estimate of the expected duration of the Forced Outage or Forced Derate and expected return to full operation.</w:t>
      </w:r>
    </w:p>
    <w:p w:rsidRPr="002D2A8F" w:rsidR="002D54C4" w:rsidP="00E24131" w:rsidRDefault="002D54C4" w14:paraId="1782B622" w14:textId="0F8CD67F">
      <w:pPr>
        <w:pStyle w:val="zGTC03"/>
        <w:spacing w:after="120"/>
        <w:rPr>
          <w:rFonts w:cs="Arial"/>
          <w:b/>
          <w:vanish/>
          <w:specVanish/>
        </w:rPr>
      </w:pPr>
      <w:r w:rsidRPr="002D2A8F">
        <w:rPr>
          <w:rFonts w:cs="Arial"/>
          <w:b/>
        </w:rPr>
        <w:t>System Emergencies.</w:t>
      </w:r>
    </w:p>
    <w:p w:rsidRPr="002D2A8F" w:rsidR="002D54C4" w:rsidP="00E24131" w:rsidRDefault="002D54C4" w14:paraId="0C91FC57" w14:textId="37CC81AB">
      <w:pPr>
        <w:pStyle w:val="zGNormal"/>
        <w:spacing w:before="120" w:after="120"/>
      </w:pPr>
      <w:r w:rsidRPr="002D2A8F">
        <w:t xml:space="preserve"> If Seller has a Scheduled Outage or Maintenance Outage, and the Scheduled Outage or Maintenance Outage occurs or would occur coincident with a System Emergency, GPC</w:t>
      </w:r>
      <w:r w:rsidRPr="002D2A8F" w:rsidDel="003C44DC">
        <w:t xml:space="preserve"> </w:t>
      </w:r>
      <w:r w:rsidRPr="002D2A8F">
        <w:t>will</w:t>
      </w:r>
      <w:r w:rsidRPr="002D2A8F" w:rsidDel="009313F8">
        <w:t xml:space="preserve"> </w:t>
      </w:r>
      <w:r w:rsidRPr="002D2A8F">
        <w:t>notify Seller of the System Emergency. GPC</w:t>
      </w:r>
      <w:r w:rsidRPr="002D2A8F" w:rsidDel="003C44DC">
        <w:t xml:space="preserve"> </w:t>
      </w:r>
      <w:r w:rsidRPr="002D2A8F">
        <w:t xml:space="preserve">may, because of the System Emergency, request Seller to reschedule the Scheduled Outage or Maintenance Outage or, if the Scheduled Outage or Maintenance Outage has begun, to expedite </w:t>
      </w:r>
      <w:r w:rsidR="006160CC">
        <w:t>its</w:t>
      </w:r>
      <w:r w:rsidRPr="002D2A8F" w:rsidR="006160CC">
        <w:t xml:space="preserve"> </w:t>
      </w:r>
      <w:r w:rsidRPr="002D2A8F">
        <w:t>completion, and Seller must</w:t>
      </w:r>
      <w:r w:rsidRPr="002D2A8F" w:rsidDel="009313F8">
        <w:t xml:space="preserve"> </w:t>
      </w:r>
      <w:r w:rsidRPr="002D2A8F">
        <w:t>comply with GPC’s request as soon as reasonably practical</w:t>
      </w:r>
      <w:r w:rsidR="00E94F14">
        <w:t xml:space="preserve"> subject to Prudent Industry Practices </w:t>
      </w:r>
      <w:r w:rsidR="001B0707">
        <w:t>and any limitation or coordination requirement outlined in the Operating Procedures as necessary for Seller to preserve its equipment warranties</w:t>
      </w:r>
      <w:r w:rsidRPr="002D2A8F">
        <w:t>.</w:t>
      </w:r>
    </w:p>
    <w:p w:rsidRPr="002D2A8F" w:rsidR="002D54C4" w:rsidRDefault="002D54C4" w14:paraId="578A3BBE" w14:textId="3FC310C5">
      <w:pPr>
        <w:pStyle w:val="zGTC02"/>
        <w:rPr>
          <w:rFonts w:ascii="Arial" w:hAnsi="Arial" w:cs="Arial"/>
          <w:vanish/>
          <w:specVanish/>
        </w:rPr>
      </w:pPr>
      <w:bookmarkStart w:name="_Toc158929406" w:id="275"/>
      <w:bookmarkStart w:name="_Toc156309787" w:id="276"/>
      <w:bookmarkStart w:name="_Toc169778617" w:id="277"/>
      <w:bookmarkStart w:name="_Toc227451383" w:id="278"/>
      <w:bookmarkEnd w:id="275"/>
      <w:r w:rsidRPr="002D2A8F">
        <w:rPr>
          <w:rFonts w:ascii="Arial" w:hAnsi="Arial" w:cs="Arial"/>
        </w:rPr>
        <w:t xml:space="preserve">Renewable </w:t>
      </w:r>
      <w:r w:rsidRPr="002D2A8F" w:rsidR="00695F4F">
        <w:rPr>
          <w:rFonts w:ascii="Arial" w:hAnsi="Arial" w:cs="Arial"/>
        </w:rPr>
        <w:t>R</w:t>
      </w:r>
      <w:r w:rsidRPr="002D2A8F">
        <w:rPr>
          <w:rFonts w:ascii="Arial" w:hAnsi="Arial" w:cs="Arial"/>
        </w:rPr>
        <w:t xml:space="preserve">esource </w:t>
      </w:r>
      <w:r w:rsidRPr="002D2A8F" w:rsidR="004A1A3C">
        <w:rPr>
          <w:rFonts w:ascii="Arial" w:hAnsi="Arial" w:cs="Arial"/>
        </w:rPr>
        <w:t>O</w:t>
      </w:r>
      <w:r w:rsidRPr="002D2A8F">
        <w:rPr>
          <w:rFonts w:ascii="Arial" w:hAnsi="Arial" w:cs="Arial"/>
        </w:rPr>
        <w:t>utages.</w:t>
      </w:r>
      <w:bookmarkEnd w:id="276"/>
      <w:bookmarkEnd w:id="277"/>
      <w:bookmarkEnd w:id="278"/>
    </w:p>
    <w:p w:rsidR="00C36DE0" w:rsidP="00F5521A" w:rsidRDefault="002D54C4" w14:paraId="1EF8CE5B" w14:textId="5BB37340">
      <w:pPr>
        <w:pStyle w:val="zGNormal"/>
      </w:pPr>
      <w:r w:rsidRPr="002D2A8F">
        <w:t xml:space="preserve"> Seller must inform GPC of any Renewable Resource outage, as described in </w:t>
      </w:r>
      <w:r w:rsidR="0020305F">
        <w:t>Section 4.</w:t>
      </w:r>
      <w:r w:rsidR="00600A15">
        <w:t>1.</w:t>
      </w:r>
      <w:r w:rsidR="0020305F">
        <w:t xml:space="preserve">2 </w:t>
      </w:r>
      <w:r w:rsidR="00600A15">
        <w:t>(</w:t>
      </w:r>
      <w:r w:rsidRPr="00600A15" w:rsidR="00600A15">
        <w:rPr>
          <w:i/>
          <w:iCs/>
        </w:rPr>
        <w:t>Communications</w:t>
      </w:r>
      <w:r w:rsidR="00600A15">
        <w:t xml:space="preserve">) of </w:t>
      </w:r>
      <w:r w:rsidRPr="00534192">
        <w:t xml:space="preserve">Exhibit </w:t>
      </w:r>
      <w:r w:rsidRPr="00534192" w:rsidR="00B54386">
        <w:t xml:space="preserve">F </w:t>
      </w:r>
      <w:r w:rsidRPr="00534192">
        <w:t>(</w:t>
      </w:r>
      <w:r w:rsidRPr="00534192">
        <w:rPr>
          <w:i/>
        </w:rPr>
        <w:t xml:space="preserve">Facility Operating </w:t>
      </w:r>
      <w:r w:rsidRPr="00534192" w:rsidR="00ED21A0">
        <w:rPr>
          <w:i/>
        </w:rPr>
        <w:t>and</w:t>
      </w:r>
      <w:r w:rsidRPr="00534192">
        <w:rPr>
          <w:i/>
        </w:rPr>
        <w:t xml:space="preserve"> Dispatching Requirements</w:t>
      </w:r>
      <w:r w:rsidRPr="00534192">
        <w:t>)</w:t>
      </w:r>
      <w:r w:rsidRPr="002D2A8F">
        <w:t xml:space="preserve">. </w:t>
      </w:r>
      <w:bookmarkStart w:name="_Toc156309788" w:id="279"/>
      <w:bookmarkStart w:name="_Toc169778618" w:id="280"/>
    </w:p>
    <w:p w:rsidRPr="00261AEB" w:rsidR="002D54C4" w:rsidP="0072211F" w:rsidRDefault="002D54C4" w14:paraId="6C11CED2" w14:textId="18D0D7F0">
      <w:pPr>
        <w:pStyle w:val="zGTC02"/>
        <w:rPr>
          <w:vanish/>
          <w:specVanish/>
        </w:rPr>
      </w:pPr>
      <w:bookmarkStart w:name="_Toc227451384" w:id="281"/>
      <w:r w:rsidRPr="00F5521A">
        <w:t>Access to the Site and the Facility.</w:t>
      </w:r>
      <w:bookmarkStart w:name="_Toc158593220" w:id="282"/>
      <w:bookmarkStart w:name="_Toc158597499" w:id="283"/>
      <w:bookmarkStart w:name="_Toc158720123" w:id="284"/>
      <w:bookmarkStart w:name="_Toc158722877" w:id="285"/>
      <w:bookmarkStart w:name="_Toc158929407" w:id="286"/>
      <w:bookmarkEnd w:id="279"/>
      <w:bookmarkEnd w:id="280"/>
      <w:bookmarkEnd w:id="281"/>
      <w:bookmarkEnd w:id="282"/>
      <w:bookmarkEnd w:id="283"/>
      <w:bookmarkEnd w:id="284"/>
      <w:bookmarkEnd w:id="285"/>
      <w:bookmarkEnd w:id="286"/>
    </w:p>
    <w:p w:rsidRPr="002D2A8F" w:rsidR="002D54C4" w:rsidRDefault="002D54C4" w14:paraId="02384CFF" w14:textId="03E47236">
      <w:pPr>
        <w:pStyle w:val="zGNormal"/>
      </w:pPr>
      <w:r w:rsidRPr="002D2A8F">
        <w:t xml:space="preserve"> Seller grants to GPC</w:t>
      </w:r>
      <w:r w:rsidRPr="002D2A8F" w:rsidDel="003C44DC">
        <w:t xml:space="preserve"> </w:t>
      </w:r>
      <w:r w:rsidRPr="002D2A8F">
        <w:t xml:space="preserve">or GPC’s designated </w:t>
      </w:r>
      <w:r w:rsidR="0090348D">
        <w:t>Representatives</w:t>
      </w:r>
      <w:r w:rsidRPr="002D2A8F">
        <w:t xml:space="preserve">, with reasonable prior notice to Seller, the right to enter the Site </w:t>
      </w:r>
      <w:r w:rsidR="008C56DE">
        <w:t xml:space="preserve">at reasonable times (including nights and weekends) </w:t>
      </w:r>
      <w:r w:rsidRPr="002D2A8F">
        <w:t>to: (i) inspect, maintain, and test meters and other GPC</w:t>
      </w:r>
      <w:r w:rsidRPr="002D2A8F" w:rsidDel="003C44DC">
        <w:t xml:space="preserve"> </w:t>
      </w:r>
      <w:r w:rsidRPr="002D2A8F">
        <w:t xml:space="preserve">equipment; (ii) monitor or measure </w:t>
      </w:r>
      <w:r w:rsidR="00570AA6">
        <w:t xml:space="preserve">both </w:t>
      </w:r>
      <w:r w:rsidR="00CE6DF2">
        <w:t>Renewable Energy</w:t>
      </w:r>
      <w:r w:rsidRPr="002D2A8F" w:rsidR="00CE6DF2">
        <w:t xml:space="preserve"> </w:t>
      </w:r>
      <w:r w:rsidRPr="002D2A8F">
        <w:t xml:space="preserve">generated by the Renewable Resource and </w:t>
      </w:r>
      <w:r w:rsidR="00E46EA0">
        <w:t xml:space="preserve">energy received or </w:t>
      </w:r>
      <w:r w:rsidR="009C50E6">
        <w:t xml:space="preserve">discharged </w:t>
      </w:r>
      <w:r w:rsidRPr="002D2A8F">
        <w:t xml:space="preserve">by the </w:t>
      </w:r>
      <w:r w:rsidR="0085582C">
        <w:t>B</w:t>
      </w:r>
      <w:r w:rsidRPr="002D2A8F">
        <w:t xml:space="preserve">ESS in accordance with this PPA and Prudent Industry Practices; (iii) monitor Performance Tests; </w:t>
      </w:r>
      <w:r w:rsidR="00EB6044">
        <w:t>or</w:t>
      </w:r>
      <w:r w:rsidRPr="002D2A8F" w:rsidR="00EB6044">
        <w:t xml:space="preserve"> </w:t>
      </w:r>
      <w:r w:rsidRPr="002D2A8F">
        <w:t>(iv) inspect the Facility</w:t>
      </w:r>
      <w:r w:rsidR="0064045D">
        <w:rPr>
          <w:rFonts w:eastAsia="Times New Roman"/>
        </w:rPr>
        <w:t>.</w:t>
      </w:r>
      <w:r w:rsidRPr="002D2A8F">
        <w:t xml:space="preserve"> Seller must cooperate in the physical inspection of the Facility as GPC may reasonably require, so long as: (a) the inspection will not materially interfere with the Facility’s testing or operations; and (b) GPC complies with rules and regulations of Governmental Authorities having jurisdiction regarding the Facility and with Seller’s reasonable policies and procedures applicable to the Facility, including those regarding safety</w:t>
      </w:r>
      <w:r w:rsidRPr="00AC2D41" w:rsidR="00AC2D41">
        <w:t>, and any requirement that Seller Representatives accompany GPC Representatives during Site visits</w:t>
      </w:r>
      <w:r w:rsidRPr="00AC2D41">
        <w:t xml:space="preserve">. </w:t>
      </w:r>
      <w:r w:rsidRPr="002D2A8F">
        <w:rPr>
          <w:b/>
          <w:bCs/>
          <w:u w:val="single"/>
        </w:rPr>
        <w:t>GPC’s technical review or inspection of the Facility will not be construed as endorsing Facility design or construction or as any warranty of the safety, durability, or reliability of the Facility.</w:t>
      </w:r>
      <w:r w:rsidRPr="002D2A8F">
        <w:t xml:space="preserve"> Seller must cooperate, and must cause its </w:t>
      </w:r>
      <w:r w:rsidR="005503E8">
        <w:t>Representatives</w:t>
      </w:r>
      <w:r w:rsidRPr="002D2A8F">
        <w:t xml:space="preserve"> to cooperate, in: (I) providing the information GPC </w:t>
      </w:r>
      <w:r w:rsidR="00225CE9">
        <w:t xml:space="preserve">reasonably </w:t>
      </w:r>
      <w:r w:rsidRPr="002D2A8F">
        <w:t>requests; and (II) the physical inspection of the Facility as GPC may reasonably request during and after completion of construction.</w:t>
      </w:r>
    </w:p>
    <w:p w:rsidRPr="002D2A8F" w:rsidR="002D54C4" w:rsidRDefault="002D54C4" w14:paraId="44EE8C1B" w14:textId="77777777">
      <w:pPr>
        <w:pStyle w:val="zGTC02"/>
        <w:rPr>
          <w:rFonts w:ascii="Arial" w:hAnsi="Arial" w:cs="Arial"/>
          <w:vanish/>
          <w:specVanish/>
        </w:rPr>
      </w:pPr>
      <w:bookmarkStart w:name="_Toc156309789" w:id="287"/>
      <w:bookmarkStart w:name="_Toc169778619" w:id="288"/>
      <w:bookmarkStart w:name="_Toc227451385" w:id="289"/>
      <w:r w:rsidRPr="002D2A8F">
        <w:rPr>
          <w:rFonts w:ascii="Arial" w:hAnsi="Arial" w:cs="Arial"/>
        </w:rPr>
        <w:t>Availability of Records.</w:t>
      </w:r>
      <w:bookmarkStart w:name="_Toc158593221" w:id="290"/>
      <w:bookmarkStart w:name="_Toc158597500" w:id="291"/>
      <w:bookmarkStart w:name="_Toc158720124" w:id="292"/>
      <w:bookmarkStart w:name="_Toc158722878" w:id="293"/>
      <w:bookmarkStart w:name="_Toc158929408" w:id="294"/>
      <w:bookmarkEnd w:id="287"/>
      <w:bookmarkEnd w:id="288"/>
      <w:bookmarkEnd w:id="289"/>
      <w:bookmarkEnd w:id="290"/>
      <w:bookmarkEnd w:id="291"/>
      <w:bookmarkEnd w:id="292"/>
      <w:bookmarkEnd w:id="293"/>
      <w:bookmarkEnd w:id="294"/>
    </w:p>
    <w:p w:rsidRPr="002D2A8F" w:rsidR="002D54C4" w:rsidRDefault="002D54C4" w14:paraId="0E81CDDE" w14:textId="61C65C69">
      <w:pPr>
        <w:pStyle w:val="zGNormal"/>
      </w:pPr>
      <w:r w:rsidRPr="002D2A8F">
        <w:t xml:space="preserve"> Seller must</w:t>
      </w:r>
      <w:r w:rsidRPr="002D2A8F" w:rsidDel="009313F8">
        <w:t xml:space="preserve"> </w:t>
      </w:r>
      <w:r w:rsidRPr="002D2A8F">
        <w:t xml:space="preserve">keep complete and accurate records and all other data necessary for the purpose of proper </w:t>
      </w:r>
      <w:r w:rsidR="0091585C">
        <w:t xml:space="preserve">PPA </w:t>
      </w:r>
      <w:r w:rsidRPr="002D2A8F">
        <w:t>administration in accordance with the following guidelines:</w:t>
      </w:r>
    </w:p>
    <w:p w:rsidRPr="002D2A8F" w:rsidR="002D54C4" w:rsidP="008759EF" w:rsidRDefault="002D54C4" w14:paraId="24C370E7" w14:textId="77777777">
      <w:pPr>
        <w:pStyle w:val="zGTC03"/>
        <w:rPr>
          <w:rFonts w:cs="Arial"/>
          <w:b/>
          <w:vanish/>
          <w:specVanish/>
        </w:rPr>
      </w:pPr>
      <w:r w:rsidRPr="002D2A8F">
        <w:rPr>
          <w:rFonts w:cs="Arial"/>
          <w:b/>
        </w:rPr>
        <w:t>Holding Period.</w:t>
      </w:r>
    </w:p>
    <w:p w:rsidRPr="002D2A8F" w:rsidR="002D54C4" w:rsidRDefault="002D54C4" w14:paraId="78CF0AAF" w14:textId="47FBD43B">
      <w:pPr>
        <w:pStyle w:val="zGNormal"/>
      </w:pPr>
      <w:r w:rsidRPr="002D2A8F">
        <w:t xml:space="preserve"> Seller must maintain all records related to the Facility and Seller’s performance under this PPA for a minimum of five years after the creation of the record or data and for any additional time period required by applicable law or a Governmental Authority. However, the records must be kept for as long as is necessary to complete any audit that began or was announced during the five-year period.</w:t>
      </w:r>
      <w:r w:rsidRPr="002D2A8F">
        <w:rPr>
          <w:rFonts w:eastAsia="Calibri"/>
        </w:rPr>
        <w:t xml:space="preserve"> Despite any other PPA provision, </w:t>
      </w:r>
      <w:r w:rsidR="006433F8">
        <w:rPr>
          <w:rFonts w:eastAsia="Calibri"/>
        </w:rPr>
        <w:t>during</w:t>
      </w:r>
      <w:r w:rsidR="009E1A2F">
        <w:rPr>
          <w:rFonts w:eastAsia="Calibri"/>
        </w:rPr>
        <w:t xml:space="preserve"> the </w:t>
      </w:r>
      <w:r w:rsidR="001C4DF3">
        <w:rPr>
          <w:rFonts w:eastAsia="Calibri"/>
        </w:rPr>
        <w:t>Term</w:t>
      </w:r>
      <w:r w:rsidR="00CA5741">
        <w:rPr>
          <w:rFonts w:eastAsia="Calibri"/>
        </w:rPr>
        <w:t xml:space="preserve"> and </w:t>
      </w:r>
      <w:r w:rsidR="005D7F70">
        <w:rPr>
          <w:rFonts w:eastAsia="Calibri"/>
        </w:rPr>
        <w:t xml:space="preserve">for </w:t>
      </w:r>
      <w:r w:rsidR="000138C4">
        <w:rPr>
          <w:rFonts w:eastAsia="Calibri"/>
        </w:rPr>
        <w:t>six</w:t>
      </w:r>
      <w:r w:rsidR="00281819">
        <w:rPr>
          <w:rFonts w:eastAsia="Calibri"/>
        </w:rPr>
        <w:t xml:space="preserve"> years</w:t>
      </w:r>
      <w:r w:rsidR="009E1A2F">
        <w:rPr>
          <w:rFonts w:eastAsia="Calibri"/>
        </w:rPr>
        <w:t xml:space="preserve"> </w:t>
      </w:r>
      <w:r w:rsidR="00CA5741">
        <w:rPr>
          <w:rFonts w:eastAsia="Calibri"/>
        </w:rPr>
        <w:t>after the Term</w:t>
      </w:r>
      <w:r w:rsidRPr="002D2A8F">
        <w:rPr>
          <w:rFonts w:eastAsia="Calibri"/>
        </w:rPr>
        <w:t xml:space="preserve">, Seller must provide </w:t>
      </w:r>
      <w:r w:rsidRPr="002D2A8F">
        <w:t>GPC</w:t>
      </w:r>
      <w:r w:rsidRPr="002D2A8F">
        <w:rPr>
          <w:rFonts w:eastAsia="Calibri"/>
        </w:rPr>
        <w:t xml:space="preserve"> with 30 Days’ prior notice</w:t>
      </w:r>
      <w:r w:rsidR="006433F8">
        <w:rPr>
          <w:rFonts w:eastAsia="Calibri"/>
        </w:rPr>
        <w:t xml:space="preserve"> before disposing of or destroying any record or data</w:t>
      </w:r>
      <w:r w:rsidR="00D507BA">
        <w:rPr>
          <w:rFonts w:eastAsia="Calibri"/>
        </w:rPr>
        <w:t xml:space="preserve"> related to the Facility or Seller’s performance under this PPA</w:t>
      </w:r>
      <w:r w:rsidRPr="002D2A8F">
        <w:rPr>
          <w:rFonts w:eastAsia="Calibri"/>
        </w:rPr>
        <w:t>.</w:t>
      </w:r>
    </w:p>
    <w:p w:rsidRPr="002D2A8F" w:rsidR="002D54C4" w:rsidP="008759EF" w:rsidRDefault="002D54C4" w14:paraId="39D9C154" w14:textId="77777777">
      <w:pPr>
        <w:pStyle w:val="zGTC03"/>
        <w:rPr>
          <w:rFonts w:cs="Arial"/>
          <w:b/>
          <w:vanish/>
          <w:specVanish/>
        </w:rPr>
      </w:pPr>
      <w:r w:rsidRPr="002D2A8F">
        <w:rPr>
          <w:rFonts w:cs="Arial"/>
          <w:b/>
        </w:rPr>
        <w:t>Operating Logs.</w:t>
      </w:r>
    </w:p>
    <w:p w:rsidRPr="002D2A8F" w:rsidR="002D54C4" w:rsidRDefault="002D54C4" w14:paraId="71DA80C4" w14:textId="1A48393D">
      <w:pPr>
        <w:pStyle w:val="zGNormal"/>
      </w:pPr>
      <w:r w:rsidRPr="002D2A8F">
        <w:t xml:space="preserve"> Seller must maintain at the Facility an accurate and up-to-date operating log with records of: (i) real and reactive power production for each </w:t>
      </w:r>
      <w:r w:rsidR="00FF051B">
        <w:t>H</w:t>
      </w:r>
      <w:r w:rsidRPr="002D2A8F">
        <w:t>our; (ii) changes in operating status and scheduled maintenance; (iii) Scheduled Outages, Maintenance Outages, Forced Outages</w:t>
      </w:r>
      <w:r w:rsidR="00BF3CCD">
        <w:t>,</w:t>
      </w:r>
      <w:r w:rsidRPr="002D2A8F">
        <w:t xml:space="preserve"> </w:t>
      </w:r>
      <w:r w:rsidR="21DEC4BF">
        <w:t xml:space="preserve">Forced Derates, </w:t>
      </w:r>
      <w:r w:rsidRPr="002D2A8F">
        <w:t xml:space="preserve">and Force Majeure Events; (iv) any unusual condition found during </w:t>
      </w:r>
      <w:r w:rsidR="006013F2">
        <w:t xml:space="preserve">an </w:t>
      </w:r>
      <w:r w:rsidRPr="002D2A8F">
        <w:t>inspection; and (v) any significant event related to the operation of the Facility.</w:t>
      </w:r>
    </w:p>
    <w:p w:rsidRPr="002D2A8F" w:rsidR="002D54C4" w:rsidP="008759EF" w:rsidRDefault="002D54C4" w14:paraId="668AC375" w14:textId="0CDA7893">
      <w:pPr>
        <w:pStyle w:val="zGTC03"/>
        <w:rPr>
          <w:rFonts w:cs="Arial"/>
          <w:b/>
          <w:vanish/>
          <w:specVanish/>
        </w:rPr>
      </w:pPr>
      <w:r w:rsidRPr="002D2A8F">
        <w:rPr>
          <w:rFonts w:cs="Arial"/>
          <w:b/>
        </w:rPr>
        <w:t>GPC’s Access to Facility and PPA Records.</w:t>
      </w:r>
    </w:p>
    <w:p w:rsidRPr="002D2A8F" w:rsidR="002D54C4" w:rsidRDefault="002D54C4" w14:paraId="74793AD7" w14:textId="605BFF23">
      <w:pPr>
        <w:pStyle w:val="zGNormal"/>
      </w:pPr>
      <w:r w:rsidRPr="002D2A8F">
        <w:rPr>
          <w:b/>
        </w:rPr>
        <w:t xml:space="preserve"> </w:t>
      </w:r>
      <w:r w:rsidRPr="002D2A8F">
        <w:t xml:space="preserve">Upon reasonable advance notice and during normal business </w:t>
      </w:r>
      <w:r w:rsidR="00BB64E2">
        <w:t>H</w:t>
      </w:r>
      <w:r w:rsidRPr="002D2A8F">
        <w:t>ours, GPC</w:t>
      </w:r>
      <w:r w:rsidRPr="002D2A8F" w:rsidDel="003C44DC">
        <w:t xml:space="preserve"> </w:t>
      </w:r>
      <w:r w:rsidRPr="002D2A8F">
        <w:t>will</w:t>
      </w:r>
      <w:r w:rsidRPr="002D2A8F" w:rsidDel="009313F8">
        <w:t xml:space="preserve"> </w:t>
      </w:r>
      <w:r w:rsidRPr="002D2A8F">
        <w:t xml:space="preserve">have the right from time to time to examine </w:t>
      </w:r>
      <w:r w:rsidR="0084667F">
        <w:t>at the Facility</w:t>
      </w:r>
      <w:r w:rsidR="007C3C0A">
        <w:t>, or at a location mutually agreed to by the Parties,</w:t>
      </w:r>
      <w:r w:rsidRPr="002D2A8F">
        <w:t xml:space="preserve"> the records and data relating to the Facility and this PPA, including all historical test records relating to the Facility.</w:t>
      </w:r>
    </w:p>
    <w:p w:rsidRPr="002D2A8F" w:rsidR="002D54C4" w:rsidP="008759EF" w:rsidRDefault="002D54C4" w14:paraId="69D3340D" w14:textId="7863ECC0">
      <w:pPr>
        <w:pStyle w:val="zGTC03"/>
        <w:rPr>
          <w:rFonts w:cs="Arial"/>
          <w:vanish/>
          <w:specVanish/>
        </w:rPr>
      </w:pPr>
      <w:r w:rsidRPr="002D2A8F">
        <w:rPr>
          <w:rFonts w:eastAsia="MS Mincho" w:cs="Arial"/>
          <w:b/>
          <w:lang w:eastAsia="zh-CN"/>
        </w:rPr>
        <w:t>G</w:t>
      </w:r>
      <w:r w:rsidRPr="002D2A8F">
        <w:rPr>
          <w:rFonts w:cs="Arial"/>
          <w:b/>
        </w:rPr>
        <w:t>PC’s Access to Financial and Business Information.</w:t>
      </w:r>
    </w:p>
    <w:p w:rsidR="002D54C4" w:rsidRDefault="00B875A0" w14:paraId="42D4B727" w14:textId="46AFCDC6">
      <w:pPr>
        <w:pStyle w:val="zGNormal"/>
        <w:rPr>
          <w:rFonts w:eastAsia="Calibri"/>
        </w:rPr>
      </w:pPr>
      <w:r w:rsidRPr="002D2A8F">
        <w:rPr>
          <w:rFonts w:eastAsia="MS Mincho"/>
          <w:lang w:eastAsia="zh-CN"/>
        </w:rPr>
        <w:t xml:space="preserve"> </w:t>
      </w:r>
      <w:r w:rsidRPr="002D2A8F" w:rsidR="002D54C4">
        <w:rPr>
          <w:rFonts w:eastAsia="MS Mincho"/>
          <w:lang w:eastAsia="zh-CN"/>
        </w:rPr>
        <w:t xml:space="preserve">At GPC’s request, throughout the Term, Seller </w:t>
      </w:r>
      <w:r w:rsidRPr="002D2A8F" w:rsidR="002D54C4">
        <w:t>must</w:t>
      </w:r>
      <w:r w:rsidRPr="002D2A8F" w:rsidDel="009313F8" w:rsidR="002D54C4">
        <w:rPr>
          <w:rFonts w:eastAsia="MS Mincho"/>
          <w:lang w:eastAsia="zh-CN"/>
        </w:rPr>
        <w:t xml:space="preserve"> </w:t>
      </w:r>
      <w:r w:rsidRPr="002D2A8F" w:rsidR="002D54C4">
        <w:rPr>
          <w:rFonts w:eastAsia="MS Mincho"/>
          <w:lang w:eastAsia="zh-CN"/>
        </w:rPr>
        <w:t xml:space="preserve">provide to </w:t>
      </w:r>
      <w:r w:rsidRPr="002D2A8F" w:rsidR="002D54C4">
        <w:t>GPC</w:t>
      </w:r>
      <w:r w:rsidRPr="002D2A8F" w:rsidDel="003C44DC" w:rsidR="002D54C4">
        <w:rPr>
          <w:rFonts w:eastAsia="MS Mincho"/>
          <w:lang w:eastAsia="zh-CN"/>
        </w:rPr>
        <w:t xml:space="preserve"> </w:t>
      </w:r>
      <w:r w:rsidRPr="002D2A8F" w:rsidR="002D54C4">
        <w:rPr>
          <w:rFonts w:eastAsia="MS Mincho"/>
          <w:lang w:eastAsia="zh-CN"/>
        </w:rPr>
        <w:t xml:space="preserve">public and non-public financial and business information </w:t>
      </w:r>
      <w:r w:rsidRPr="002D2A8F" w:rsidR="002D54C4">
        <w:rPr>
          <w:rFonts w:eastAsia="MS Mincho"/>
          <w:lang w:eastAsia="zh-CN"/>
        </w:rPr>
        <w:lastRenderedPageBreak/>
        <w:t xml:space="preserve">reasonably necessary for </w:t>
      </w:r>
      <w:r w:rsidRPr="002D2A8F" w:rsidR="002D54C4">
        <w:t>GPC</w:t>
      </w:r>
      <w:r w:rsidRPr="002D2A8F" w:rsidDel="003C44DC" w:rsidR="002D54C4">
        <w:rPr>
          <w:rFonts w:eastAsia="MS Mincho"/>
          <w:lang w:eastAsia="zh-CN"/>
        </w:rPr>
        <w:t xml:space="preserve"> </w:t>
      </w:r>
      <w:r w:rsidRPr="002D2A8F" w:rsidR="002D54C4">
        <w:rPr>
          <w:rFonts w:eastAsia="MS Mincho"/>
          <w:lang w:eastAsia="zh-CN"/>
        </w:rPr>
        <w:t>to make accounting determinations. Without limiting the preceding sentence, u</w:t>
      </w:r>
      <w:r w:rsidRPr="002D2A8F" w:rsidR="002D54C4">
        <w:rPr>
          <w:rFonts w:eastAsia="Calibri"/>
        </w:rPr>
        <w:t xml:space="preserve">pon reasonable notice to Seller, </w:t>
      </w:r>
      <w:r w:rsidRPr="002D2A8F" w:rsidR="002D54C4">
        <w:t>GPC</w:t>
      </w:r>
      <w:r w:rsidRPr="002D2A8F" w:rsidDel="003C44DC" w:rsidR="002D54C4">
        <w:rPr>
          <w:rFonts w:eastAsia="Calibri"/>
        </w:rPr>
        <w:t xml:space="preserve"> </w:t>
      </w:r>
      <w:r w:rsidRPr="002D2A8F" w:rsidR="002D54C4">
        <w:rPr>
          <w:rFonts w:eastAsia="Calibri"/>
        </w:rPr>
        <w:t xml:space="preserve">and GPC’s independent auditor will have the right to inspect, from time to time, Seller’s books and records as are reasonably necessary for </w:t>
      </w:r>
      <w:r w:rsidRPr="002D2A8F" w:rsidR="002D54C4">
        <w:t>GPC</w:t>
      </w:r>
      <w:r w:rsidRPr="002D2A8F" w:rsidDel="003C44DC" w:rsidR="002D54C4">
        <w:rPr>
          <w:rFonts w:eastAsia="Calibri"/>
        </w:rPr>
        <w:t xml:space="preserve"> </w:t>
      </w:r>
      <w:r w:rsidRPr="002D2A8F" w:rsidR="002D54C4">
        <w:rPr>
          <w:rFonts w:eastAsia="Calibri"/>
        </w:rPr>
        <w:t xml:space="preserve">to determine whether Seller constitutes a VIE or this PPA represents a VI. To the extent the inspection requires access to Seller’s </w:t>
      </w:r>
      <w:r w:rsidRPr="675D43C7" w:rsidR="09F54503">
        <w:rPr>
          <w:rFonts w:eastAsia="Calibri"/>
        </w:rPr>
        <w:t>C</w:t>
      </w:r>
      <w:r w:rsidRPr="675D43C7" w:rsidR="002D54C4">
        <w:rPr>
          <w:rFonts w:eastAsia="Calibri"/>
        </w:rPr>
        <w:t xml:space="preserve">onfidential </w:t>
      </w:r>
      <w:r w:rsidRPr="675D43C7" w:rsidR="26736C25">
        <w:rPr>
          <w:rFonts w:eastAsia="Calibri"/>
        </w:rPr>
        <w:t>I</w:t>
      </w:r>
      <w:r w:rsidRPr="675D43C7" w:rsidR="002D54C4">
        <w:rPr>
          <w:rFonts w:eastAsia="Calibri"/>
        </w:rPr>
        <w:t>nformation</w:t>
      </w:r>
      <w:r w:rsidRPr="002D2A8F" w:rsidR="002D54C4">
        <w:rPr>
          <w:rFonts w:eastAsia="Calibri"/>
        </w:rPr>
        <w:t xml:space="preserve">, the information will constitute Confidential Information subject to </w:t>
      </w:r>
      <w:r w:rsidRPr="00534192" w:rsidR="002D54C4">
        <w:rPr>
          <w:rFonts w:eastAsia="Calibri"/>
        </w:rPr>
        <w:t>Section 20.1</w:t>
      </w:r>
      <w:r w:rsidRPr="00534192" w:rsidR="00800097">
        <w:rPr>
          <w:rFonts w:eastAsia="Calibri"/>
        </w:rPr>
        <w:t>6</w:t>
      </w:r>
      <w:r w:rsidRPr="00534192" w:rsidR="002D54C4">
        <w:rPr>
          <w:rFonts w:eastAsia="Calibri"/>
        </w:rPr>
        <w:t xml:space="preserve"> (</w:t>
      </w:r>
      <w:r w:rsidRPr="00534192" w:rsidR="002D54C4">
        <w:rPr>
          <w:rFonts w:eastAsia="Calibri"/>
          <w:i/>
        </w:rPr>
        <w:t>Confidentiality</w:t>
      </w:r>
      <w:r w:rsidRPr="00534192" w:rsidR="002D54C4">
        <w:rPr>
          <w:rFonts w:eastAsia="Calibri"/>
        </w:rPr>
        <w:t>)</w:t>
      </w:r>
      <w:r w:rsidRPr="002D2A8F" w:rsidR="002D54C4">
        <w:rPr>
          <w:rFonts w:eastAsia="Calibri"/>
        </w:rPr>
        <w:t>.</w:t>
      </w:r>
    </w:p>
    <w:p w:rsidRPr="002D2A8F" w:rsidR="00CF385B" w:rsidP="003B6803" w:rsidRDefault="00CF385B" w14:paraId="678AD6CB" w14:textId="2F622346">
      <w:pPr>
        <w:pStyle w:val="zGTC03"/>
      </w:pPr>
      <w:r w:rsidRPr="00CF385B">
        <w:rPr>
          <w:b/>
        </w:rPr>
        <w:t xml:space="preserve">GADS Data. </w:t>
      </w:r>
      <w:r w:rsidRPr="00425E31" w:rsidR="00425E31">
        <w:t>Seller must provide to GPC, by no later than the 10</w:t>
      </w:r>
      <w:r w:rsidRPr="000E3C93" w:rsidR="00425E31">
        <w:rPr>
          <w:vertAlign w:val="superscript"/>
        </w:rPr>
        <w:t>th</w:t>
      </w:r>
      <w:r w:rsidRPr="00425E31" w:rsidR="00425E31">
        <w:t xml:space="preserve"> Day of each Month, all data for the preceding Month relating to the Facility that is required by applicable law to be reported to the NERC Generation Availability Data System (GADS) (or any successor system or other applicable system). Without limiting the previous sentence, Seller must use commercially reasonable efforts to obtain and provide to GPC any </w:t>
      </w:r>
      <w:r w:rsidR="00694D89">
        <w:t>GADS or similar</w:t>
      </w:r>
      <w:r w:rsidRPr="00425E31" w:rsidR="00425E31">
        <w:t xml:space="preserve"> data not in Seller’s possession or control.</w:t>
      </w:r>
    </w:p>
    <w:p w:rsidRPr="002D2A8F" w:rsidR="002D54C4" w:rsidRDefault="002D54C4" w14:paraId="76DC1E1D" w14:textId="06B8DA28">
      <w:pPr>
        <w:pStyle w:val="zGTC02"/>
        <w:rPr>
          <w:rFonts w:ascii="Arial" w:hAnsi="Arial" w:cs="Arial"/>
          <w:vanish/>
          <w:specVanish/>
        </w:rPr>
      </w:pPr>
      <w:bookmarkStart w:name="_Toc156309790" w:id="295"/>
      <w:bookmarkStart w:name="_Toc169778620" w:id="296"/>
      <w:bookmarkStart w:name="_Toc227451386" w:id="297"/>
      <w:r w:rsidRPr="002D2A8F">
        <w:rPr>
          <w:rFonts w:ascii="Arial" w:hAnsi="Arial" w:cs="Arial"/>
        </w:rPr>
        <w:t>Effect of GPC Action.</w:t>
      </w:r>
      <w:bookmarkStart w:name="_Toc158593222" w:id="298"/>
      <w:bookmarkStart w:name="_Toc158597501" w:id="299"/>
      <w:bookmarkStart w:name="_Toc158720125" w:id="300"/>
      <w:bookmarkStart w:name="_Toc158722879" w:id="301"/>
      <w:bookmarkStart w:name="_Toc158929409" w:id="302"/>
      <w:bookmarkEnd w:id="295"/>
      <w:bookmarkEnd w:id="296"/>
      <w:bookmarkEnd w:id="297"/>
      <w:bookmarkEnd w:id="298"/>
      <w:bookmarkEnd w:id="299"/>
      <w:bookmarkEnd w:id="300"/>
      <w:bookmarkEnd w:id="301"/>
      <w:bookmarkEnd w:id="302"/>
    </w:p>
    <w:p w:rsidRPr="002D2A8F" w:rsidR="002D54C4" w:rsidRDefault="002D54C4" w14:paraId="757C2EB3" w14:textId="4C929B86">
      <w:pPr>
        <w:pStyle w:val="zGNormal"/>
      </w:pPr>
      <w:r w:rsidRPr="002D2A8F">
        <w:t xml:space="preserve"> Seller understands and agrees that GPC’s receipt and review of any material related to the Project or any physical inspection of the Facility GPC conducts under any PPA provision is solely for GPC’s own information. By conducting the review or inspection, GPC makes no endorsement of the design or representation or warranty of the safety, durability, or reliability of the Facility, all of which are the sole responsibility of Seller in accordance with the terms of this PPA, and GPC will not be deemed to have accepted any condition of the Facility that is not in full compliance with the terms of this PPA. Seller must not represent to any third party that, because of GPC’s receipt </w:t>
      </w:r>
      <w:r w:rsidR="001B0AE6">
        <w:t>or</w:t>
      </w:r>
      <w:r w:rsidRPr="002D2A8F" w:rsidR="001B0AE6">
        <w:t xml:space="preserve"> </w:t>
      </w:r>
      <w:r w:rsidRPr="002D2A8F">
        <w:t>review of any material or any inspection, GPC is in any way responsible for the engineering or construction soundness or operational practice of the Facility.</w:t>
      </w:r>
    </w:p>
    <w:p w:rsidRPr="002D2A8F" w:rsidR="002D54C4" w:rsidRDefault="002D54C4" w14:paraId="38188615" w14:textId="77777777">
      <w:pPr>
        <w:pStyle w:val="zGTC02"/>
        <w:rPr>
          <w:rFonts w:ascii="Arial" w:hAnsi="Arial" w:cs="Arial"/>
          <w:specVanish/>
        </w:rPr>
      </w:pPr>
      <w:bookmarkStart w:name="_Toc156309791" w:id="303"/>
      <w:bookmarkStart w:name="_Toc169778621" w:id="304"/>
      <w:bookmarkStart w:name="_Toc227451387" w:id="305"/>
      <w:r w:rsidRPr="002D2A8F">
        <w:rPr>
          <w:rFonts w:ascii="Arial" w:hAnsi="Arial" w:cs="Arial"/>
        </w:rPr>
        <w:t>Operating Committee.</w:t>
      </w:r>
      <w:bookmarkStart w:name="_Toc158593223" w:id="306"/>
      <w:bookmarkStart w:name="_Toc158597502" w:id="307"/>
      <w:bookmarkStart w:name="_Toc158720126" w:id="308"/>
      <w:bookmarkStart w:name="_Toc158722880" w:id="309"/>
      <w:bookmarkStart w:name="_Toc158929410" w:id="310"/>
      <w:bookmarkEnd w:id="303"/>
      <w:bookmarkEnd w:id="304"/>
      <w:bookmarkEnd w:id="305"/>
      <w:bookmarkEnd w:id="306"/>
      <w:bookmarkEnd w:id="307"/>
      <w:bookmarkEnd w:id="308"/>
      <w:bookmarkEnd w:id="309"/>
      <w:bookmarkEnd w:id="310"/>
    </w:p>
    <w:p w:rsidRPr="002D2A8F" w:rsidR="002D54C4" w:rsidP="008759EF" w:rsidRDefault="002D54C4" w14:paraId="70E35BA9" w14:textId="77777777">
      <w:pPr>
        <w:pStyle w:val="zGTC03"/>
        <w:rPr>
          <w:rFonts w:cs="Arial"/>
          <w:b/>
          <w:vanish/>
          <w:specVanish/>
        </w:rPr>
      </w:pPr>
      <w:r w:rsidRPr="002D2A8F">
        <w:rPr>
          <w:rFonts w:cs="Arial"/>
          <w:b/>
        </w:rPr>
        <w:t xml:space="preserve">Appointments. </w:t>
      </w:r>
    </w:p>
    <w:p w:rsidRPr="002D2A8F" w:rsidR="002D54C4" w:rsidRDefault="002D54C4" w14:paraId="5D404320" w14:textId="5448E3AA">
      <w:pPr>
        <w:pStyle w:val="zGNormal"/>
      </w:pPr>
      <w:r w:rsidRPr="002D2A8F">
        <w:t>The Parties will</w:t>
      </w:r>
      <w:r w:rsidRPr="002D2A8F" w:rsidDel="009313F8">
        <w:t xml:space="preserve"> </w:t>
      </w:r>
      <w:r w:rsidRPr="002D2A8F">
        <w:t>establish an Operating Committee comprised of two Operating Representatives, one appointed by each of Seller and GPC. Each Party will</w:t>
      </w:r>
      <w:r w:rsidRPr="002D2A8F" w:rsidDel="009313F8">
        <w:t xml:space="preserve"> </w:t>
      </w:r>
      <w:r w:rsidRPr="002D2A8F">
        <w:t xml:space="preserve">provide notice of the appointment to the other Party. Each Party may change </w:t>
      </w:r>
      <w:r w:rsidR="002D7EF9">
        <w:t>its</w:t>
      </w:r>
      <w:r w:rsidRPr="002D2A8F" w:rsidR="002D7EF9">
        <w:t xml:space="preserve"> </w:t>
      </w:r>
      <w:r w:rsidRPr="002D2A8F">
        <w:t>Operating Representative appointment at any time by notice</w:t>
      </w:r>
      <w:r w:rsidR="00C14320">
        <w:t xml:space="preserve"> to the other Party</w:t>
      </w:r>
      <w:r w:rsidRPr="002D2A8F">
        <w:t>. The Operating Representatives will</w:t>
      </w:r>
      <w:r w:rsidRPr="002D2A8F" w:rsidDel="009313F8">
        <w:t xml:space="preserve"> </w:t>
      </w:r>
      <w:r w:rsidRPr="002D2A8F">
        <w:t>meet as necessary, but not less often than once each calendar year, at a mutually agreeable time and place upon prior notice. The Operating Representatives will</w:t>
      </w:r>
      <w:r w:rsidRPr="002D2A8F" w:rsidDel="009313F8">
        <w:t xml:space="preserve"> </w:t>
      </w:r>
      <w:r w:rsidRPr="002D2A8F">
        <w:t xml:space="preserve">represent the Parties in all matters arising under this PPA that </w:t>
      </w:r>
      <w:r w:rsidR="002D7EF9">
        <w:t>are</w:t>
      </w:r>
      <w:r w:rsidRPr="002D2A8F">
        <w:t xml:space="preserve"> delegated to them by mutual agreement of the Parties, but the Operating Representatives will</w:t>
      </w:r>
      <w:r w:rsidRPr="002D2A8F" w:rsidDel="009313F8">
        <w:t xml:space="preserve"> </w:t>
      </w:r>
      <w:r w:rsidRPr="002D2A8F">
        <w:t>not have any authority to modify or amend the terms of this PPA.</w:t>
      </w:r>
    </w:p>
    <w:p w:rsidRPr="002D2A8F" w:rsidR="002D54C4" w:rsidP="008759EF" w:rsidRDefault="002D54C4" w14:paraId="055C0FA6" w14:textId="77777777">
      <w:pPr>
        <w:pStyle w:val="zGTC03"/>
        <w:rPr>
          <w:rFonts w:cs="Arial"/>
          <w:vanish/>
          <w:specVanish/>
        </w:rPr>
      </w:pPr>
      <w:r w:rsidRPr="002D2A8F">
        <w:rPr>
          <w:rFonts w:cs="Arial"/>
          <w:b/>
        </w:rPr>
        <w:t>Cooperation.</w:t>
      </w:r>
      <w:r w:rsidRPr="002D2A8F">
        <w:rPr>
          <w:rFonts w:cs="Arial"/>
        </w:rPr>
        <w:t xml:space="preserve"> </w:t>
      </w:r>
    </w:p>
    <w:p w:rsidRPr="002D2A8F" w:rsidR="002D54C4" w:rsidP="00E11EDA" w:rsidRDefault="002D54C4" w14:paraId="37D111CC" w14:textId="3FB6B5C7">
      <w:pPr>
        <w:pStyle w:val="zGTC03"/>
        <w:rPr>
          <w:rFonts w:cs="Arial"/>
        </w:rPr>
      </w:pPr>
      <w:r w:rsidRPr="002D2A8F">
        <w:rPr>
          <w:rFonts w:cs="Arial"/>
        </w:rPr>
        <w:t>Each Party will</w:t>
      </w:r>
      <w:r w:rsidRPr="002D2A8F" w:rsidDel="009313F8">
        <w:rPr>
          <w:rFonts w:cs="Arial"/>
        </w:rPr>
        <w:t xml:space="preserve"> </w:t>
      </w:r>
      <w:r w:rsidRPr="002D2A8F">
        <w:rPr>
          <w:rFonts w:cs="Arial"/>
        </w:rPr>
        <w:t>cooperate in providing the Operating Representatives all information required in the performance of their duties. If the Operating Representatives are unable to agree on any matter falling under their jurisdiction, the Operating Representatives will submit the matter to senior officers for discussion and resolution. All decisions and agreements made by the Operating Representatives or their principals must</w:t>
      </w:r>
      <w:r w:rsidRPr="002D2A8F" w:rsidDel="009313F8">
        <w:rPr>
          <w:rFonts w:cs="Arial"/>
        </w:rPr>
        <w:t xml:space="preserve"> </w:t>
      </w:r>
      <w:r w:rsidRPr="002D2A8F">
        <w:rPr>
          <w:rFonts w:cs="Arial"/>
        </w:rPr>
        <w:t>be evidenced in writing.</w:t>
      </w:r>
    </w:p>
    <w:p w:rsidRPr="002D2A8F" w:rsidR="002D54C4" w:rsidRDefault="002D54C4" w14:paraId="6AA48551" w14:textId="77777777">
      <w:pPr>
        <w:pStyle w:val="zGTC02"/>
        <w:rPr>
          <w:rFonts w:ascii="Arial" w:hAnsi="Arial" w:cs="Arial"/>
          <w:specVanish/>
        </w:rPr>
      </w:pPr>
      <w:bookmarkStart w:name="_Toc153987045" w:id="311"/>
      <w:bookmarkStart w:name="_Toc169778622" w:id="312"/>
      <w:bookmarkStart w:name="_Toc227451388" w:id="313"/>
      <w:r w:rsidRPr="002D2A8F">
        <w:rPr>
          <w:rFonts w:ascii="Arial" w:hAnsi="Arial" w:cs="Arial"/>
        </w:rPr>
        <w:t>AGC.</w:t>
      </w:r>
      <w:bookmarkStart w:name="_Toc158593224" w:id="314"/>
      <w:bookmarkStart w:name="_Toc158597503" w:id="315"/>
      <w:bookmarkStart w:name="_Toc158720127" w:id="316"/>
      <w:bookmarkStart w:name="_Toc158722881" w:id="317"/>
      <w:bookmarkStart w:name="_Toc158929411" w:id="318"/>
      <w:bookmarkEnd w:id="311"/>
      <w:bookmarkEnd w:id="312"/>
      <w:bookmarkEnd w:id="313"/>
      <w:bookmarkEnd w:id="314"/>
      <w:bookmarkEnd w:id="315"/>
      <w:bookmarkEnd w:id="316"/>
      <w:bookmarkEnd w:id="317"/>
      <w:bookmarkEnd w:id="318"/>
    </w:p>
    <w:p w:rsidRPr="002D2A8F" w:rsidR="002D54C4" w:rsidP="008759EF" w:rsidRDefault="002D54C4" w14:paraId="1638AB51" w14:textId="4522803B">
      <w:pPr>
        <w:pStyle w:val="zGTC03"/>
        <w:rPr>
          <w:rFonts w:cs="Arial"/>
          <w:b/>
          <w:vanish/>
          <w:specVanish/>
        </w:rPr>
      </w:pPr>
      <w:r w:rsidRPr="002D2A8F">
        <w:rPr>
          <w:rFonts w:cs="Arial"/>
          <w:b/>
        </w:rPr>
        <w:t>Operation on AGC for Renewable Resource.</w:t>
      </w:r>
    </w:p>
    <w:p w:rsidRPr="002D2A8F" w:rsidR="002D54C4" w:rsidRDefault="002D54C4" w14:paraId="1710FB39" w14:textId="02428411">
      <w:pPr>
        <w:pStyle w:val="zGNormal"/>
      </w:pPr>
      <w:r w:rsidRPr="002D2A8F">
        <w:t xml:space="preserve"> Seller is responsible for operating the Renewable Resource and producing and delivering </w:t>
      </w:r>
      <w:r w:rsidRPr="002D2A8F" w:rsidR="00D46D74">
        <w:t>e</w:t>
      </w:r>
      <w:r w:rsidRPr="002D2A8F">
        <w:t xml:space="preserve">nergy in compliance with GPC’s AGC Setpoint signals </w:t>
      </w:r>
      <w:r w:rsidRPr="002D2A8F">
        <w:rPr>
          <w:rFonts w:eastAsia="Arial"/>
          <w:color w:val="000000" w:themeColor="text1"/>
        </w:rPr>
        <w:t xml:space="preserve">as further described in </w:t>
      </w:r>
      <w:r w:rsidRPr="00534192">
        <w:t>Section</w:t>
      </w:r>
      <w:r w:rsidRPr="00534192">
        <w:rPr>
          <w:rFonts w:eastAsia="Arial"/>
          <w:color w:val="000000" w:themeColor="text1"/>
        </w:rPr>
        <w:t xml:space="preserve"> </w:t>
      </w:r>
      <w:r w:rsidRPr="00534192" w:rsidR="000331D0">
        <w:rPr>
          <w:rFonts w:eastAsia="Arial"/>
          <w:color w:val="000000" w:themeColor="text1"/>
        </w:rPr>
        <w:t xml:space="preserve">10.8.3 </w:t>
      </w:r>
      <w:r w:rsidRPr="00534192">
        <w:rPr>
          <w:rFonts w:eastAsia="Arial"/>
          <w:color w:val="000000" w:themeColor="text1"/>
        </w:rPr>
        <w:t>(</w:t>
      </w:r>
      <w:r w:rsidRPr="00534192">
        <w:rPr>
          <w:rFonts w:eastAsia="Arial"/>
          <w:i/>
          <w:color w:val="000000" w:themeColor="text1"/>
        </w:rPr>
        <w:t>Setpoint Signals</w:t>
      </w:r>
      <w:r w:rsidRPr="00534192">
        <w:rPr>
          <w:rFonts w:eastAsia="Arial"/>
          <w:color w:val="000000" w:themeColor="text1"/>
        </w:rPr>
        <w:t>)</w:t>
      </w:r>
      <w:r w:rsidRPr="002D2A8F">
        <w:t>.</w:t>
      </w:r>
      <w:r w:rsidRPr="002D2A8F">
        <w:rPr>
          <w:sz w:val="22"/>
          <w:szCs w:val="22"/>
        </w:rPr>
        <w:t xml:space="preserve"> </w:t>
      </w:r>
      <w:r w:rsidRPr="002D2A8F">
        <w:t>During periods when GPC does not desire to curtail Energy output from the Renewable Resource through AGC, GPC’s Renewable Resource AGC Setpoint will follow either the Operating High Limit or Potential High Limit and the Renewable Resource will operate at full output</w:t>
      </w:r>
      <w:r w:rsidRPr="002D2A8F" w:rsidR="00CE0D81">
        <w:t>.</w:t>
      </w:r>
      <w:r w:rsidRPr="002D2A8F">
        <w:t xml:space="preserve"> Upon </w:t>
      </w:r>
      <w:r w:rsidRPr="002D2A8F" w:rsidR="00F658DB">
        <w:t>Curtailment</w:t>
      </w:r>
      <w:r w:rsidRPr="002D2A8F">
        <w:t xml:space="preserve">, the Renewable Resource </w:t>
      </w:r>
      <w:r w:rsidRPr="002D2A8F" w:rsidR="00972F4B">
        <w:t xml:space="preserve">must </w:t>
      </w:r>
      <w:r w:rsidRPr="002D2A8F">
        <w:t xml:space="preserve">reduce </w:t>
      </w:r>
      <w:r w:rsidRPr="002D2A8F" w:rsidR="00B46D14">
        <w:t>e</w:t>
      </w:r>
      <w:r w:rsidRPr="002D2A8F">
        <w:t>nergy output to the AGC Setpoint.</w:t>
      </w:r>
      <w:r w:rsidR="008F471F">
        <w:t xml:space="preserve"> </w:t>
      </w:r>
    </w:p>
    <w:p w:rsidRPr="002D2A8F" w:rsidR="002D54C4" w:rsidP="008759EF" w:rsidRDefault="002D54C4" w14:paraId="01828769" w14:textId="4CD14423">
      <w:pPr>
        <w:pStyle w:val="zGTC03"/>
        <w:rPr>
          <w:rFonts w:cs="Arial"/>
          <w:b/>
          <w:vanish/>
          <w:specVanish/>
        </w:rPr>
      </w:pPr>
      <w:r w:rsidRPr="002D2A8F">
        <w:rPr>
          <w:rFonts w:cs="Arial"/>
          <w:b/>
        </w:rPr>
        <w:t xml:space="preserve">Operation on AGC for </w:t>
      </w:r>
      <w:r w:rsidR="0085582C">
        <w:rPr>
          <w:rFonts w:cs="Arial"/>
          <w:b/>
        </w:rPr>
        <w:t>B</w:t>
      </w:r>
      <w:r w:rsidRPr="002D2A8F">
        <w:rPr>
          <w:rFonts w:cs="Arial"/>
          <w:b/>
        </w:rPr>
        <w:t xml:space="preserve">ESS. </w:t>
      </w:r>
    </w:p>
    <w:p w:rsidRPr="002D2A8F" w:rsidR="002D54C4" w:rsidRDefault="002D54C4" w14:paraId="0791887C" w14:textId="064A1AC5">
      <w:pPr>
        <w:pStyle w:val="zGNormal"/>
      </w:pPr>
      <w:r w:rsidRPr="002D2A8F">
        <w:rPr>
          <w:b/>
        </w:rPr>
        <w:t xml:space="preserve"> </w:t>
      </w:r>
      <w:r w:rsidRPr="002D2A8F">
        <w:t xml:space="preserve">Seller must operate the </w:t>
      </w:r>
      <w:r w:rsidR="0085582C">
        <w:t>B</w:t>
      </w:r>
      <w:r w:rsidRPr="002D2A8F">
        <w:t>ESS and charg</w:t>
      </w:r>
      <w:r w:rsidRPr="002D2A8F" w:rsidR="007A7F52">
        <w:t>e</w:t>
      </w:r>
      <w:r w:rsidRPr="002D2A8F">
        <w:t xml:space="preserve"> or discharg</w:t>
      </w:r>
      <w:r w:rsidRPr="002D2A8F" w:rsidR="007A7F52">
        <w:t>e</w:t>
      </w:r>
      <w:r w:rsidRPr="002D2A8F">
        <w:t xml:space="preserve"> in compliance with GPC‘s AGC Setpoint signals as further described in </w:t>
      </w:r>
      <w:r w:rsidRPr="00534192">
        <w:t xml:space="preserve">Section </w:t>
      </w:r>
      <w:r w:rsidRPr="00534192" w:rsidR="008A022C">
        <w:t>10.8.3 (</w:t>
      </w:r>
      <w:r w:rsidRPr="002F5DBA" w:rsidR="002F5DBA">
        <w:rPr>
          <w:i/>
          <w:iCs/>
        </w:rPr>
        <w:t>AGC</w:t>
      </w:r>
      <w:r w:rsidR="002F5DBA">
        <w:t xml:space="preserve"> </w:t>
      </w:r>
      <w:r w:rsidRPr="00534192" w:rsidR="00E23F39">
        <w:rPr>
          <w:i/>
        </w:rPr>
        <w:t>Setpoint Signals</w:t>
      </w:r>
      <w:r w:rsidRPr="00534192" w:rsidR="00F543EA">
        <w:t>)</w:t>
      </w:r>
      <w:r w:rsidRPr="0016548D">
        <w:t>.</w:t>
      </w:r>
      <w:r w:rsidRPr="002D2A8F">
        <w:t xml:space="preserve"> During periods when the AGC </w:t>
      </w:r>
      <w:r w:rsidRPr="002D2A8F" w:rsidR="007A7F52">
        <w:t>S</w:t>
      </w:r>
      <w:r w:rsidRPr="002D2A8F">
        <w:t xml:space="preserve">etpoint is zero MW, the </w:t>
      </w:r>
      <w:r w:rsidR="0085582C">
        <w:t>B</w:t>
      </w:r>
      <w:r w:rsidRPr="002D2A8F">
        <w:t xml:space="preserve">ESS must be controlled so that the </w:t>
      </w:r>
      <w:r w:rsidR="0085582C">
        <w:t>B</w:t>
      </w:r>
      <w:r w:rsidRPr="002D2A8F">
        <w:t>ESS does not discharge (e.g.</w:t>
      </w:r>
      <w:r w:rsidR="00490F55">
        <w:t xml:space="preserve"> is in</w:t>
      </w:r>
      <w:r w:rsidRPr="002D2A8F">
        <w:t xml:space="preserve"> idle state). </w:t>
      </w:r>
      <w:r w:rsidRPr="008F471F" w:rsidR="008F471F">
        <w:rPr>
          <w:rFonts w:eastAsia="Calibri"/>
          <w:kern w:val="0"/>
        </w:rPr>
        <w:t>At any time during the Term, if the Facility cannot operate on AGC, in whole or in part, GPC can dispatch the BESS using scheduling instructions from the Dispatch Center, as further described in the Operating Procedures. Seller must comply with any scheduling instruction given by the Dispatch Center, subject to the Technical Limits and scheduling procedures stated in the Operating Procedures.</w:t>
      </w:r>
    </w:p>
    <w:p w:rsidRPr="002D2A8F" w:rsidR="002D54C4" w:rsidP="008759EF" w:rsidRDefault="007D06EA" w14:paraId="752DBF82" w14:textId="18F67CE4">
      <w:pPr>
        <w:pStyle w:val="zGTC03"/>
        <w:rPr>
          <w:rFonts w:cs="Arial"/>
          <w:b/>
          <w:vanish/>
          <w:specVanish/>
        </w:rPr>
      </w:pPr>
      <w:r>
        <w:rPr>
          <w:rFonts w:cs="Arial"/>
          <w:b/>
        </w:rPr>
        <w:lastRenderedPageBreak/>
        <w:t xml:space="preserve">AGC </w:t>
      </w:r>
      <w:r w:rsidRPr="002D2A8F" w:rsidR="002D54C4">
        <w:rPr>
          <w:rFonts w:cs="Arial"/>
          <w:b/>
        </w:rPr>
        <w:t>Setpoint Signals.</w:t>
      </w:r>
    </w:p>
    <w:p w:rsidRPr="002D2A8F" w:rsidR="002D54C4" w:rsidRDefault="002D54C4" w14:paraId="7718C7FC" w14:textId="77B1F139">
      <w:pPr>
        <w:pStyle w:val="zGNormal"/>
      </w:pPr>
      <w:r w:rsidRPr="002D2A8F">
        <w:t xml:space="preserve"> </w:t>
      </w:r>
      <w:r w:rsidRPr="002D2A8F" w:rsidR="007A7F52">
        <w:t xml:space="preserve">At Seller’s sole expense, </w:t>
      </w:r>
      <w:r w:rsidRPr="002D2A8F">
        <w:t>Seller will</w:t>
      </w:r>
      <w:r w:rsidRPr="002D2A8F" w:rsidR="007A7F52">
        <w:t xml:space="preserve"> </w:t>
      </w:r>
      <w:r w:rsidRPr="002D2A8F">
        <w:t>install, operate, and maintain AGC equipment and systems at the Facility as necessary to enable the Facility to respond to and follow GPC’s AGC Setpoint signals in compliance with this PPA</w:t>
      </w:r>
      <w:r w:rsidR="002F0BEA">
        <w:t xml:space="preserve"> but subject to any IA limitation, including the interconnection service limit</w:t>
      </w:r>
      <w:r w:rsidRPr="002D2A8F">
        <w:t>. The Facility must be capable of remaining on AGC at all times while Available</w:t>
      </w:r>
      <w:r w:rsidRPr="002D2A8F" w:rsidR="00E10626">
        <w:t xml:space="preserve">. The </w:t>
      </w:r>
      <w:r w:rsidRPr="002D2A8F">
        <w:t xml:space="preserve">Facility’s AGC system will include all necessary connections to </w:t>
      </w:r>
      <w:r w:rsidRPr="002D2A8F" w:rsidR="00191D1B">
        <w:t>GPC’s</w:t>
      </w:r>
      <w:r w:rsidRPr="002D2A8F">
        <w:t xml:space="preserve"> AGC equipment (to GPC ’s satisfaction) to enable GPC to send AGC Setpoint signals to the Facility and to measure, record, and control energy </w:t>
      </w:r>
      <w:r w:rsidRPr="002D2A8F" w:rsidR="001C57F0">
        <w:t>input/</w:t>
      </w:r>
      <w:r w:rsidRPr="002D2A8F">
        <w:t xml:space="preserve">output from the Facility at all times. The Facility’s AGC system </w:t>
      </w:r>
      <w:r w:rsidRPr="002D2A8F" w:rsidR="00E10626">
        <w:t>must conform to Prudent Industry Practices and</w:t>
      </w:r>
      <w:r w:rsidRPr="002D2A8F">
        <w:t xml:space="preserve"> be configured to interface with GPC’s AGC RTU(s) to send and receive data for AGC that satisfies the minimum data requirements in </w:t>
      </w:r>
      <w:r w:rsidRPr="00534192">
        <w:t xml:space="preserve">Exhibit </w:t>
      </w:r>
      <w:r w:rsidRPr="00534192" w:rsidR="00B42C54">
        <w:t>G</w:t>
      </w:r>
      <w:r w:rsidRPr="00534192">
        <w:t xml:space="preserve"> (</w:t>
      </w:r>
      <w:r w:rsidRPr="00534192">
        <w:rPr>
          <w:i/>
        </w:rPr>
        <w:t xml:space="preserve">AGC and </w:t>
      </w:r>
      <w:r w:rsidRPr="00534192" w:rsidR="00F543EA">
        <w:rPr>
          <w:i/>
        </w:rPr>
        <w:t>Facility</w:t>
      </w:r>
      <w:r w:rsidRPr="00534192">
        <w:rPr>
          <w:i/>
        </w:rPr>
        <w:t xml:space="preserve"> Minimum Data Requirements</w:t>
      </w:r>
      <w:r w:rsidRPr="00534192">
        <w:t>)</w:t>
      </w:r>
      <w:r w:rsidRPr="002D2A8F">
        <w:t xml:space="preserve">. </w:t>
      </w:r>
    </w:p>
    <w:p w:rsidRPr="002D2A8F" w:rsidR="002D54C4" w:rsidRDefault="002D54C4" w14:paraId="0CBD0A68" w14:textId="77777777">
      <w:pPr>
        <w:pStyle w:val="zGTC02"/>
        <w:rPr>
          <w:rFonts w:ascii="Arial" w:hAnsi="Arial" w:cs="Arial"/>
          <w:vanish/>
          <w:specVanish/>
        </w:rPr>
      </w:pPr>
      <w:bookmarkStart w:name="_Toc153987046" w:id="319"/>
      <w:bookmarkStart w:name="_Toc169778623" w:id="320"/>
      <w:bookmarkStart w:name="_Toc227451389" w:id="321"/>
      <w:r w:rsidRPr="002D2A8F">
        <w:rPr>
          <w:rFonts w:ascii="Arial" w:hAnsi="Arial" w:cs="Arial"/>
        </w:rPr>
        <w:t>AGC Performance Requirements.</w:t>
      </w:r>
      <w:bookmarkStart w:name="_Toc158593225" w:id="322"/>
      <w:bookmarkStart w:name="_Toc158597504" w:id="323"/>
      <w:bookmarkStart w:name="_Toc158720128" w:id="324"/>
      <w:bookmarkStart w:name="_Toc158722882" w:id="325"/>
      <w:bookmarkStart w:name="_Toc158929412" w:id="326"/>
      <w:bookmarkEnd w:id="319"/>
      <w:bookmarkEnd w:id="320"/>
      <w:bookmarkEnd w:id="321"/>
      <w:bookmarkEnd w:id="322"/>
      <w:bookmarkEnd w:id="323"/>
      <w:bookmarkEnd w:id="324"/>
      <w:bookmarkEnd w:id="325"/>
      <w:bookmarkEnd w:id="326"/>
    </w:p>
    <w:p w:rsidR="002D54C4" w:rsidRDefault="002D54C4" w14:paraId="4B44F4FF" w14:textId="39A55B15">
      <w:pPr>
        <w:pStyle w:val="zGNormal"/>
        <w:keepNext/>
        <w:keepLines/>
        <w:tabs>
          <w:tab w:val="num" w:pos="1980"/>
        </w:tabs>
        <w:ind w:left="1350"/>
      </w:pPr>
      <w:r w:rsidRPr="002D2A8F">
        <w:t xml:space="preserve"> </w:t>
      </w:r>
      <w:r w:rsidRPr="00534192" w:rsidR="00C60AC2">
        <w:t>Part 3</w:t>
      </w:r>
      <w:r w:rsidRPr="00534192" w:rsidR="00C10A08">
        <w:t xml:space="preserve"> </w:t>
      </w:r>
      <w:r w:rsidR="0064792B">
        <w:t>(</w:t>
      </w:r>
      <w:r w:rsidR="0064792B">
        <w:rPr>
          <w:i/>
        </w:rPr>
        <w:t>AGC Performance Metrics and Requirements</w:t>
      </w:r>
      <w:r w:rsidR="0064792B">
        <w:t xml:space="preserve">) </w:t>
      </w:r>
      <w:r w:rsidRPr="00534192">
        <w:t xml:space="preserve">of Exhibit </w:t>
      </w:r>
      <w:r w:rsidRPr="00534192" w:rsidR="00C10A08">
        <w:t>C</w:t>
      </w:r>
      <w:r w:rsidRPr="00534192">
        <w:t xml:space="preserve"> (</w:t>
      </w:r>
      <w:r w:rsidRPr="00534192" w:rsidR="00F165D6">
        <w:rPr>
          <w:i/>
        </w:rPr>
        <w:t xml:space="preserve">Monthly Capacity Payments; Monthly Capacity Reductions; AGC Performance </w:t>
      </w:r>
      <w:r w:rsidRPr="004C6ED4" w:rsidR="00937930">
        <w:rPr>
          <w:bCs/>
          <w:i/>
        </w:rPr>
        <w:t>Metrics and</w:t>
      </w:r>
      <w:r w:rsidRPr="00534192" w:rsidR="00937930">
        <w:rPr>
          <w:i/>
        </w:rPr>
        <w:t xml:space="preserve"> </w:t>
      </w:r>
      <w:r w:rsidRPr="00534192" w:rsidR="00F165D6">
        <w:rPr>
          <w:i/>
        </w:rPr>
        <w:t>Requirements</w:t>
      </w:r>
      <w:r w:rsidRPr="00534192">
        <w:t>)</w:t>
      </w:r>
      <w:r w:rsidRPr="002D2A8F">
        <w:t xml:space="preserve"> establishes the AGC Performance Requirement</w:t>
      </w:r>
      <w:r w:rsidR="00B53CDF">
        <w:t>s.</w:t>
      </w:r>
      <w:r w:rsidRPr="002D2A8F" w:rsidDel="003A3382">
        <w:t xml:space="preserve"> </w:t>
      </w:r>
      <w:r w:rsidRPr="002D2A8F">
        <w:t xml:space="preserve">Seller </w:t>
      </w:r>
      <w:r w:rsidRPr="002D2A8F" w:rsidR="00D77443">
        <w:t xml:space="preserve">must </w:t>
      </w:r>
      <w:r w:rsidR="0064792B">
        <w:t>comply with</w:t>
      </w:r>
      <w:r w:rsidRPr="002D2A8F">
        <w:t xml:space="preserve"> the AGC Status Performance Requirement for both the </w:t>
      </w:r>
      <w:r w:rsidR="0085582C">
        <w:t>B</w:t>
      </w:r>
      <w:r w:rsidRPr="002D2A8F">
        <w:t xml:space="preserve">ESS and the Renewable Resource independently and the AGC Setpoint Response Performance Requirement for each Month of each Annual Period. </w:t>
      </w:r>
      <w:r w:rsidR="0064792B">
        <w:t xml:space="preserve">If, at any time during the Term, the Facility’s performance deviates from the AGC Status Performance Requirement or the AGC Setpoint Response Performance Requirement, Seller must promptly: (i) communicate to GPC the cause of the deviation; and (ii) take action to correct any deficiency and regain compliance with the AGC Performance Requirements, if applicable. If Seller fails </w:t>
      </w:r>
      <w:r w:rsidRPr="002D2A8F">
        <w:t xml:space="preserve">to achieve the AGC Status Performance Requirement or the AGC Setpoint Response Performance Requirement </w:t>
      </w:r>
      <w:r w:rsidRPr="0064792B" w:rsidR="0064792B">
        <w:rPr>
          <w:rFonts w:eastAsia="Calibri"/>
          <w:kern w:val="0"/>
        </w:rPr>
        <w:t>for any three consecutive Months or for six non-consecutive Months in any 12-Month period (each, a “</w:t>
      </w:r>
      <w:r w:rsidRPr="0064792B" w:rsidR="0064792B">
        <w:rPr>
          <w:rFonts w:eastAsia="Calibri"/>
          <w:b/>
          <w:kern w:val="0"/>
        </w:rPr>
        <w:t>Triggering Failure</w:t>
      </w:r>
      <w:r w:rsidRPr="0064792B" w:rsidR="0064792B">
        <w:rPr>
          <w:rFonts w:eastAsia="Calibri"/>
          <w:kern w:val="0"/>
        </w:rPr>
        <w:t>”), Seller must perform an analysis of the reasons for the failure within five Business Days after notice of a Triggering Failure</w:t>
      </w:r>
      <w:r w:rsidR="00640858">
        <w:rPr>
          <w:rFonts w:eastAsia="Calibri"/>
          <w:kern w:val="0"/>
        </w:rPr>
        <w:t xml:space="preserve"> from GPC</w:t>
      </w:r>
      <w:r w:rsidRPr="0064792B" w:rsidR="0064792B">
        <w:rPr>
          <w:rFonts w:eastAsia="Calibri"/>
          <w:kern w:val="0"/>
        </w:rPr>
        <w:t xml:space="preserve">. Within 15 Business Days after </w:t>
      </w:r>
      <w:r w:rsidR="000A00D2">
        <w:rPr>
          <w:rFonts w:eastAsia="Calibri"/>
          <w:kern w:val="0"/>
        </w:rPr>
        <w:t>receipt</w:t>
      </w:r>
      <w:r w:rsidRPr="0064792B" w:rsidR="0064792B">
        <w:rPr>
          <w:rFonts w:eastAsia="Calibri"/>
          <w:kern w:val="0"/>
        </w:rPr>
        <w:t xml:space="preserve"> of a Triggering Failure</w:t>
      </w:r>
      <w:r w:rsidR="000A00D2">
        <w:rPr>
          <w:rFonts w:eastAsia="Calibri"/>
          <w:kern w:val="0"/>
        </w:rPr>
        <w:t xml:space="preserve"> notice</w:t>
      </w:r>
      <w:r w:rsidRPr="0064792B" w:rsidR="0064792B">
        <w:rPr>
          <w:rFonts w:eastAsia="Calibri"/>
          <w:kern w:val="0"/>
        </w:rPr>
        <w:t>, Seller must provide GPC with its analysis and a reasonable plan that explains the steps Seller will take to remedy the reason(s) for the failure and to regain compliance with the AGC Status Performance Requirement and the AGC Setpoint Response Performance Requirement (“</w:t>
      </w:r>
      <w:r w:rsidRPr="0064792B" w:rsidR="0064792B">
        <w:rPr>
          <w:rFonts w:eastAsia="Calibri"/>
          <w:b/>
          <w:bCs/>
          <w:kern w:val="0"/>
        </w:rPr>
        <w:t>AGC Plan</w:t>
      </w:r>
      <w:r w:rsidRPr="0064792B" w:rsidR="0064792B">
        <w:rPr>
          <w:rFonts w:eastAsia="Calibri"/>
          <w:kern w:val="0"/>
        </w:rPr>
        <w:t xml:space="preserve">”). If GPC has comments or recommendations to Seller’s AGC Plan, Seller must address GPC’s comments, incorporate GPC’s </w:t>
      </w:r>
      <w:r w:rsidR="00605BEF">
        <w:rPr>
          <w:rFonts w:eastAsia="Calibri"/>
          <w:kern w:val="0"/>
        </w:rPr>
        <w:t>co</w:t>
      </w:r>
      <w:r w:rsidR="007D5460">
        <w:rPr>
          <w:rFonts w:eastAsia="Calibri"/>
          <w:kern w:val="0"/>
        </w:rPr>
        <w:t xml:space="preserve">mmercially reasonable </w:t>
      </w:r>
      <w:r w:rsidRPr="0064792B" w:rsidR="0064792B">
        <w:rPr>
          <w:rFonts w:eastAsia="Calibri"/>
          <w:kern w:val="0"/>
        </w:rPr>
        <w:t>recommendations, and resubmit the AGC Plan to GPC within 15 Business Days after receiving GPC’s comments. After GPC approves the AGC Plan, which approval will not be unreasonably withheld, Seller must diligently implement the AGC Plan. If Seller: (a) does not timely perform an analysis of a failure; (b) does not timely present the AGC Plan to GPC</w:t>
      </w:r>
      <w:r w:rsidR="00A77550">
        <w:rPr>
          <w:rFonts w:eastAsia="Calibri"/>
          <w:kern w:val="0"/>
        </w:rPr>
        <w:t xml:space="preserve"> or respond to any comments or recommendations of GPC to Seller’s AGC Plan</w:t>
      </w:r>
      <w:r w:rsidRPr="0064792B" w:rsidR="0064792B">
        <w:rPr>
          <w:rFonts w:eastAsia="Calibri"/>
          <w:kern w:val="0"/>
        </w:rPr>
        <w:t>; or (c) fails to diligently implement the AGC Plan approved by GPC, GPC may declare</w:t>
      </w:r>
      <w:r w:rsidRPr="00261AEB" w:rsidR="0064792B">
        <w:rPr>
          <w:kern w:val="0"/>
        </w:rPr>
        <w:t xml:space="preserve"> </w:t>
      </w:r>
      <w:r w:rsidRPr="002D2A8F">
        <w:t xml:space="preserve">an Event of Default by Seller pursuant to </w:t>
      </w:r>
      <w:r w:rsidRPr="00534192">
        <w:t xml:space="preserve">Section </w:t>
      </w:r>
      <w:r w:rsidRPr="00534192" w:rsidR="007E41D4">
        <w:t>16.1.</w:t>
      </w:r>
      <w:r w:rsidRPr="00534192" w:rsidR="00B41F72">
        <w:t>10</w:t>
      </w:r>
      <w:r w:rsidRPr="00534192" w:rsidR="007E41D4">
        <w:t xml:space="preserve"> (</w:t>
      </w:r>
      <w:r w:rsidRPr="00534192">
        <w:rPr>
          <w:i/>
        </w:rPr>
        <w:t>Failure to Meet AGC Performance Requirements</w:t>
      </w:r>
      <w:r w:rsidRPr="00534192">
        <w:t>)</w:t>
      </w:r>
      <w:r w:rsidRPr="002D2A8F">
        <w:t xml:space="preserve">. </w:t>
      </w:r>
    </w:p>
    <w:p w:rsidRPr="002D2A8F" w:rsidR="000C45FC" w:rsidP="000C45FC" w:rsidRDefault="000C45FC" w14:paraId="28225F5A" w14:textId="2FFABCD0">
      <w:pPr>
        <w:pStyle w:val="zGTC03"/>
      </w:pPr>
      <w:r w:rsidRPr="000C45FC">
        <w:rPr>
          <w:b/>
          <w:bCs/>
        </w:rPr>
        <w:t>AGC Plan Dispute</w:t>
      </w:r>
      <w:r>
        <w:t>. If the Parties are not able to reach agreement on the proposed AGC Plan, either Party may submit the proposed AGC Plan to the Operating Committee for review. Within 15 Business Days after receipt of the AGC Plan, the Operating Committee must issue a report and recommendation regarding Seller’s proposed AGC Plan as last presented to GPC and any recommended modifications. The Parties must consider the Operating Committee’s report and recommendation. If the AGC Plan is not resolved after considering the Operating Committee’s report, the dispute must be resolved in accordance with Part 19 (</w:t>
      </w:r>
      <w:r>
        <w:rPr>
          <w:i/>
          <w:iCs/>
        </w:rPr>
        <w:t>Dispute Resolution</w:t>
      </w:r>
      <w:r>
        <w:t>).</w:t>
      </w:r>
    </w:p>
    <w:p w:rsidRPr="002D2A8F" w:rsidR="002D54C4" w:rsidRDefault="002D54C4" w14:paraId="2F77C3D6" w14:textId="77777777">
      <w:pPr>
        <w:pStyle w:val="zGTC02"/>
        <w:rPr>
          <w:rFonts w:ascii="Arial" w:hAnsi="Arial" w:cs="Arial"/>
          <w:vanish/>
          <w:specVanish/>
        </w:rPr>
      </w:pPr>
      <w:bookmarkStart w:name="_Toc137409272" w:id="327"/>
      <w:bookmarkStart w:name="_Toc153987047" w:id="328"/>
      <w:bookmarkStart w:name="_Toc169778624" w:id="329"/>
      <w:bookmarkStart w:name="_Toc227451390" w:id="330"/>
      <w:r w:rsidRPr="002D2A8F">
        <w:rPr>
          <w:rFonts w:ascii="Arial" w:hAnsi="Arial" w:cs="Arial"/>
        </w:rPr>
        <w:t>Potential High Limit for the Renewable Resource; Curtailed Energy.</w:t>
      </w:r>
      <w:bookmarkStart w:name="_Toc158593226" w:id="331"/>
      <w:bookmarkStart w:name="_Toc158597505" w:id="332"/>
      <w:bookmarkStart w:name="_Toc158720129" w:id="333"/>
      <w:bookmarkStart w:name="_Toc158722883" w:id="334"/>
      <w:bookmarkStart w:name="_Toc158929413" w:id="335"/>
      <w:bookmarkEnd w:id="327"/>
      <w:bookmarkEnd w:id="328"/>
      <w:bookmarkEnd w:id="329"/>
      <w:bookmarkEnd w:id="330"/>
      <w:bookmarkEnd w:id="331"/>
      <w:bookmarkEnd w:id="332"/>
      <w:bookmarkEnd w:id="333"/>
      <w:bookmarkEnd w:id="334"/>
      <w:bookmarkEnd w:id="335"/>
    </w:p>
    <w:p w:rsidRPr="002D2A8F" w:rsidR="002D54C4" w:rsidRDefault="00A028BF" w14:paraId="20A0C37C" w14:textId="4592D345">
      <w:pPr>
        <w:pStyle w:val="zGNormal"/>
        <w:widowControl w:val="0"/>
        <w:tabs>
          <w:tab w:val="num" w:pos="1980"/>
        </w:tabs>
        <w:ind w:left="1350"/>
      </w:pPr>
      <w:r w:rsidRPr="002D2A8F">
        <w:t xml:space="preserve"> </w:t>
      </w:r>
      <w:r w:rsidRPr="002D2A8F" w:rsidR="002D54C4">
        <w:t xml:space="preserve">For the Renewable Resource, Seller must telemeter an accurate Potential High Limit (real time capability) at all times during operation. The Facility must include an operational automatic system for accurately estimating the Potential High Limit that will telemeter estimates of the </w:t>
      </w:r>
      <w:r w:rsidRPr="002D2A8F" w:rsidR="00661CF5">
        <w:t xml:space="preserve">expected </w:t>
      </w:r>
      <w:r w:rsidRPr="002D2A8F" w:rsidR="002D54C4">
        <w:t xml:space="preserve">Renewable Resource </w:t>
      </w:r>
      <w:r w:rsidRPr="002D2A8F" w:rsidR="00661CF5">
        <w:t>generation</w:t>
      </w:r>
      <w:r w:rsidRPr="002D2A8F" w:rsidR="002D54C4">
        <w:t xml:space="preserve"> in the absence of </w:t>
      </w:r>
      <w:r w:rsidRPr="002D2A8F" w:rsidR="008E1A39">
        <w:t xml:space="preserve">a </w:t>
      </w:r>
      <w:r w:rsidRPr="002D2A8F" w:rsidR="00661CF5">
        <w:t>Curtailment</w:t>
      </w:r>
      <w:r w:rsidRPr="002D2A8F" w:rsidR="002D54C4">
        <w:t>. Such system will provide PHL estimates every 6-seconds at all times during which the Renewable Resource</w:t>
      </w:r>
      <w:r w:rsidRPr="002D2A8F" w:rsidR="0046786C">
        <w:t xml:space="preserve"> is</w:t>
      </w:r>
      <w:r w:rsidRPr="002D2A8F" w:rsidR="002D54C4">
        <w:t xml:space="preserve"> </w:t>
      </w:r>
      <w:r w:rsidRPr="002D2A8F" w:rsidR="00CF4427">
        <w:t>Available</w:t>
      </w:r>
      <w:r w:rsidRPr="002D2A8F" w:rsidR="002D54C4">
        <w:t xml:space="preserve">, regardless of whether any AGC Setpoint signal from GPC is being received or responded to by the Facility. Such system must produce PHL estimates within an accuracy of at least +/- 5% during at least 95% of all 6-second intervals and must otherwise comply with Prudent Industry Practices. </w:t>
      </w:r>
    </w:p>
    <w:p w:rsidRPr="002D2A8F" w:rsidR="002D54C4" w:rsidP="008759EF" w:rsidRDefault="002D54C4" w14:paraId="52781E3F" w14:textId="420BD5A5">
      <w:pPr>
        <w:pStyle w:val="zGTC03"/>
        <w:rPr>
          <w:rFonts w:cs="Arial"/>
          <w:b/>
          <w:vanish/>
          <w:specVanish/>
        </w:rPr>
      </w:pPr>
      <w:bookmarkStart w:name="_Hlk81386115" w:id="336"/>
      <w:r w:rsidRPr="002D2A8F">
        <w:rPr>
          <w:rFonts w:cs="Arial"/>
          <w:b/>
        </w:rPr>
        <w:t>PHL Estimation System.</w:t>
      </w:r>
    </w:p>
    <w:p w:rsidRPr="002D2A8F" w:rsidR="002D54C4" w:rsidRDefault="002D54C4" w14:paraId="652D4B8C" w14:textId="2BAB0E47">
      <w:pPr>
        <w:pStyle w:val="zGNormal"/>
      </w:pPr>
      <w:r w:rsidRPr="002D2A8F">
        <w:t xml:space="preserve"> By no later than one year prior to the expected </w:t>
      </w:r>
      <w:r w:rsidRPr="002D2A8F" w:rsidR="002323E1">
        <w:t>COD</w:t>
      </w:r>
      <w:r w:rsidRPr="002D2A8F">
        <w:t xml:space="preserve">, Seller </w:t>
      </w:r>
      <w:r w:rsidRPr="002D2A8F" w:rsidR="00D84957">
        <w:t>must</w:t>
      </w:r>
      <w:r w:rsidRPr="002D2A8F">
        <w:t xml:space="preserve"> submit the detailed design and expected performance of the PHL estimation system </w:t>
      </w:r>
      <w:r w:rsidRPr="002D2A8F">
        <w:lastRenderedPageBreak/>
        <w:t xml:space="preserve">to GPC for review and approval, </w:t>
      </w:r>
      <w:r w:rsidRPr="002D2A8F" w:rsidR="00B3559E">
        <w:t>which</w:t>
      </w:r>
      <w:r w:rsidRPr="002D2A8F">
        <w:t xml:space="preserve"> approval </w:t>
      </w:r>
      <w:r w:rsidRPr="002D2A8F" w:rsidR="00B3559E">
        <w:t xml:space="preserve">GPC will </w:t>
      </w:r>
      <w:r w:rsidRPr="002D2A8F">
        <w:t>not unreasonably withh</w:t>
      </w:r>
      <w:r w:rsidRPr="002D2A8F" w:rsidR="00B3559E">
        <w:t>o</w:t>
      </w:r>
      <w:r w:rsidRPr="002D2A8F">
        <w:t xml:space="preserve">ld. GPC will provide any written comment regarding the proposed PHL estimation system design to Seller within 30 Days after receipt of the required submittal from Seller. Within 60 Days after receipt of GPC’s comments, Seller </w:t>
      </w:r>
      <w:r w:rsidRPr="002D2A8F" w:rsidR="00B3559E">
        <w:t>must</w:t>
      </w:r>
      <w:r w:rsidRPr="002D2A8F">
        <w:t xml:space="preserve"> make corrections or modifications to the proposed PHL estimation system design as necessary to properly address GPC’s comments, including correcting deficiencies, remedying issues, and satisfying requirements raised in GPC’s comments, and will resubmit the revised proposed PHL estimation system design</w:t>
      </w:r>
      <w:r w:rsidRPr="002D2A8F">
        <w:rPr>
          <w:rFonts w:eastAsiaTheme="minorHAnsi"/>
        </w:rPr>
        <w:t xml:space="preserve"> </w:t>
      </w:r>
      <w:r w:rsidRPr="002D2A8F">
        <w:t>to GPC for review and approval. This process will be repeated on an iterative basis until Seller has developed a PHL estimation system design that is approved by GPC.</w:t>
      </w:r>
      <w:bookmarkEnd w:id="336"/>
    </w:p>
    <w:p w:rsidRPr="002D2A8F" w:rsidR="002D54C4" w:rsidP="008759EF" w:rsidRDefault="002D54C4" w14:paraId="15B832F2" w14:textId="0139BB4E">
      <w:pPr>
        <w:pStyle w:val="zGTC03"/>
        <w:rPr>
          <w:rFonts w:cs="Arial"/>
          <w:b/>
          <w:vanish/>
          <w:specVanish/>
        </w:rPr>
      </w:pPr>
      <w:r w:rsidRPr="002D2A8F">
        <w:rPr>
          <w:rFonts w:cs="Arial"/>
        </w:rPr>
        <w:t xml:space="preserve"> </w:t>
      </w:r>
      <w:r w:rsidRPr="002D2A8F">
        <w:rPr>
          <w:rFonts w:cs="Arial"/>
          <w:b/>
        </w:rPr>
        <w:t>Testing of PHL Estimation System.</w:t>
      </w:r>
    </w:p>
    <w:p w:rsidRPr="002D2A8F" w:rsidR="002D54C4" w:rsidRDefault="002D54C4" w14:paraId="568735C5" w14:textId="46F7F153">
      <w:pPr>
        <w:pStyle w:val="zGNormal"/>
      </w:pPr>
      <w:r w:rsidRPr="002D2A8F">
        <w:t xml:space="preserve"> By no later than 14 Days prior to the expected </w:t>
      </w:r>
      <w:r w:rsidRPr="002D2A8F" w:rsidR="002323E1">
        <w:t>COD</w:t>
      </w:r>
      <w:r w:rsidRPr="002D2A8F">
        <w:t xml:space="preserve">, Seller </w:t>
      </w:r>
      <w:r w:rsidRPr="002D2A8F" w:rsidR="00E97DCE">
        <w:t>must</w:t>
      </w:r>
      <w:r w:rsidRPr="002D2A8F">
        <w:t xml:space="preserve"> provide to GPC a detailed analysis and verification report regarding the completed testing of the performance and accuracy of the PHL estimation system, which </w:t>
      </w:r>
      <w:r w:rsidRPr="002D2A8F" w:rsidR="00E97DCE">
        <w:t xml:space="preserve">must </w:t>
      </w:r>
      <w:r w:rsidRPr="002D2A8F">
        <w:t xml:space="preserve">demonstrate that the installed PHL estimation system is capable of satisfying the performance and accuracy requirements of </w:t>
      </w:r>
      <w:r w:rsidRPr="00534192">
        <w:t>Section</w:t>
      </w:r>
      <w:r w:rsidRPr="00534192" w:rsidR="00A21D1A">
        <w:t xml:space="preserve"> 10.10</w:t>
      </w:r>
      <w:r w:rsidRPr="00534192" w:rsidR="007F60D8">
        <w:t xml:space="preserve"> (</w:t>
      </w:r>
      <w:r w:rsidRPr="00534192" w:rsidR="007F60D8">
        <w:rPr>
          <w:i/>
        </w:rPr>
        <w:t>Potential High Limit</w:t>
      </w:r>
      <w:r w:rsidRPr="00534192" w:rsidR="003C3CD5">
        <w:rPr>
          <w:i/>
        </w:rPr>
        <w:t xml:space="preserve"> for Renewable Resource; Curtailed Energy</w:t>
      </w:r>
      <w:r w:rsidRPr="00534192">
        <w:t>)</w:t>
      </w:r>
      <w:r w:rsidRPr="002D2A8F">
        <w:t xml:space="preserve">. </w:t>
      </w:r>
    </w:p>
    <w:p w:rsidRPr="002D2A8F" w:rsidR="002D54C4" w:rsidP="008759EF" w:rsidRDefault="002D54C4" w14:paraId="1C26A7D3" w14:textId="7532504C">
      <w:pPr>
        <w:pStyle w:val="zGTC03"/>
        <w:rPr>
          <w:rFonts w:cs="Arial"/>
          <w:b/>
          <w:vanish/>
          <w:specVanish/>
        </w:rPr>
      </w:pPr>
      <w:r w:rsidRPr="002D2A8F">
        <w:rPr>
          <w:rFonts w:cs="Arial"/>
          <w:b/>
        </w:rPr>
        <w:t>Access to Data Used for PHL Estimates.</w:t>
      </w:r>
    </w:p>
    <w:p w:rsidRPr="002D2A8F" w:rsidR="002D54C4" w:rsidRDefault="002D54C4" w14:paraId="12011AA7" w14:textId="6C26B70A">
      <w:pPr>
        <w:pStyle w:val="zGNormal"/>
      </w:pPr>
      <w:r w:rsidRPr="002D2A8F">
        <w:t xml:space="preserve"> Seller </w:t>
      </w:r>
      <w:r w:rsidRPr="002D2A8F" w:rsidR="006F4817">
        <w:t>must provide to</w:t>
      </w:r>
      <w:r w:rsidRPr="002D2A8F">
        <w:t xml:space="preserve"> GPC real-time access to all modeling data, meteorological data, inverter data, and </w:t>
      </w:r>
      <w:r w:rsidRPr="002D2A8F" w:rsidR="006F4817">
        <w:t>any</w:t>
      </w:r>
      <w:r w:rsidRPr="002D2A8F">
        <w:t xml:space="preserve"> other data used in producing the PHL estimates provided </w:t>
      </w:r>
      <w:r w:rsidRPr="002D2A8F" w:rsidR="006F4817">
        <w:t xml:space="preserve">by Seller </w:t>
      </w:r>
      <w:r w:rsidRPr="002D2A8F">
        <w:t xml:space="preserve">to GPC. GPC will have the right to retain, review, and reproduce all modeling and analysis used by Seller to estimate PHL, with such support from Seller as GPC may reasonably request. </w:t>
      </w:r>
    </w:p>
    <w:p w:rsidRPr="002D2A8F" w:rsidR="002D54C4" w:rsidP="008759EF" w:rsidRDefault="002D54C4" w14:paraId="4F6839B5" w14:textId="25E23E40">
      <w:pPr>
        <w:pStyle w:val="zGTC03"/>
        <w:rPr>
          <w:rFonts w:cs="Arial"/>
          <w:b/>
          <w:vanish/>
          <w:specVanish/>
        </w:rPr>
      </w:pPr>
      <w:r w:rsidRPr="002D2A8F">
        <w:rPr>
          <w:rFonts w:cs="Arial"/>
          <w:b/>
        </w:rPr>
        <w:t>PHL Estimates for Curtailment.</w:t>
      </w:r>
    </w:p>
    <w:p w:rsidRPr="002D2A8F" w:rsidR="002D54C4" w:rsidRDefault="002D54C4" w14:paraId="6C7AA1B4" w14:textId="0A521A4D">
      <w:pPr>
        <w:pStyle w:val="zGNormal"/>
      </w:pPr>
      <w:r w:rsidRPr="002D2A8F">
        <w:t xml:space="preserve"> For each Month during which any Curtailment has occurred, the Operating Committee will use the PHL estimates to calculate the amount of Curtailed </w:t>
      </w:r>
      <w:r w:rsidRPr="002D2A8F" w:rsidR="00784FD7">
        <w:t xml:space="preserve">Renewable </w:t>
      </w:r>
      <w:r w:rsidRPr="002D2A8F" w:rsidDel="00EF504F">
        <w:t>E</w:t>
      </w:r>
      <w:r w:rsidRPr="002D2A8F">
        <w:t xml:space="preserve">nergy for such Month. As set forth in </w:t>
      </w:r>
      <w:r w:rsidRPr="00534192">
        <w:t xml:space="preserve">Exhibit </w:t>
      </w:r>
      <w:r w:rsidRPr="00534192" w:rsidR="00837603">
        <w:t xml:space="preserve">B </w:t>
      </w:r>
      <w:r w:rsidRPr="00534192">
        <w:t>(</w:t>
      </w:r>
      <w:r w:rsidRPr="00534192" w:rsidR="00837603">
        <w:rPr>
          <w:i/>
        </w:rPr>
        <w:t>Capacity; Capacity Payments and Payment Reductions; Buydown</w:t>
      </w:r>
      <w:r w:rsidRPr="00534192">
        <w:t>)</w:t>
      </w:r>
      <w:r w:rsidRPr="002D2A8F">
        <w:t xml:space="preserve">, Curtailed </w:t>
      </w:r>
      <w:r w:rsidRPr="002D2A8F" w:rsidR="00784FD7">
        <w:t xml:space="preserve">Renewable </w:t>
      </w:r>
      <w:r w:rsidRPr="002D2A8F">
        <w:t xml:space="preserve">Energy caused by GPC’s discretionary AGC </w:t>
      </w:r>
      <w:r w:rsidRPr="002D2A8F" w:rsidR="004672D4">
        <w:t>Setpoint s</w:t>
      </w:r>
      <w:r w:rsidRPr="002D2A8F">
        <w:t xml:space="preserve">ignals will be included in Annual Renewable Energy Available for the purpose of calculating the Annual Renewable Energy Performance </w:t>
      </w:r>
      <w:r w:rsidRPr="002D2A8F" w:rsidR="00180A02">
        <w:t>True-up</w:t>
      </w:r>
      <w:r w:rsidRPr="002D2A8F">
        <w:t xml:space="preserve">. If the Parties fail to agree on the amount of Curtailed </w:t>
      </w:r>
      <w:r w:rsidRPr="002D2A8F" w:rsidR="00784FD7">
        <w:t>Renewable E</w:t>
      </w:r>
      <w:r w:rsidRPr="002D2A8F">
        <w:t xml:space="preserve">nergy, the Parties </w:t>
      </w:r>
      <w:r w:rsidRPr="002D2A8F" w:rsidR="00EF504F">
        <w:t>will</w:t>
      </w:r>
      <w:r w:rsidRPr="002D2A8F">
        <w:t xml:space="preserve"> submit the dispute for resolution in accordance with </w:t>
      </w:r>
      <w:r w:rsidRPr="00534192">
        <w:t xml:space="preserve">Part </w:t>
      </w:r>
      <w:r w:rsidRPr="00534192" w:rsidR="004672D4">
        <w:t xml:space="preserve">19 </w:t>
      </w:r>
      <w:r w:rsidRPr="00534192">
        <w:t>(</w:t>
      </w:r>
      <w:r w:rsidRPr="00534192">
        <w:rPr>
          <w:i/>
        </w:rPr>
        <w:t>Dispute Resolution</w:t>
      </w:r>
      <w:r w:rsidRPr="00534192">
        <w:t>)</w:t>
      </w:r>
      <w:r w:rsidRPr="007420C4">
        <w:t>.</w:t>
      </w:r>
    </w:p>
    <w:p w:rsidRPr="002D2A8F" w:rsidR="002D54C4" w:rsidP="008759EF" w:rsidRDefault="002D54C4" w14:paraId="379A6523" w14:textId="73782630">
      <w:pPr>
        <w:pStyle w:val="zGTC03"/>
        <w:rPr>
          <w:rFonts w:cs="Arial"/>
          <w:b/>
          <w:vanish/>
          <w:specVanish/>
        </w:rPr>
      </w:pPr>
      <w:r w:rsidRPr="002D2A8F">
        <w:rPr>
          <w:rFonts w:cs="Arial"/>
          <w:b/>
        </w:rPr>
        <w:t>Validating PHL Estimates.</w:t>
      </w:r>
    </w:p>
    <w:p w:rsidRPr="002D2A8F" w:rsidR="002D54C4" w:rsidRDefault="002D54C4" w14:paraId="3926B52D" w14:textId="4C87D212">
      <w:pPr>
        <w:pStyle w:val="zGNormal"/>
      </w:pPr>
      <w:r w:rsidRPr="002D2A8F">
        <w:t xml:space="preserve"> The Operating Committee will develop mutually agreed upon (such agreement by a Party not to be unreasonably withheld) </w:t>
      </w:r>
      <w:bookmarkStart w:name="_Hlk81399870" w:id="337"/>
      <w:r w:rsidRPr="002D2A8F">
        <w:t>methods for validating the estimated PHL</w:t>
      </w:r>
      <w:bookmarkEnd w:id="337"/>
      <w:r w:rsidRPr="002D2A8F">
        <w:t xml:space="preserve"> and improving the accuracy of the estimated PHL, which methods may include test curtailments, inverter performance analysis, or other equipment as appropriate for the Facility. A primary source of validation data to monitor the PHL estimation system’s accuracy and error will be the recorded PHL estimates compared to the Renewable Resource’s actual </w:t>
      </w:r>
      <w:r w:rsidRPr="002D2A8F" w:rsidR="00614B55">
        <w:t>e</w:t>
      </w:r>
      <w:r w:rsidRPr="002D2A8F">
        <w:t xml:space="preserve">nergy output in all </w:t>
      </w:r>
      <w:r w:rsidRPr="002D2A8F" w:rsidR="00614B55">
        <w:t>six</w:t>
      </w:r>
      <w:r w:rsidRPr="002D2A8F">
        <w:t>-second periods outside of a Curtailment.</w:t>
      </w:r>
      <w:r w:rsidRPr="002D2A8F">
        <w:rPr>
          <w:rFonts w:eastAsiaTheme="minorHAnsi"/>
          <w:sz w:val="22"/>
          <w:szCs w:val="22"/>
        </w:rPr>
        <w:t xml:space="preserve"> </w:t>
      </w:r>
      <w:r w:rsidRPr="002D2A8F">
        <w:t xml:space="preserve">The Operating Committee will review and monitor PHL estimate errors to identify any bias in the PHL estimates. If any bias is identified in the PHL estimates, the calculation of the amount of Curtailed </w:t>
      </w:r>
      <w:r w:rsidRPr="002D2A8F" w:rsidR="00614B55">
        <w:t>e</w:t>
      </w:r>
      <w:r w:rsidRPr="002D2A8F">
        <w:t>nergy will be adjusted by the PPA Operating Committee to correct for such bias.</w:t>
      </w:r>
      <w:r w:rsidRPr="002D2A8F">
        <w:rPr>
          <w:rFonts w:eastAsiaTheme="minorHAnsi"/>
        </w:rPr>
        <w:t xml:space="preserve"> </w:t>
      </w:r>
      <w:r w:rsidRPr="002D2A8F">
        <w:t xml:space="preserve">If the Parties fail to agree on any </w:t>
      </w:r>
      <w:bookmarkStart w:name="_Hlk81399999" w:id="338"/>
      <w:r w:rsidRPr="002D2A8F">
        <w:t>adjustment to the calculation of Curtailed Energy to correct for PHL estimate bias</w:t>
      </w:r>
      <w:bookmarkEnd w:id="338"/>
      <w:r w:rsidRPr="002D2A8F">
        <w:t xml:space="preserve">, the Parties </w:t>
      </w:r>
      <w:r w:rsidRPr="002D2A8F" w:rsidR="00614B55">
        <w:t>will</w:t>
      </w:r>
      <w:r w:rsidRPr="002D2A8F">
        <w:t xml:space="preserve"> submit the dispute for resolution in accordance with </w:t>
      </w:r>
      <w:r w:rsidRPr="00534192">
        <w:t xml:space="preserve">Part </w:t>
      </w:r>
      <w:r w:rsidRPr="00534192" w:rsidR="00B512B8">
        <w:t>19</w:t>
      </w:r>
      <w:r w:rsidRPr="00534192">
        <w:t xml:space="preserve"> (</w:t>
      </w:r>
      <w:r w:rsidRPr="00534192">
        <w:rPr>
          <w:i/>
        </w:rPr>
        <w:t>Dispute Resolution</w:t>
      </w:r>
      <w:r w:rsidRPr="00534192">
        <w:t>)</w:t>
      </w:r>
      <w:r w:rsidRPr="007420C4">
        <w:t>.</w:t>
      </w:r>
      <w:r w:rsidRPr="002D2A8F">
        <w:t xml:space="preserve"> </w:t>
      </w:r>
    </w:p>
    <w:p w:rsidRPr="002D2A8F" w:rsidR="002D54C4" w:rsidRDefault="002D54C4" w14:paraId="1D014170" w14:textId="00801285">
      <w:pPr>
        <w:pStyle w:val="zGTC02"/>
        <w:rPr>
          <w:rFonts w:ascii="Arial" w:hAnsi="Arial" w:cs="Arial"/>
          <w:vanish/>
          <w:specVanish/>
        </w:rPr>
      </w:pPr>
      <w:bookmarkStart w:name="_Toc153987048" w:id="339"/>
      <w:bookmarkStart w:name="_Toc169778625" w:id="340"/>
      <w:bookmarkStart w:name="_Toc227451391" w:id="341"/>
      <w:r w:rsidRPr="002D2A8F">
        <w:rPr>
          <w:rFonts w:ascii="Arial" w:hAnsi="Arial" w:cs="Arial"/>
        </w:rPr>
        <w:t xml:space="preserve">Performance </w:t>
      </w:r>
      <w:bookmarkStart w:name="_Toc158593227" w:id="342"/>
      <w:bookmarkStart w:name="_Toc158597506" w:id="343"/>
      <w:bookmarkStart w:name="_Toc158720130" w:id="344"/>
      <w:bookmarkStart w:name="_Toc158722884" w:id="345"/>
      <w:bookmarkStart w:name="_Toc158929414" w:id="346"/>
      <w:bookmarkEnd w:id="339"/>
      <w:bookmarkEnd w:id="342"/>
      <w:bookmarkEnd w:id="343"/>
      <w:bookmarkEnd w:id="344"/>
      <w:bookmarkEnd w:id="345"/>
      <w:bookmarkEnd w:id="346"/>
      <w:r w:rsidR="00003511">
        <w:rPr>
          <w:rFonts w:ascii="Arial" w:hAnsi="Arial" w:cs="Arial"/>
        </w:rPr>
        <w:t>Metrics</w:t>
      </w:r>
      <w:r w:rsidRPr="002D2A8F">
        <w:rPr>
          <w:rFonts w:ascii="Arial" w:hAnsi="Arial" w:cs="Arial"/>
        </w:rPr>
        <w:t>.</w:t>
      </w:r>
      <w:bookmarkEnd w:id="340"/>
      <w:bookmarkEnd w:id="341"/>
    </w:p>
    <w:p w:rsidRPr="002D2A8F" w:rsidR="002D54C4" w:rsidP="0094746B" w:rsidRDefault="002D54C4" w14:paraId="085AE43A" w14:textId="09950EA7">
      <w:pPr>
        <w:pStyle w:val="zGNormal"/>
      </w:pPr>
      <w:r w:rsidRPr="002D2A8F">
        <w:t xml:space="preserve"> </w:t>
      </w:r>
      <w:r w:rsidRPr="00534192">
        <w:t xml:space="preserve">Exhibit </w:t>
      </w:r>
      <w:r w:rsidRPr="00534192" w:rsidR="00B512B8">
        <w:t>C</w:t>
      </w:r>
      <w:r w:rsidRPr="00534192">
        <w:t xml:space="preserve"> (</w:t>
      </w:r>
      <w:r w:rsidRPr="00534192" w:rsidR="00F165D6">
        <w:rPr>
          <w:i/>
        </w:rPr>
        <w:t xml:space="preserve">Monthly Capacity Payments; Monthly Capacity Reductions; AGC Performance </w:t>
      </w:r>
      <w:r w:rsidRPr="004C6ED4" w:rsidR="00937930">
        <w:rPr>
          <w:bCs/>
          <w:i/>
        </w:rPr>
        <w:t>Metrics and</w:t>
      </w:r>
      <w:r w:rsidRPr="00534192" w:rsidR="00937930">
        <w:rPr>
          <w:i/>
        </w:rPr>
        <w:t xml:space="preserve"> </w:t>
      </w:r>
      <w:r w:rsidRPr="00534192" w:rsidR="00F165D6">
        <w:rPr>
          <w:i/>
        </w:rPr>
        <w:t>Requirements</w:t>
      </w:r>
      <w:r w:rsidRPr="00534192">
        <w:t>)</w:t>
      </w:r>
      <w:r w:rsidRPr="002D2A8F">
        <w:t xml:space="preserve"> details the Performance Metrics</w:t>
      </w:r>
      <w:r w:rsidRPr="002D2A8F" w:rsidR="006F6169">
        <w:t xml:space="preserve"> that</w:t>
      </w:r>
      <w:r w:rsidRPr="002D2A8F">
        <w:t xml:space="preserve"> Seller </w:t>
      </w:r>
      <w:r w:rsidRPr="002D2A8F" w:rsidR="006F6169">
        <w:t>must</w:t>
      </w:r>
      <w:r w:rsidRPr="002D2A8F">
        <w:t xml:space="preserve"> achiev</w:t>
      </w:r>
      <w:r w:rsidRPr="002D2A8F" w:rsidR="006F6169">
        <w:t>e</w:t>
      </w:r>
      <w:r w:rsidRPr="002D2A8F" w:rsidR="00BD371F">
        <w:t xml:space="preserve"> </w:t>
      </w:r>
      <w:r w:rsidRPr="002D2A8F">
        <w:t xml:space="preserve">each Month of each Annual Period during the Term. If Seller fails to achieve </w:t>
      </w:r>
      <w:r w:rsidR="00110BB1">
        <w:t>certain</w:t>
      </w:r>
      <w:r w:rsidRPr="002D2A8F" w:rsidR="00110BB1">
        <w:t xml:space="preserve"> </w:t>
      </w:r>
      <w:r w:rsidRPr="002D2A8F">
        <w:t xml:space="preserve">required Performance </w:t>
      </w:r>
      <w:r w:rsidRPr="002D2A8F" w:rsidR="008655A8">
        <w:t>Metric</w:t>
      </w:r>
      <w:r w:rsidR="00110BB1">
        <w:t>s</w:t>
      </w:r>
      <w:r w:rsidRPr="002D2A8F" w:rsidR="008655A8">
        <w:t xml:space="preserve"> </w:t>
      </w:r>
      <w:r w:rsidRPr="002D2A8F">
        <w:t xml:space="preserve">in </w:t>
      </w:r>
      <w:r w:rsidR="001A551F">
        <w:t>a given</w:t>
      </w:r>
      <w:r w:rsidRPr="002D2A8F" w:rsidR="001A551F">
        <w:t xml:space="preserve"> </w:t>
      </w:r>
      <w:r w:rsidRPr="002D2A8F">
        <w:t xml:space="preserve">Month, </w:t>
      </w:r>
      <w:r w:rsidRPr="002D2A8F" w:rsidR="008655A8">
        <w:t xml:space="preserve">Seller’s </w:t>
      </w:r>
      <w:r w:rsidRPr="002D2A8F">
        <w:t xml:space="preserve">Monthly Capacity Payment </w:t>
      </w:r>
      <w:r w:rsidRPr="002D2A8F" w:rsidR="008655A8">
        <w:t>will be reduced</w:t>
      </w:r>
      <w:r w:rsidRPr="002D2A8F">
        <w:t xml:space="preserve"> </w:t>
      </w:r>
      <w:r w:rsidR="007827D1">
        <w:t>as described in Exhibit C</w:t>
      </w:r>
      <w:r w:rsidR="00EA6957">
        <w:t xml:space="preserve">. </w:t>
      </w:r>
      <w:r w:rsidRPr="002D2A8F">
        <w:t xml:space="preserve"> </w:t>
      </w:r>
    </w:p>
    <w:p w:rsidRPr="002D2A8F" w:rsidR="002D54C4" w:rsidRDefault="002D54C4" w14:paraId="21F22943" w14:textId="77777777">
      <w:pPr>
        <w:pStyle w:val="zGTC02"/>
        <w:rPr>
          <w:rFonts w:ascii="Arial" w:hAnsi="Arial" w:cs="Arial"/>
          <w:vanish/>
          <w:specVanish/>
        </w:rPr>
      </w:pPr>
      <w:bookmarkStart w:name="_Toc140854466" w:id="347"/>
      <w:bookmarkStart w:name="_Toc140854467" w:id="348"/>
      <w:bookmarkStart w:name="_Toc140854468" w:id="349"/>
      <w:bookmarkStart w:name="_Toc140320065" w:id="350"/>
      <w:bookmarkStart w:name="_Toc153987049" w:id="351"/>
      <w:bookmarkStart w:name="_Toc169778626" w:id="352"/>
      <w:bookmarkStart w:name="_Toc227451392" w:id="353"/>
      <w:bookmarkEnd w:id="347"/>
      <w:bookmarkEnd w:id="348"/>
      <w:bookmarkEnd w:id="349"/>
      <w:r w:rsidRPr="002D2A8F">
        <w:rPr>
          <w:rFonts w:ascii="Arial" w:hAnsi="Arial" w:cs="Arial"/>
        </w:rPr>
        <w:t>Reactive Power.</w:t>
      </w:r>
      <w:bookmarkStart w:name="_Toc141101515" w:id="354"/>
      <w:bookmarkStart w:name="_Toc158593228" w:id="355"/>
      <w:bookmarkStart w:name="_Toc158597507" w:id="356"/>
      <w:bookmarkStart w:name="_Toc158720131" w:id="357"/>
      <w:bookmarkStart w:name="_Toc158722885" w:id="358"/>
      <w:bookmarkStart w:name="_Toc158929415" w:id="359"/>
      <w:bookmarkEnd w:id="350"/>
      <w:bookmarkEnd w:id="351"/>
      <w:bookmarkEnd w:id="352"/>
      <w:bookmarkEnd w:id="353"/>
      <w:bookmarkEnd w:id="354"/>
      <w:bookmarkEnd w:id="355"/>
      <w:bookmarkEnd w:id="356"/>
      <w:bookmarkEnd w:id="357"/>
      <w:bookmarkEnd w:id="358"/>
      <w:bookmarkEnd w:id="359"/>
    </w:p>
    <w:p w:rsidRPr="002D2A8F" w:rsidR="002D54C4" w:rsidRDefault="002D54C4" w14:paraId="6225BEE9" w14:textId="2FB95995">
      <w:pPr>
        <w:pStyle w:val="zGNormal"/>
        <w:widowControl w:val="0"/>
        <w:tabs>
          <w:tab w:val="num" w:pos="2070"/>
        </w:tabs>
        <w:ind w:left="1350"/>
        <w:rPr>
          <w:rFonts w:eastAsia="Times New Roman"/>
        </w:rPr>
      </w:pPr>
      <w:r w:rsidRPr="002D2A8F">
        <w:rPr>
          <w:rFonts w:eastAsia="Times New Roman"/>
        </w:rPr>
        <w:t xml:space="preserve"> During the Term, the Facility must be capable of providing, and upon GPC’s request Seller </w:t>
      </w:r>
      <w:r w:rsidRPr="002D2A8F" w:rsidR="00716D6B">
        <w:rPr>
          <w:rFonts w:eastAsia="Times New Roman"/>
        </w:rPr>
        <w:t>must</w:t>
      </w:r>
      <w:r w:rsidRPr="002D2A8F">
        <w:rPr>
          <w:rFonts w:eastAsia="Times New Roman"/>
        </w:rPr>
        <w:t xml:space="preserve"> cause the Facility to provide, reactive power </w:t>
      </w:r>
      <w:r w:rsidRPr="002D2A8F">
        <w:t>support (i.e., to produce and absorb reactive power)</w:t>
      </w:r>
      <w:r w:rsidRPr="002D2A8F">
        <w:rPr>
          <w:rFonts w:eastAsia="Times New Roman"/>
        </w:rPr>
        <w:t xml:space="preserve"> to meet the </w:t>
      </w:r>
      <w:r w:rsidR="004706FB">
        <w:rPr>
          <w:rFonts w:eastAsia="Times New Roman"/>
        </w:rPr>
        <w:t>Interconnection Provider</w:t>
      </w:r>
      <w:r w:rsidRPr="002D2A8F">
        <w:rPr>
          <w:rFonts w:eastAsia="Times New Roman"/>
        </w:rPr>
        <w:t xml:space="preserve">’s voltage schedule requirements </w:t>
      </w:r>
      <w:r w:rsidRPr="002D2A8F" w:rsidR="00277C8B">
        <w:rPr>
          <w:rFonts w:eastAsia="Times New Roman"/>
        </w:rPr>
        <w:t>outline</w:t>
      </w:r>
      <w:r w:rsidRPr="002D2A8F" w:rsidR="00B84521">
        <w:rPr>
          <w:rFonts w:eastAsia="Times New Roman"/>
        </w:rPr>
        <w:t>d</w:t>
      </w:r>
      <w:r w:rsidRPr="002D2A8F" w:rsidR="00277C8B">
        <w:rPr>
          <w:rFonts w:eastAsia="Times New Roman"/>
        </w:rPr>
        <w:t xml:space="preserve"> in </w:t>
      </w:r>
      <w:r w:rsidRPr="002D2A8F" w:rsidR="006954CC">
        <w:rPr>
          <w:rFonts w:eastAsia="Times New Roman"/>
        </w:rPr>
        <w:t>Southern Company Bulk Power Operation</w:t>
      </w:r>
      <w:r w:rsidRPr="002D2A8F" w:rsidR="0076654B">
        <w:rPr>
          <w:rFonts w:eastAsia="Times New Roman"/>
        </w:rPr>
        <w:t>’s BPO-</w:t>
      </w:r>
      <w:r w:rsidRPr="002D2A8F" w:rsidR="00181590">
        <w:rPr>
          <w:rFonts w:eastAsia="Times New Roman"/>
        </w:rPr>
        <w:t>–</w:t>
      </w:r>
      <w:r w:rsidRPr="002D2A8F" w:rsidR="0076654B">
        <w:rPr>
          <w:rFonts w:eastAsia="Times New Roman"/>
        </w:rPr>
        <w:t xml:space="preserve">01 - </w:t>
      </w:r>
      <w:r w:rsidRPr="002D2A8F" w:rsidR="00277C8B">
        <w:rPr>
          <w:rFonts w:eastAsia="Times New Roman"/>
        </w:rPr>
        <w:t>Attachment A</w:t>
      </w:r>
      <w:r w:rsidRPr="002D2A8F" w:rsidR="0076654B">
        <w:rPr>
          <w:rFonts w:eastAsia="Times New Roman"/>
        </w:rPr>
        <w:t>, as well as meeting the operational</w:t>
      </w:r>
      <w:r w:rsidRPr="002D2A8F">
        <w:rPr>
          <w:rFonts w:eastAsia="Times New Roman"/>
        </w:rPr>
        <w:t xml:space="preserve"> </w:t>
      </w:r>
      <w:r w:rsidRPr="002D2A8F" w:rsidR="009C0C28">
        <w:rPr>
          <w:rFonts w:eastAsia="Times New Roman"/>
        </w:rPr>
        <w:t xml:space="preserve">requirements </w:t>
      </w:r>
      <w:r w:rsidRPr="002D2A8F">
        <w:rPr>
          <w:rFonts w:eastAsia="Times New Roman"/>
        </w:rPr>
        <w:t xml:space="preserve"> as specified in The Southern Company Bulk Power Operations Procedure BPO-01 at all real power levels (pushing and pulling), including zero real power.</w:t>
      </w:r>
      <w:bookmarkStart w:name="_Toc140320066" w:id="360"/>
      <w:r w:rsidRPr="002D2A8F">
        <w:rPr>
          <w:rFonts w:eastAsia="Times New Roman"/>
        </w:rPr>
        <w:t xml:space="preserve"> </w:t>
      </w:r>
      <w:bookmarkStart w:name="_Hlk142680440" w:id="361"/>
      <w:r w:rsidRPr="002D2A8F">
        <w:rPr>
          <w:rFonts w:eastAsia="Times New Roman"/>
        </w:rPr>
        <w:t xml:space="preserve">In the case of a </w:t>
      </w:r>
      <w:r w:rsidR="00D66913">
        <w:rPr>
          <w:rFonts w:eastAsia="Times New Roman"/>
        </w:rPr>
        <w:t>B</w:t>
      </w:r>
      <w:r w:rsidRPr="002D2A8F">
        <w:rPr>
          <w:rFonts w:eastAsia="Times New Roman"/>
        </w:rPr>
        <w:t xml:space="preserve">ESS comprised of </w:t>
      </w:r>
      <w:r w:rsidR="00195BCE">
        <w:rPr>
          <w:rFonts w:eastAsia="Times New Roman"/>
        </w:rPr>
        <w:t>technology</w:t>
      </w:r>
      <w:r w:rsidRPr="002D2A8F" w:rsidR="00195BCE">
        <w:rPr>
          <w:rFonts w:eastAsia="Times New Roman"/>
        </w:rPr>
        <w:t xml:space="preserve"> </w:t>
      </w:r>
      <w:r w:rsidRPr="002D2A8F">
        <w:rPr>
          <w:rFonts w:eastAsia="Times New Roman"/>
        </w:rPr>
        <w:t xml:space="preserve">other than inverter-based technology, such requirements will apply only when the </w:t>
      </w:r>
      <w:r w:rsidR="0085582C">
        <w:rPr>
          <w:rFonts w:eastAsia="Times New Roman"/>
        </w:rPr>
        <w:t>B</w:t>
      </w:r>
      <w:r w:rsidRPr="002D2A8F">
        <w:rPr>
          <w:rFonts w:eastAsia="Times New Roman"/>
        </w:rPr>
        <w:t xml:space="preserve">ESS is charging or discharging. For </w:t>
      </w:r>
      <w:r w:rsidRPr="002D2A8F" w:rsidR="00804B2B">
        <w:rPr>
          <w:rFonts w:eastAsia="Times New Roman"/>
        </w:rPr>
        <w:t xml:space="preserve">any </w:t>
      </w:r>
      <w:r w:rsidRPr="002D2A8F">
        <w:rPr>
          <w:rFonts w:eastAsia="Times New Roman"/>
        </w:rPr>
        <w:t xml:space="preserve">Renewable Resource </w:t>
      </w:r>
      <w:r w:rsidRPr="002D2A8F" w:rsidR="006F576E">
        <w:rPr>
          <w:rFonts w:eastAsia="Times New Roman"/>
        </w:rPr>
        <w:t xml:space="preserve">or </w:t>
      </w:r>
      <w:r w:rsidR="0085582C">
        <w:rPr>
          <w:rFonts w:eastAsia="Times New Roman"/>
        </w:rPr>
        <w:t>B</w:t>
      </w:r>
      <w:r w:rsidRPr="002D2A8F">
        <w:rPr>
          <w:rFonts w:eastAsia="Times New Roman"/>
        </w:rPr>
        <w:t xml:space="preserve">ESS comprised of inverter-based technology, </w:t>
      </w:r>
      <w:r w:rsidRPr="002D2A8F">
        <w:rPr>
          <w:rFonts w:eastAsia="Times New Roman"/>
        </w:rPr>
        <w:lastRenderedPageBreak/>
        <w:t xml:space="preserve">such requirements will apply at </w:t>
      </w:r>
      <w:r w:rsidRPr="002D2A8F">
        <w:rPr>
          <w:rFonts w:eastAsia="Times New Roman"/>
          <w:u w:val="single"/>
        </w:rPr>
        <w:t>all</w:t>
      </w:r>
      <w:r w:rsidRPr="002D2A8F">
        <w:rPr>
          <w:rFonts w:eastAsia="Times New Roman"/>
        </w:rPr>
        <w:t xml:space="preserve"> times</w:t>
      </w:r>
      <w:r w:rsidR="00390C16">
        <w:rPr>
          <w:rFonts w:eastAsia="Times New Roman"/>
        </w:rPr>
        <w:t xml:space="preserve"> when the Facility is </w:t>
      </w:r>
      <w:r w:rsidR="00F54FFA">
        <w:rPr>
          <w:rFonts w:eastAsia="Times New Roman"/>
        </w:rPr>
        <w:t>A</w:t>
      </w:r>
      <w:r w:rsidR="00390C16">
        <w:rPr>
          <w:rFonts w:eastAsia="Times New Roman"/>
        </w:rPr>
        <w:t>vailable</w:t>
      </w:r>
      <w:r w:rsidRPr="002D2A8F">
        <w:rPr>
          <w:rFonts w:eastAsia="Times New Roman"/>
        </w:rPr>
        <w:t xml:space="preserve">, regardless of whether the Facility is </w:t>
      </w:r>
      <w:r w:rsidR="00ED469D">
        <w:rPr>
          <w:rFonts w:eastAsia="Times New Roman"/>
        </w:rPr>
        <w:t>delivering</w:t>
      </w:r>
      <w:r w:rsidRPr="002D2A8F" w:rsidR="00ED469D">
        <w:rPr>
          <w:rFonts w:eastAsia="Times New Roman"/>
        </w:rPr>
        <w:t xml:space="preserve"> </w:t>
      </w:r>
      <w:r w:rsidRPr="002D2A8F">
        <w:rPr>
          <w:rFonts w:eastAsia="Times New Roman"/>
        </w:rPr>
        <w:t>real power.</w:t>
      </w:r>
      <w:bookmarkEnd w:id="361"/>
    </w:p>
    <w:p w:rsidRPr="002D2A8F" w:rsidR="002D54C4" w:rsidRDefault="002D54C4" w14:paraId="5D19ED19" w14:textId="0A42A866">
      <w:pPr>
        <w:pStyle w:val="zGTC02"/>
        <w:rPr>
          <w:rFonts w:ascii="Arial" w:hAnsi="Arial" w:cs="Arial"/>
          <w:vanish/>
          <w:specVanish/>
        </w:rPr>
      </w:pPr>
      <w:bookmarkStart w:name="_Toc158593229" w:id="362"/>
      <w:bookmarkStart w:name="_Toc158597508" w:id="363"/>
      <w:bookmarkStart w:name="_Toc158720132" w:id="364"/>
      <w:bookmarkStart w:name="_Toc158722886" w:id="365"/>
      <w:bookmarkStart w:name="_Toc158929416" w:id="366"/>
      <w:bookmarkStart w:name="_Toc153987050" w:id="367"/>
      <w:bookmarkStart w:name="_Toc169778627" w:id="368"/>
      <w:bookmarkStart w:name="_Toc227451393" w:id="369"/>
      <w:bookmarkEnd w:id="362"/>
      <w:bookmarkEnd w:id="363"/>
      <w:bookmarkEnd w:id="364"/>
      <w:bookmarkEnd w:id="365"/>
      <w:bookmarkEnd w:id="366"/>
      <w:r w:rsidRPr="002D2A8F">
        <w:rPr>
          <w:rFonts w:ascii="Arial" w:hAnsi="Arial" w:cs="Arial"/>
        </w:rPr>
        <w:t>Cyber</w:t>
      </w:r>
      <w:r w:rsidR="00A944B6">
        <w:rPr>
          <w:rFonts w:ascii="Arial" w:hAnsi="Arial" w:cs="Arial"/>
        </w:rPr>
        <w:t xml:space="preserve"> S</w:t>
      </w:r>
      <w:r w:rsidRPr="002D2A8F">
        <w:rPr>
          <w:rFonts w:ascii="Arial" w:hAnsi="Arial" w:cs="Arial"/>
        </w:rPr>
        <w:t>ecurity.</w:t>
      </w:r>
      <w:bookmarkEnd w:id="367"/>
      <w:bookmarkEnd w:id="368"/>
      <w:bookmarkEnd w:id="369"/>
    </w:p>
    <w:p w:rsidR="002D54C4" w:rsidP="00B61501" w:rsidRDefault="002D54C4" w14:paraId="46A9CCF8" w14:textId="2B68419E">
      <w:pPr>
        <w:pStyle w:val="zGNormal"/>
      </w:pPr>
      <w:r w:rsidRPr="002D2A8F">
        <w:t xml:space="preserve"> </w:t>
      </w:r>
      <w:bookmarkEnd w:id="360"/>
      <w:r w:rsidRPr="002D2A8F" w:rsidR="008D068E">
        <w:t>T</w:t>
      </w:r>
      <w:r w:rsidRPr="002D2A8F">
        <w:t xml:space="preserve">he </w:t>
      </w:r>
      <w:r w:rsidRPr="002D2A8F">
        <w:rPr>
          <w:rStyle w:val="ui-provider"/>
        </w:rPr>
        <w:t xml:space="preserve">Facility must comply with </w:t>
      </w:r>
      <w:r w:rsidRPr="002D2A8F">
        <w:t xml:space="preserve">the requirements for Bulk Electric System generation facilities in North America set forth in the NERC reliability standards </w:t>
      </w:r>
      <w:r w:rsidRPr="002D2A8F" w:rsidR="00716D6B">
        <w:t>(</w:t>
      </w:r>
      <w:r w:rsidRPr="002D2A8F" w:rsidR="00716D6B">
        <w:rPr>
          <w:i/>
          <w:iCs/>
        </w:rPr>
        <w:t>Cyber Security Standards</w:t>
      </w:r>
      <w:r w:rsidRPr="002D2A8F" w:rsidR="00716D6B">
        <w:t xml:space="preserve">) </w:t>
      </w:r>
      <w:r w:rsidRPr="002D2A8F">
        <w:t xml:space="preserve">created pursuant to FERC </w:t>
      </w:r>
      <w:r w:rsidR="00BF79E1">
        <w:t>O</w:t>
      </w:r>
      <w:r w:rsidRPr="002D2A8F">
        <w:t>rder 706 (</w:t>
      </w:r>
      <w:r w:rsidRPr="002D2A8F" w:rsidR="008D068E">
        <w:rPr>
          <w:i/>
          <w:iCs/>
        </w:rPr>
        <w:t>Mandatory Reliability Standards for Critical Infrastructure Protection</w:t>
      </w:r>
      <w:r w:rsidRPr="002D2A8F">
        <w:t>)</w:t>
      </w:r>
      <w:r w:rsidR="00D65844">
        <w:t>, other applicable law, or Prudent Industry Practices</w:t>
      </w:r>
      <w:r w:rsidRPr="002D2A8F">
        <w:rPr>
          <w:rStyle w:val="ui-provider"/>
        </w:rPr>
        <w:t xml:space="preserve">. </w:t>
      </w:r>
      <w:r w:rsidRPr="002D2A8F">
        <w:t>With respect to any actual or suspected cyber security incident that compromises, disrupts, or constitutes an attempt to compromise or disrupt: (i) Seller’s cyber security or physical security at the Facility; (ii) the performance of Seller’s obligations regarding the operation of the Facility; or (</w:t>
      </w:r>
      <w:r w:rsidRPr="002D2A8F" w:rsidR="00410DD8">
        <w:t>iii</w:t>
      </w:r>
      <w:r w:rsidRPr="002D2A8F">
        <w:t xml:space="preserve">) products, software, </w:t>
      </w:r>
      <w:r w:rsidR="00185DB2">
        <w:t xml:space="preserve">hardware, </w:t>
      </w:r>
      <w:r w:rsidRPr="002D2A8F">
        <w:t xml:space="preserve">or systems provided or to be provided </w:t>
      </w:r>
      <w:r w:rsidR="00EA3459">
        <w:t xml:space="preserve">by Seller </w:t>
      </w:r>
      <w:r w:rsidRPr="002D2A8F">
        <w:t>under this PPA (a “</w:t>
      </w:r>
      <w:r w:rsidRPr="00567354">
        <w:rPr>
          <w:b/>
        </w:rPr>
        <w:t>Cyber Security Incident</w:t>
      </w:r>
      <w:r w:rsidRPr="002D2A8F">
        <w:t xml:space="preserve">”), Seller must report </w:t>
      </w:r>
      <w:r w:rsidRPr="002D2A8F" w:rsidR="00716D6B">
        <w:t xml:space="preserve">any </w:t>
      </w:r>
      <w:r w:rsidRPr="002D2A8F">
        <w:t xml:space="preserve">Cyber Security Incident to GPC within 24 Hours after discovery. </w:t>
      </w:r>
      <w:bookmarkStart w:name="_Hlk198699758" w:id="370"/>
      <w:r w:rsidRPr="00791841" w:rsidR="00791841">
        <w:rPr>
          <w:rFonts w:eastAsia="Times New Roman"/>
          <w:kern w:val="0"/>
        </w:rPr>
        <w:t>Seller must take immediate steps to address any Cyber Security Incident, and to mitigate any impact to the Facility and GPC as a result of a Cyber Security Incident, up to and including the replacement of any affected equipment</w:t>
      </w:r>
      <w:r w:rsidR="00570A39">
        <w:rPr>
          <w:rFonts w:eastAsia="Times New Roman"/>
          <w:kern w:val="0"/>
        </w:rPr>
        <w:t>, if applicable</w:t>
      </w:r>
      <w:r w:rsidRPr="00791841" w:rsidR="00791841">
        <w:rPr>
          <w:rFonts w:eastAsia="Times New Roman"/>
          <w:kern w:val="0"/>
        </w:rPr>
        <w:t>.</w:t>
      </w:r>
      <w:bookmarkEnd w:id="370"/>
    </w:p>
    <w:p w:rsidRPr="004365F6" w:rsidR="004365F6" w:rsidP="004365F6" w:rsidRDefault="004365F6" w14:paraId="0767521E" w14:textId="48906308">
      <w:pPr>
        <w:pStyle w:val="zGTC03"/>
        <w:rPr>
          <w:vanish/>
          <w:specVanish/>
        </w:rPr>
      </w:pPr>
      <w:r w:rsidRPr="004365F6">
        <w:rPr>
          <w:b/>
          <w:bCs/>
        </w:rPr>
        <w:t>Sourcing Restrictions.</w:t>
      </w:r>
    </w:p>
    <w:p w:rsidRPr="00816190" w:rsidR="002468C6" w:rsidP="00D94D93" w:rsidRDefault="004365F6" w14:paraId="16D35A82" w14:textId="7DC2CDE1">
      <w:pPr>
        <w:pStyle w:val="zGTC03"/>
        <w:numPr>
          <w:ilvl w:val="2"/>
          <w:numId w:val="34"/>
        </w:numPr>
        <w:rPr>
          <w:b/>
          <w:bCs/>
        </w:rPr>
      </w:pPr>
      <w:r>
        <w:t xml:space="preserve"> </w:t>
      </w:r>
      <w:r w:rsidR="002468C6">
        <w:rPr>
          <w:bCs/>
        </w:rPr>
        <w:t>P</w:t>
      </w:r>
      <w:r w:rsidRPr="00816190" w:rsidR="002468C6">
        <w:rPr>
          <w:bCs/>
        </w:rPr>
        <w:t xml:space="preserve">rogrammable electronic components of the: (i) Battery Management System (BMS); (ii) </w:t>
      </w:r>
      <w:r w:rsidR="006C0920">
        <w:rPr>
          <w:bCs/>
        </w:rPr>
        <w:t>B</w:t>
      </w:r>
      <w:r w:rsidRPr="00816190" w:rsidR="002468C6">
        <w:rPr>
          <w:bCs/>
        </w:rPr>
        <w:t xml:space="preserve">ESS Controller; and (iii) Site Controller (including controls, hardware and software) must not be sourced from or manufactured by Foreign Entities of Concern (“FEOC”) as defined in 42 U.S.C. § 18741(5) and subsequently interpreted in “Interpretation of Foreign Entity of Concern,” 89 Fed. Reg. 37085 (May 6, 2024) or sourced from or manufactured in one of the following countries: China, Russia, North Korea, Saudi Arabia, Serbia, Algeria, Venezuela, Iran, Iraq, Belarus, Kazakhstan, Kyrgyzstan, Uzbekistan, Syria, Lebanon, South Sudan, Pakistan, </w:t>
      </w:r>
      <w:r w:rsidR="00D13FFC">
        <w:rPr>
          <w:bCs/>
        </w:rPr>
        <w:t xml:space="preserve">or </w:t>
      </w:r>
      <w:r w:rsidRPr="00816190" w:rsidR="002468C6">
        <w:rPr>
          <w:bCs/>
        </w:rPr>
        <w:t xml:space="preserve">Cuba. For purposes of this provision, the terms Battery Management System, </w:t>
      </w:r>
      <w:r w:rsidR="006C0920">
        <w:rPr>
          <w:bCs/>
        </w:rPr>
        <w:t>B</w:t>
      </w:r>
      <w:r w:rsidRPr="00816190" w:rsidR="002468C6">
        <w:rPr>
          <w:bCs/>
        </w:rPr>
        <w:t>ESS Controller, and Site Controller are defined as follows</w:t>
      </w:r>
      <w:r w:rsidRPr="004737FE" w:rsidR="002468C6">
        <w:t>:</w:t>
      </w:r>
    </w:p>
    <w:p w:rsidRPr="00BC4FB0" w:rsidR="002468C6" w:rsidP="00D94D93" w:rsidRDefault="002468C6" w14:paraId="4543EB44" w14:textId="77777777">
      <w:pPr>
        <w:pStyle w:val="zGTC04"/>
        <w:numPr>
          <w:ilvl w:val="3"/>
          <w:numId w:val="34"/>
        </w:numPr>
      </w:pPr>
      <w:r>
        <w:rPr>
          <w:rFonts w:eastAsiaTheme="minorHAnsi"/>
          <w:b/>
          <w:bCs/>
          <w:kern w:val="0"/>
          <w:u w:val="single"/>
        </w:rPr>
        <w:t>B</w:t>
      </w:r>
      <w:r w:rsidRPr="00215F68">
        <w:rPr>
          <w:rFonts w:eastAsiaTheme="minorHAnsi"/>
          <w:b/>
          <w:bCs/>
          <w:kern w:val="0"/>
          <w:u w:val="single"/>
        </w:rPr>
        <w:t>attery Management System (BMS)</w:t>
      </w:r>
      <w:r w:rsidRPr="009400BF">
        <w:rPr>
          <w:rFonts w:eastAsiaTheme="minorHAnsi"/>
          <w:b/>
          <w:bCs/>
          <w:kern w:val="0"/>
        </w:rPr>
        <w:t>: </w:t>
      </w:r>
      <w:r w:rsidRPr="009400BF">
        <w:rPr>
          <w:rFonts w:eastAsiaTheme="minorHAnsi"/>
          <w:kern w:val="0"/>
        </w:rPr>
        <w:t>A control system used to protect the battery and to provide key parameters, such as state of charge, battery health, and temperature.</w:t>
      </w:r>
    </w:p>
    <w:p w:rsidRPr="002468C6" w:rsidR="002468C6" w:rsidP="00D94D93" w:rsidRDefault="006C0920" w14:paraId="0C492460" w14:textId="7B41C0BC">
      <w:pPr>
        <w:pStyle w:val="zGTC04"/>
        <w:numPr>
          <w:ilvl w:val="3"/>
          <w:numId w:val="34"/>
        </w:numPr>
      </w:pPr>
      <w:r>
        <w:rPr>
          <w:rFonts w:eastAsiaTheme="minorHAnsi"/>
          <w:b/>
          <w:bCs/>
          <w:kern w:val="0"/>
          <w:u w:val="single"/>
        </w:rPr>
        <w:t>B</w:t>
      </w:r>
      <w:r w:rsidRPr="00CB5A49" w:rsidR="002468C6">
        <w:rPr>
          <w:rFonts w:eastAsiaTheme="minorHAnsi"/>
          <w:b/>
          <w:bCs/>
          <w:kern w:val="0"/>
          <w:u w:val="single"/>
        </w:rPr>
        <w:t>ESS</w:t>
      </w:r>
      <w:r w:rsidRPr="00215F68" w:rsidR="002468C6">
        <w:rPr>
          <w:rFonts w:eastAsiaTheme="minorHAnsi"/>
          <w:b/>
          <w:bCs/>
          <w:kern w:val="0"/>
          <w:u w:val="single"/>
        </w:rPr>
        <w:t xml:space="preserve"> Controller</w:t>
      </w:r>
      <w:r w:rsidRPr="00215F68" w:rsidR="002468C6">
        <w:rPr>
          <w:rFonts w:eastAsiaTheme="minorHAnsi"/>
          <w:b/>
          <w:bCs/>
          <w:kern w:val="0"/>
        </w:rPr>
        <w:t>:</w:t>
      </w:r>
      <w:r w:rsidRPr="00215F68" w:rsidR="002468C6">
        <w:rPr>
          <w:rFonts w:eastAsiaTheme="minorHAnsi"/>
          <w:kern w:val="0"/>
        </w:rPr>
        <w:t xml:space="preserve"> A controller used to manage multiple stacks or arrays of batteries. This controller manages the balancing of the batteries.</w:t>
      </w:r>
    </w:p>
    <w:p w:rsidRPr="002D2A8F" w:rsidR="004365F6" w:rsidP="00D94D93" w:rsidRDefault="002468C6" w14:paraId="5F822BCC" w14:textId="6B4334B0">
      <w:pPr>
        <w:pStyle w:val="zGTC04"/>
        <w:numPr>
          <w:ilvl w:val="3"/>
          <w:numId w:val="34"/>
        </w:numPr>
      </w:pPr>
      <w:r w:rsidRPr="002468C6">
        <w:rPr>
          <w:rFonts w:eastAsiaTheme="minorHAnsi"/>
          <w:b/>
          <w:bCs/>
          <w:kern w:val="0"/>
          <w:u w:val="single"/>
        </w:rPr>
        <w:t>Site Controller</w:t>
      </w:r>
      <w:r w:rsidRPr="002468C6">
        <w:rPr>
          <w:rFonts w:eastAsiaTheme="minorHAnsi"/>
          <w:b/>
          <w:bCs/>
          <w:kern w:val="0"/>
        </w:rPr>
        <w:t>:</w:t>
      </w:r>
      <w:r w:rsidRPr="002468C6">
        <w:rPr>
          <w:rFonts w:eastAsiaTheme="minorHAnsi"/>
          <w:kern w:val="0"/>
        </w:rPr>
        <w:t xml:space="preserve"> A control system used to manage one or more sources (Photovoltaic solar, batteries, etc.) to achieve facility level control</w:t>
      </w:r>
      <w:r w:rsidRPr="00BB0633" w:rsidR="004365F6">
        <w:t>.</w:t>
      </w:r>
    </w:p>
    <w:p w:rsidRPr="002D2A8F" w:rsidR="002D54C4" w:rsidP="00ED6839" w:rsidRDefault="0085582C" w14:paraId="7B292DB7" w14:textId="54350AB7">
      <w:pPr>
        <w:pStyle w:val="zGTC01"/>
        <w:rPr>
          <w:rFonts w:ascii="Arial" w:hAnsi="Arial"/>
          <w:szCs w:val="20"/>
        </w:rPr>
      </w:pPr>
      <w:bookmarkStart w:name="_Toc156309792" w:id="371"/>
      <w:bookmarkStart w:name="_Toc169778628" w:id="372"/>
      <w:bookmarkStart w:name="_Toc227451394" w:id="373"/>
      <w:r>
        <w:rPr>
          <w:rFonts w:ascii="Arial" w:hAnsi="Arial"/>
        </w:rPr>
        <w:t>B</w:t>
      </w:r>
      <w:r w:rsidRPr="002D2A8F" w:rsidR="002D54C4">
        <w:rPr>
          <w:rFonts w:ascii="Arial" w:hAnsi="Arial"/>
        </w:rPr>
        <w:t>ESS; Renewable Resource; Grid Charging</w:t>
      </w:r>
      <w:bookmarkEnd w:id="371"/>
      <w:bookmarkEnd w:id="372"/>
      <w:bookmarkEnd w:id="373"/>
    </w:p>
    <w:p w:rsidRPr="002D2A8F" w:rsidR="002D54C4" w:rsidRDefault="002D54C4" w14:paraId="75CBCDB2" w14:textId="7D5C2E1A">
      <w:pPr>
        <w:pStyle w:val="zGTC02"/>
        <w:rPr>
          <w:rFonts w:ascii="Arial" w:hAnsi="Arial" w:cs="Arial"/>
          <w:vanish/>
          <w:specVanish/>
        </w:rPr>
      </w:pPr>
      <w:bookmarkStart w:name="_Toc148829409" w:id="374"/>
      <w:bookmarkStart w:name="_Toc156309793" w:id="375"/>
      <w:bookmarkStart w:name="_Toc169778629" w:id="376"/>
      <w:bookmarkStart w:name="_Toc227451395" w:id="377"/>
      <w:r w:rsidRPr="002D2A8F">
        <w:rPr>
          <w:rFonts w:ascii="Arial" w:hAnsi="Arial" w:cs="Arial"/>
        </w:rPr>
        <w:t xml:space="preserve">Use of </w:t>
      </w:r>
      <w:r w:rsidR="0085582C">
        <w:rPr>
          <w:rFonts w:ascii="Arial" w:hAnsi="Arial" w:cs="Arial"/>
        </w:rPr>
        <w:t>B</w:t>
      </w:r>
      <w:r w:rsidRPr="002D2A8F">
        <w:rPr>
          <w:rFonts w:ascii="Arial" w:hAnsi="Arial" w:cs="Arial"/>
        </w:rPr>
        <w:t>ESS.</w:t>
      </w:r>
      <w:bookmarkStart w:name="_Toc158593231" w:id="378"/>
      <w:bookmarkStart w:name="_Toc158597510" w:id="379"/>
      <w:bookmarkStart w:name="_Toc158720134" w:id="380"/>
      <w:bookmarkStart w:name="_Toc158722888" w:id="381"/>
      <w:bookmarkStart w:name="_Toc158929418" w:id="382"/>
      <w:bookmarkEnd w:id="374"/>
      <w:bookmarkEnd w:id="375"/>
      <w:bookmarkEnd w:id="376"/>
      <w:bookmarkEnd w:id="377"/>
      <w:bookmarkEnd w:id="378"/>
      <w:bookmarkEnd w:id="379"/>
      <w:bookmarkEnd w:id="380"/>
      <w:bookmarkEnd w:id="381"/>
      <w:bookmarkEnd w:id="382"/>
    </w:p>
    <w:p w:rsidRPr="002D2A8F" w:rsidR="002D54C4" w:rsidRDefault="002D54C4" w14:paraId="2F6C71F3" w14:textId="0ECEFAD8">
      <w:pPr>
        <w:pStyle w:val="zGNormal"/>
      </w:pPr>
      <w:bookmarkStart w:name="_Toc148829410" w:id="383"/>
      <w:r w:rsidRPr="002D2A8F">
        <w:t xml:space="preserve"> Seller acknowledges and agrees that the exclusive purpose and use of the </w:t>
      </w:r>
      <w:r w:rsidR="0085582C">
        <w:t>B</w:t>
      </w:r>
      <w:r w:rsidRPr="002D2A8F">
        <w:t>ESS</w:t>
      </w:r>
      <w:r w:rsidR="002410FA">
        <w:t xml:space="preserve"> during the Term</w:t>
      </w:r>
      <w:r w:rsidRPr="002D2A8F">
        <w:t xml:space="preserve"> is to satisfy Seller’s capacity obligations under this PPA and to satisfy Seller’s obligations under this PPA to </w:t>
      </w:r>
      <w:r w:rsidR="00E76EE5">
        <w:t xml:space="preserve">charge the </w:t>
      </w:r>
      <w:r w:rsidR="0085582C">
        <w:t>B</w:t>
      </w:r>
      <w:r w:rsidR="00E76EE5">
        <w:t>ESS or discharge</w:t>
      </w:r>
      <w:r w:rsidRPr="002D2A8F" w:rsidR="00E76EE5">
        <w:t xml:space="preserve"> </w:t>
      </w:r>
      <w:r w:rsidRPr="002D2A8F">
        <w:t xml:space="preserve">energy to the </w:t>
      </w:r>
      <w:r w:rsidRPr="002D2A8F" w:rsidR="009953E0">
        <w:t>POI</w:t>
      </w:r>
      <w:r w:rsidRPr="002D2A8F">
        <w:t xml:space="preserve"> in accordance with GPC’s </w:t>
      </w:r>
      <w:r w:rsidRPr="002D2A8F" w:rsidR="00614B55">
        <w:t>d</w:t>
      </w:r>
      <w:r w:rsidRPr="002D2A8F">
        <w:t xml:space="preserve">ispatch </w:t>
      </w:r>
      <w:r w:rsidRPr="002D2A8F" w:rsidR="00E53FE7">
        <w:t>i</w:t>
      </w:r>
      <w:r w:rsidRPr="002D2A8F">
        <w:t xml:space="preserve">nstructions. </w:t>
      </w:r>
      <w:bookmarkEnd w:id="383"/>
      <w:r w:rsidRPr="002D2A8F">
        <w:t xml:space="preserve"> </w:t>
      </w:r>
    </w:p>
    <w:p w:rsidRPr="002D2A8F" w:rsidR="002D54C4" w:rsidRDefault="002D54C4" w14:paraId="6E5C340B" w14:textId="77777777">
      <w:pPr>
        <w:pStyle w:val="zGTC02"/>
        <w:rPr>
          <w:rFonts w:ascii="Arial" w:hAnsi="Arial" w:cs="Arial"/>
          <w:vanish/>
          <w:specVanish/>
        </w:rPr>
      </w:pPr>
      <w:bookmarkStart w:name="_Toc156309796" w:id="384"/>
      <w:bookmarkStart w:name="_Toc169778630" w:id="385"/>
      <w:bookmarkStart w:name="_Toc227451396" w:id="386"/>
      <w:r w:rsidRPr="002D2A8F">
        <w:rPr>
          <w:rFonts w:ascii="Arial" w:hAnsi="Arial" w:cs="Arial"/>
        </w:rPr>
        <w:t>Limit on Delivered Energy; Curtailment of Energy from Renewable Resource.</w:t>
      </w:r>
      <w:bookmarkStart w:name="_Toc158593233" w:id="387"/>
      <w:bookmarkStart w:name="_Toc158597512" w:id="388"/>
      <w:bookmarkStart w:name="_Toc158720136" w:id="389"/>
      <w:bookmarkStart w:name="_Toc158722890" w:id="390"/>
      <w:bookmarkStart w:name="_Toc158929420" w:id="391"/>
      <w:bookmarkEnd w:id="384"/>
      <w:bookmarkEnd w:id="385"/>
      <w:bookmarkEnd w:id="386"/>
      <w:bookmarkEnd w:id="387"/>
      <w:bookmarkEnd w:id="388"/>
      <w:bookmarkEnd w:id="389"/>
      <w:bookmarkEnd w:id="390"/>
      <w:bookmarkEnd w:id="391"/>
    </w:p>
    <w:p w:rsidRPr="002D2A8F" w:rsidR="002D54C4" w:rsidRDefault="002D54C4" w14:paraId="62456FBF" w14:textId="0845C9B2">
      <w:pPr>
        <w:pStyle w:val="zGNormal"/>
      </w:pPr>
      <w:r w:rsidRPr="002D2A8F" w:rsidDel="00A24A3E">
        <w:t xml:space="preserve"> </w:t>
      </w:r>
      <w:r w:rsidRPr="002D2A8F">
        <w:t xml:space="preserve">GPC, in its sole discretion, may require Seller to curtail or cease the delivery of </w:t>
      </w:r>
      <w:r w:rsidR="00A067B3">
        <w:t>Renewable Energy</w:t>
      </w:r>
      <w:r w:rsidRPr="002D2A8F" w:rsidR="00A067B3">
        <w:t xml:space="preserve"> </w:t>
      </w:r>
      <w:r w:rsidRPr="002D2A8F">
        <w:t xml:space="preserve">from the Renewable Resource </w:t>
      </w:r>
      <w:bookmarkStart w:name="_Hlk528227688" w:id="392"/>
      <w:r w:rsidRPr="002D2A8F">
        <w:t xml:space="preserve">to the </w:t>
      </w:r>
      <w:r w:rsidRPr="002D2A8F" w:rsidR="00210064">
        <w:t>POI</w:t>
      </w:r>
      <w:r w:rsidRPr="002D2A8F">
        <w:t xml:space="preserve"> for any reason</w:t>
      </w:r>
      <w:bookmarkEnd w:id="392"/>
      <w:r w:rsidRPr="002D2A8F">
        <w:t xml:space="preserve">. In such case, Seller must curtail or cease the delivery of energy from the Renewable Resource to the </w:t>
      </w:r>
      <w:r w:rsidRPr="002D2A8F" w:rsidR="00210064">
        <w:t>POI</w:t>
      </w:r>
      <w:r w:rsidRPr="002D2A8F">
        <w:t xml:space="preserve"> as directed by GPC. </w:t>
      </w:r>
      <w:r w:rsidR="00006479">
        <w:t xml:space="preserve">GPC will not intentionally </w:t>
      </w:r>
      <w:r w:rsidR="00250BA9">
        <w:t>curtail energy from the Renewable Resource to prioritize Grid Charging or BESS discharge except to prevent, mitigate, or otherwise respond to a System Emergency or reliability event.</w:t>
      </w:r>
    </w:p>
    <w:p w:rsidRPr="002D2A8F" w:rsidR="002D54C4" w:rsidRDefault="002D54C4" w14:paraId="1CDCE601" w14:textId="1B1FDCF7">
      <w:pPr>
        <w:pStyle w:val="zGTC02"/>
        <w:rPr>
          <w:rFonts w:ascii="Arial" w:hAnsi="Arial" w:cs="Arial"/>
          <w:vanish/>
          <w:specVanish/>
        </w:rPr>
      </w:pPr>
      <w:bookmarkStart w:name="_Toc169778631" w:id="393"/>
      <w:bookmarkStart w:name="_Toc148829413" w:id="394"/>
      <w:bookmarkStart w:name="_Toc156309797" w:id="395"/>
      <w:bookmarkStart w:name="_Toc227451397" w:id="396"/>
      <w:r w:rsidRPr="002D2A8F">
        <w:rPr>
          <w:rFonts w:ascii="Arial" w:hAnsi="Arial" w:cs="Arial"/>
        </w:rPr>
        <w:t>Grid Charging</w:t>
      </w:r>
      <w:bookmarkEnd w:id="393"/>
      <w:r w:rsidR="00BD4F1D">
        <w:rPr>
          <w:rFonts w:ascii="Arial" w:hAnsi="Arial" w:cs="Arial"/>
        </w:rPr>
        <w:t>; Renewable Resource Charging</w:t>
      </w:r>
      <w:r w:rsidRPr="002D2A8F">
        <w:rPr>
          <w:rFonts w:ascii="Arial" w:hAnsi="Arial" w:cs="Arial"/>
        </w:rPr>
        <w:t>.</w:t>
      </w:r>
      <w:bookmarkEnd w:id="394"/>
      <w:bookmarkEnd w:id="395"/>
      <w:bookmarkEnd w:id="396"/>
      <w:r w:rsidRPr="002D2A8F">
        <w:rPr>
          <w:rFonts w:ascii="Arial" w:hAnsi="Arial" w:cs="Arial"/>
        </w:rPr>
        <w:t xml:space="preserve"> </w:t>
      </w:r>
      <w:bookmarkStart w:name="_Toc158593234" w:id="397"/>
      <w:bookmarkStart w:name="_Toc158597513" w:id="398"/>
      <w:bookmarkStart w:name="_Toc158720137" w:id="399"/>
      <w:bookmarkStart w:name="_Toc158722891" w:id="400"/>
      <w:bookmarkStart w:name="_Toc158929421" w:id="401"/>
      <w:bookmarkEnd w:id="397"/>
      <w:bookmarkEnd w:id="398"/>
      <w:bookmarkEnd w:id="399"/>
      <w:bookmarkEnd w:id="400"/>
      <w:bookmarkEnd w:id="401"/>
    </w:p>
    <w:p w:rsidRPr="002D2A8F" w:rsidR="002D54C4" w:rsidP="00817D05" w:rsidRDefault="00AC0E89" w14:paraId="31DC02CD" w14:textId="0D7D655D">
      <w:pPr>
        <w:pStyle w:val="zGNormal"/>
      </w:pPr>
      <w:r w:rsidRPr="002D2A8F">
        <w:t xml:space="preserve"> </w:t>
      </w:r>
      <w:r w:rsidRPr="002D2A8F" w:rsidR="0073579E">
        <w:t xml:space="preserve">At GPC’s discretion, </w:t>
      </w:r>
      <w:r w:rsidRPr="002D2A8F" w:rsidR="002D54C4">
        <w:t xml:space="preserve">GPC may direct Grid Charging </w:t>
      </w:r>
      <w:r w:rsidR="00BD4F1D">
        <w:t xml:space="preserve">or Renewable Resource Charging </w:t>
      </w:r>
      <w:r w:rsidRPr="002D2A8F" w:rsidR="002D54C4">
        <w:t xml:space="preserve">of the </w:t>
      </w:r>
      <w:r w:rsidR="0085582C">
        <w:t>B</w:t>
      </w:r>
      <w:r w:rsidRPr="002D2A8F" w:rsidR="002D54C4">
        <w:t xml:space="preserve">ESS at any time </w:t>
      </w:r>
      <w:r w:rsidRPr="002D2A8F" w:rsidR="005C0893">
        <w:t xml:space="preserve">after COD </w:t>
      </w:r>
      <w:r w:rsidRPr="002D2A8F" w:rsidR="002D54C4">
        <w:t>and in any amount with</w:t>
      </w:r>
      <w:r w:rsidRPr="002D2A8F" w:rsidR="00B606A7">
        <w:t>in</w:t>
      </w:r>
      <w:r w:rsidRPr="002D2A8F" w:rsidR="002D54C4">
        <w:t xml:space="preserve"> </w:t>
      </w:r>
      <w:r w:rsidR="0085582C">
        <w:t>B</w:t>
      </w:r>
      <w:r w:rsidRPr="002D2A8F" w:rsidR="002D54C4">
        <w:t>ESS operating limits. Any</w:t>
      </w:r>
      <w:r w:rsidRPr="002D2A8F" w:rsidR="004E66A3">
        <w:t xml:space="preserve"> Charging Energy</w:t>
      </w:r>
      <w:r w:rsidRPr="002D2A8F" w:rsidR="002D54C4">
        <w:t xml:space="preserve"> will be counted against the </w:t>
      </w:r>
      <w:r w:rsidRPr="002D2A8F" w:rsidR="00C363CC">
        <w:t xml:space="preserve">Cycle Limits </w:t>
      </w:r>
      <w:r w:rsidRPr="002D2A8F" w:rsidR="009879E6">
        <w:t>when discharged</w:t>
      </w:r>
      <w:r w:rsidRPr="002D2A8F" w:rsidR="002D54C4">
        <w:t>.</w:t>
      </w:r>
    </w:p>
    <w:p w:rsidRPr="002D2A8F" w:rsidR="002D54C4" w:rsidP="00ED6839" w:rsidRDefault="002D54C4" w14:paraId="27A967A7" w14:textId="7418C480">
      <w:pPr>
        <w:pStyle w:val="zGTC01"/>
        <w:rPr>
          <w:rFonts w:ascii="Arial" w:hAnsi="Arial"/>
        </w:rPr>
      </w:pPr>
      <w:bookmarkStart w:name="_Toc156309798" w:id="402"/>
      <w:bookmarkStart w:name="_Toc169778632" w:id="403"/>
      <w:bookmarkStart w:name="_Toc227451398" w:id="404"/>
      <w:r w:rsidRPr="002D2A8F">
        <w:rPr>
          <w:rFonts w:ascii="Arial" w:hAnsi="Arial"/>
        </w:rPr>
        <w:t xml:space="preserve">Energy </w:t>
      </w:r>
      <w:bookmarkEnd w:id="402"/>
      <w:r w:rsidRPr="002D2A8F">
        <w:rPr>
          <w:rFonts w:ascii="Arial" w:hAnsi="Arial"/>
        </w:rPr>
        <w:t>DISPATCH</w:t>
      </w:r>
      <w:bookmarkEnd w:id="403"/>
      <w:bookmarkEnd w:id="404"/>
    </w:p>
    <w:p w:rsidRPr="002D2A8F" w:rsidR="002D54C4" w:rsidRDefault="002D54C4" w14:paraId="28FA3CF9" w14:textId="1EA204ED">
      <w:pPr>
        <w:pStyle w:val="zGTC02"/>
        <w:rPr>
          <w:rFonts w:ascii="Arial" w:hAnsi="Arial" w:cs="Arial"/>
          <w:vanish/>
          <w:specVanish/>
        </w:rPr>
      </w:pPr>
      <w:bookmarkStart w:name="_Toc158593236" w:id="405"/>
      <w:bookmarkStart w:name="_Toc158597515" w:id="406"/>
      <w:bookmarkStart w:name="_Toc158720139" w:id="407"/>
      <w:bookmarkStart w:name="_Toc158722893" w:id="408"/>
      <w:bookmarkStart w:name="_Toc158929423" w:id="409"/>
      <w:bookmarkStart w:name="_Toc156309799" w:id="410"/>
      <w:bookmarkStart w:name="_Toc169778633" w:id="411"/>
      <w:bookmarkStart w:name="_Toc227451399" w:id="412"/>
      <w:bookmarkEnd w:id="405"/>
      <w:bookmarkEnd w:id="406"/>
      <w:bookmarkEnd w:id="407"/>
      <w:bookmarkEnd w:id="408"/>
      <w:bookmarkEnd w:id="409"/>
      <w:r w:rsidRPr="002D2A8F">
        <w:rPr>
          <w:rFonts w:ascii="Arial" w:hAnsi="Arial" w:cs="Arial"/>
        </w:rPr>
        <w:t xml:space="preserve">Energy </w:t>
      </w:r>
      <w:r w:rsidRPr="002D2A8F" w:rsidR="00817D05">
        <w:rPr>
          <w:rFonts w:ascii="Arial" w:hAnsi="Arial" w:cs="Arial"/>
        </w:rPr>
        <w:t>Dispatch</w:t>
      </w:r>
      <w:r w:rsidRPr="002D2A8F">
        <w:rPr>
          <w:rFonts w:ascii="Arial" w:hAnsi="Arial" w:cs="Arial"/>
        </w:rPr>
        <w:t>.</w:t>
      </w:r>
      <w:bookmarkEnd w:id="410"/>
      <w:bookmarkEnd w:id="411"/>
      <w:bookmarkEnd w:id="412"/>
    </w:p>
    <w:p w:rsidRPr="002D2A8F" w:rsidR="002D54C4" w:rsidRDefault="002D54C4" w14:paraId="2301E4FD" w14:textId="6F686F96">
      <w:pPr>
        <w:pStyle w:val="zGNormal"/>
      </w:pPr>
      <w:r w:rsidRPr="002D2A8F">
        <w:t xml:space="preserve"> GPC</w:t>
      </w:r>
      <w:r w:rsidRPr="002D2A8F" w:rsidDel="00AD2A7B">
        <w:t xml:space="preserve"> </w:t>
      </w:r>
      <w:r w:rsidRPr="002D2A8F">
        <w:t>will</w:t>
      </w:r>
      <w:r w:rsidRPr="002D2A8F" w:rsidDel="008E0570">
        <w:t xml:space="preserve"> </w:t>
      </w:r>
      <w:r w:rsidRPr="002D2A8F">
        <w:t xml:space="preserve">issue dispatch instructions via </w:t>
      </w:r>
      <w:r w:rsidRPr="002D2A8F" w:rsidR="00D652AF">
        <w:t>six</w:t>
      </w:r>
      <w:r w:rsidRPr="002D2A8F">
        <w:t xml:space="preserve">-second AGC </w:t>
      </w:r>
      <w:r w:rsidRPr="002D2A8F" w:rsidR="00D652AF">
        <w:t xml:space="preserve">Setpoint </w:t>
      </w:r>
      <w:r w:rsidRPr="002D2A8F">
        <w:t xml:space="preserve">signals for the </w:t>
      </w:r>
      <w:r w:rsidR="0085582C">
        <w:t>B</w:t>
      </w:r>
      <w:r w:rsidRPr="002D2A8F">
        <w:t xml:space="preserve">ESS electrical </w:t>
      </w:r>
      <w:r w:rsidR="00757724">
        <w:t xml:space="preserve">input and </w:t>
      </w:r>
      <w:r w:rsidRPr="002D2A8F">
        <w:t xml:space="preserve">output committed under this PPA. </w:t>
      </w:r>
      <w:r w:rsidRPr="002D2A8F" w:rsidR="00AA6166">
        <w:t xml:space="preserve">If the AGC capability of the </w:t>
      </w:r>
      <w:r w:rsidR="0085582C">
        <w:t>B</w:t>
      </w:r>
      <w:r w:rsidRPr="002D2A8F" w:rsidR="00AA6166">
        <w:t xml:space="preserve">ESS is unavailable, GPC </w:t>
      </w:r>
      <w:r w:rsidRPr="002D2A8F" w:rsidR="00396994">
        <w:t>may</w:t>
      </w:r>
      <w:r w:rsidRPr="002D2A8F" w:rsidR="00AA6166">
        <w:t xml:space="preserve"> utilize non-AGC dispatching and Seller, at Seller’s expense, must use commercially reasonable efforts to re-establish AGC capability.</w:t>
      </w:r>
    </w:p>
    <w:p w:rsidRPr="002D2A8F" w:rsidR="002D54C4" w:rsidRDefault="002D54C4" w14:paraId="1ABA9128" w14:textId="79184DC2">
      <w:pPr>
        <w:pStyle w:val="zGTC02"/>
        <w:rPr>
          <w:rFonts w:ascii="Arial" w:hAnsi="Arial" w:cs="Arial"/>
          <w:specVanish/>
        </w:rPr>
      </w:pPr>
      <w:bookmarkStart w:name="_Toc156309800" w:id="413"/>
      <w:bookmarkStart w:name="_Toc169778634" w:id="414"/>
      <w:bookmarkStart w:name="_Toc227451400" w:id="415"/>
      <w:r w:rsidRPr="002D2A8F">
        <w:rPr>
          <w:rFonts w:ascii="Arial" w:hAnsi="Arial" w:cs="Arial"/>
        </w:rPr>
        <w:t xml:space="preserve">Coordination and </w:t>
      </w:r>
      <w:r w:rsidRPr="002D2A8F" w:rsidR="00817D05">
        <w:rPr>
          <w:rFonts w:ascii="Arial" w:hAnsi="Arial" w:cs="Arial"/>
        </w:rPr>
        <w:t>Dispatch</w:t>
      </w:r>
      <w:r w:rsidRPr="002D2A8F">
        <w:rPr>
          <w:rFonts w:ascii="Arial" w:hAnsi="Arial" w:cs="Arial"/>
        </w:rPr>
        <w:t>.</w:t>
      </w:r>
      <w:bookmarkStart w:name="_Toc158593237" w:id="416"/>
      <w:bookmarkStart w:name="_Toc158597516" w:id="417"/>
      <w:bookmarkStart w:name="_Toc158720140" w:id="418"/>
      <w:bookmarkStart w:name="_Toc158722894" w:id="419"/>
      <w:bookmarkStart w:name="_Toc158929424" w:id="420"/>
      <w:bookmarkEnd w:id="413"/>
      <w:bookmarkEnd w:id="414"/>
      <w:bookmarkEnd w:id="415"/>
      <w:bookmarkEnd w:id="416"/>
      <w:bookmarkEnd w:id="417"/>
      <w:bookmarkEnd w:id="418"/>
      <w:bookmarkEnd w:id="419"/>
      <w:bookmarkEnd w:id="420"/>
    </w:p>
    <w:p w:rsidRPr="002D2A8F" w:rsidR="002D54C4" w:rsidP="008759EF" w:rsidRDefault="002D54C4" w14:paraId="246A0C3F" w14:textId="75D69F52">
      <w:pPr>
        <w:pStyle w:val="zGTC03"/>
        <w:rPr>
          <w:rFonts w:cs="Arial"/>
          <w:b/>
          <w:vanish/>
          <w:specVanish/>
        </w:rPr>
      </w:pPr>
      <w:r w:rsidRPr="002D2A8F">
        <w:rPr>
          <w:rFonts w:cs="Arial"/>
          <w:b/>
        </w:rPr>
        <w:lastRenderedPageBreak/>
        <w:t xml:space="preserve">Electrical </w:t>
      </w:r>
      <w:r w:rsidR="00CC40BF">
        <w:rPr>
          <w:rFonts w:cs="Arial"/>
          <w:b/>
        </w:rPr>
        <w:t xml:space="preserve">Input and </w:t>
      </w:r>
      <w:r w:rsidRPr="002D2A8F">
        <w:rPr>
          <w:rFonts w:cs="Arial"/>
          <w:b/>
        </w:rPr>
        <w:t xml:space="preserve">Output; Dispatch Instructions; </w:t>
      </w:r>
      <w:r w:rsidR="004878ED">
        <w:rPr>
          <w:rFonts w:cs="Arial"/>
          <w:b/>
        </w:rPr>
        <w:t>IA</w:t>
      </w:r>
      <w:r w:rsidRPr="002D2A8F">
        <w:rPr>
          <w:rFonts w:cs="Arial"/>
          <w:b/>
        </w:rPr>
        <w:t xml:space="preserve"> Compliance.</w:t>
      </w:r>
    </w:p>
    <w:p w:rsidRPr="002D2A8F" w:rsidR="002D54C4" w:rsidRDefault="002D54C4" w14:paraId="1364A083" w14:textId="34378A8E">
      <w:pPr>
        <w:pStyle w:val="zGNormal"/>
      </w:pPr>
      <w:r w:rsidRPr="002D2A8F">
        <w:t xml:space="preserve"> The electrical </w:t>
      </w:r>
      <w:r w:rsidR="00CC40BF">
        <w:t xml:space="preserve">input and </w:t>
      </w:r>
      <w:r w:rsidRPr="002D2A8F">
        <w:t xml:space="preserve">output of the </w:t>
      </w:r>
      <w:r w:rsidR="0085582C">
        <w:t>B</w:t>
      </w:r>
      <w:r w:rsidRPr="002D2A8F">
        <w:t>ESS committed under this PPA will</w:t>
      </w:r>
      <w:r w:rsidRPr="002D2A8F" w:rsidDel="008E0570">
        <w:t xml:space="preserve"> </w:t>
      </w:r>
      <w:r w:rsidRPr="002D2A8F">
        <w:t xml:space="preserve">be subject to AGC </w:t>
      </w:r>
      <w:r w:rsidRPr="002D2A8F" w:rsidR="0044069F">
        <w:t>Setpoint s</w:t>
      </w:r>
      <w:r w:rsidRPr="002D2A8F">
        <w:t>ignals issued by GPC. Seller must</w:t>
      </w:r>
      <w:r w:rsidRPr="002D2A8F" w:rsidDel="008E0570">
        <w:t xml:space="preserve"> </w:t>
      </w:r>
      <w:r w:rsidRPr="002D2A8F">
        <w:t>comply with these signals when received</w:t>
      </w:r>
      <w:r w:rsidR="00E6770B">
        <w:t>, subject to the Interconnection Limit, Technical Limits,</w:t>
      </w:r>
      <w:r w:rsidR="005977A2">
        <w:t xml:space="preserve"> </w:t>
      </w:r>
      <w:r w:rsidR="00E6770B">
        <w:t>dispatch procedures set forth in Exhibit F (</w:t>
      </w:r>
      <w:r w:rsidRPr="00FB5D75" w:rsidR="00E6770B">
        <w:rPr>
          <w:i/>
          <w:iCs/>
        </w:rPr>
        <w:t>Facility Operating and Dispatching Requirements</w:t>
      </w:r>
      <w:r w:rsidR="00E6770B">
        <w:t>)</w:t>
      </w:r>
      <w:r w:rsidR="005977A2">
        <w:t>, and Section 11.2 (</w:t>
      </w:r>
      <w:r w:rsidRPr="006E538C" w:rsidR="005977A2">
        <w:rPr>
          <w:i/>
          <w:iCs/>
        </w:rPr>
        <w:t>Limit on Delivered Energy; Curtailment of Energy from Renewable Resource</w:t>
      </w:r>
      <w:r w:rsidR="005977A2">
        <w:t>)</w:t>
      </w:r>
      <w:r w:rsidRPr="002D2A8F">
        <w:t xml:space="preserve">.  </w:t>
      </w:r>
    </w:p>
    <w:p w:rsidRPr="002D2A8F" w:rsidR="002D54C4" w:rsidP="008759EF" w:rsidRDefault="002D54C4" w14:paraId="166E80FB" w14:textId="09C030CE">
      <w:pPr>
        <w:pStyle w:val="zGTC03"/>
        <w:rPr>
          <w:rFonts w:cs="Arial"/>
          <w:vanish/>
          <w:specVanish/>
        </w:rPr>
      </w:pPr>
      <w:r w:rsidRPr="002D2A8F">
        <w:rPr>
          <w:rFonts w:cs="Arial"/>
          <w:b/>
        </w:rPr>
        <w:t>Records and Energy Dispatch.</w:t>
      </w:r>
      <w:r w:rsidRPr="002D2A8F">
        <w:rPr>
          <w:rFonts w:cs="Arial"/>
        </w:rPr>
        <w:t xml:space="preserve"> </w:t>
      </w:r>
    </w:p>
    <w:p w:rsidRPr="002D2A8F" w:rsidR="002D54C4" w:rsidRDefault="002D54C4" w14:paraId="2856EA49" w14:textId="55C09D2D">
      <w:pPr>
        <w:pStyle w:val="zGNormal"/>
      </w:pPr>
      <w:r w:rsidRPr="002D2A8F">
        <w:t>GPC</w:t>
      </w:r>
      <w:r w:rsidRPr="002D2A8F" w:rsidDel="00AD2A7B">
        <w:t xml:space="preserve"> </w:t>
      </w:r>
      <w:r w:rsidRPr="002D2A8F">
        <w:t>and Seller will</w:t>
      </w:r>
      <w:r w:rsidRPr="002D2A8F" w:rsidDel="008E0570">
        <w:t xml:space="preserve"> </w:t>
      </w:r>
      <w:r w:rsidRPr="002D2A8F">
        <w:t xml:space="preserve">maintain electronic records of the quantities of energy delivered </w:t>
      </w:r>
      <w:r w:rsidR="0062349D">
        <w:t xml:space="preserve">or received </w:t>
      </w:r>
      <w:r w:rsidRPr="002D2A8F">
        <w:t xml:space="preserve">each </w:t>
      </w:r>
      <w:r w:rsidRPr="002D2A8F" w:rsidR="004D39A0">
        <w:t>six</w:t>
      </w:r>
      <w:r w:rsidRPr="002D2A8F">
        <w:t>-second period and Hour during the Term.</w:t>
      </w:r>
    </w:p>
    <w:p w:rsidRPr="002D2A8F" w:rsidR="002D54C4" w:rsidP="008759EF" w:rsidRDefault="002D54C4" w14:paraId="275C6D93" w14:textId="260AE519">
      <w:pPr>
        <w:pStyle w:val="zGTC03"/>
        <w:rPr>
          <w:rFonts w:cs="Arial"/>
          <w:b/>
        </w:rPr>
      </w:pPr>
      <w:r w:rsidRPr="002D2A8F">
        <w:rPr>
          <w:rFonts w:cs="Arial"/>
          <w:b/>
        </w:rPr>
        <w:t xml:space="preserve">System Emergency. </w:t>
      </w:r>
    </w:p>
    <w:p w:rsidRPr="002D2A8F" w:rsidR="002D54C4" w:rsidP="00C1276B" w:rsidRDefault="002D54C4" w14:paraId="1FE4760C" w14:textId="17C4A5B3">
      <w:pPr>
        <w:pStyle w:val="zGTC04"/>
        <w:numPr>
          <w:ilvl w:val="3"/>
          <w:numId w:val="12"/>
        </w:numPr>
        <w:tabs>
          <w:tab w:val="num" w:pos="2880"/>
        </w:tabs>
        <w:rPr>
          <w:rFonts w:cs="Arial"/>
        </w:rPr>
      </w:pPr>
      <w:r w:rsidRPr="002D2A8F">
        <w:rPr>
          <w:rFonts w:cs="Arial"/>
          <w:b/>
          <w:bCs/>
        </w:rPr>
        <w:t xml:space="preserve">General System Emergency Procedure. </w:t>
      </w:r>
      <w:r w:rsidRPr="002D2A8F">
        <w:rPr>
          <w:rFonts w:cs="Arial"/>
        </w:rPr>
        <w:t>The Parties recognize that GPC</w:t>
      </w:r>
      <w:r w:rsidRPr="002D2A8F" w:rsidDel="00AD2A7B">
        <w:rPr>
          <w:rFonts w:cs="Arial"/>
        </w:rPr>
        <w:t xml:space="preserve"> </w:t>
      </w:r>
      <w:r w:rsidRPr="002D2A8F">
        <w:rPr>
          <w:rFonts w:cs="Arial"/>
        </w:rPr>
        <w:t>is a FERC jurisdictional entity subject to the reliability authority of NERC and that, to ensure continuous and reliable electric service, GPC</w:t>
      </w:r>
      <w:r w:rsidRPr="002D2A8F" w:rsidDel="00AD2A7B">
        <w:rPr>
          <w:rFonts w:cs="Arial"/>
        </w:rPr>
        <w:t xml:space="preserve"> </w:t>
      </w:r>
      <w:r w:rsidRPr="002D2A8F">
        <w:rPr>
          <w:rFonts w:cs="Arial"/>
        </w:rPr>
        <w:t xml:space="preserve">operates its system in accordance with the operating criteria and guidelines of NERC. If a System Emergency is declared and </w:t>
      </w:r>
      <w:r w:rsidRPr="002D2A8F" w:rsidR="00BF2FC9">
        <w:rPr>
          <w:rFonts w:cs="Arial"/>
        </w:rPr>
        <w:t xml:space="preserve">AGC dispatch is not </w:t>
      </w:r>
      <w:r w:rsidRPr="002D2A8F" w:rsidR="00213E96">
        <w:rPr>
          <w:rFonts w:cs="Arial"/>
        </w:rPr>
        <w:t>available</w:t>
      </w:r>
      <w:r w:rsidRPr="002D2A8F" w:rsidR="00321773">
        <w:rPr>
          <w:rFonts w:cs="Arial"/>
        </w:rPr>
        <w:t xml:space="preserve">, </w:t>
      </w:r>
      <w:r w:rsidRPr="002D2A8F">
        <w:rPr>
          <w:rFonts w:cs="Arial"/>
        </w:rPr>
        <w:t xml:space="preserve">GPC may require Seller’s personnel to </w:t>
      </w:r>
      <w:r w:rsidRPr="002D2A8F" w:rsidR="00D012C4">
        <w:rPr>
          <w:rFonts w:cs="Arial"/>
        </w:rPr>
        <w:t xml:space="preserve">operate the </w:t>
      </w:r>
      <w:r w:rsidRPr="002D2A8F" w:rsidR="00B7394D">
        <w:rPr>
          <w:rFonts w:cs="Arial"/>
        </w:rPr>
        <w:t>Facility</w:t>
      </w:r>
      <w:r w:rsidRPr="002D2A8F" w:rsidR="00FA10D4">
        <w:rPr>
          <w:rFonts w:cs="Arial"/>
        </w:rPr>
        <w:t xml:space="preserve"> manually</w:t>
      </w:r>
      <w:r w:rsidRPr="002D2A8F">
        <w:rPr>
          <w:rFonts w:cs="Arial"/>
        </w:rPr>
        <w:t xml:space="preserve">, including potential start-up or shutdown situations, to maintain safe and reliable load levels and voltages on the </w:t>
      </w:r>
      <w:r w:rsidRPr="002D2A8F" w:rsidR="0050068E">
        <w:rPr>
          <w:rFonts w:cs="Arial"/>
        </w:rPr>
        <w:t xml:space="preserve">Electric </w:t>
      </w:r>
      <w:r w:rsidRPr="002D2A8F">
        <w:rPr>
          <w:rFonts w:cs="Arial"/>
        </w:rPr>
        <w:t xml:space="preserve">System. To the extent Seller is required, under this </w:t>
      </w:r>
      <w:r w:rsidRPr="00534192">
        <w:rPr>
          <w:rFonts w:cs="Arial"/>
        </w:rPr>
        <w:t>Section 12.2.</w:t>
      </w:r>
      <w:r w:rsidRPr="00534192" w:rsidR="00DB5389">
        <w:rPr>
          <w:rFonts w:cs="Arial"/>
        </w:rPr>
        <w:t xml:space="preserve">3 </w:t>
      </w:r>
      <w:r w:rsidRPr="00534192">
        <w:rPr>
          <w:rFonts w:cs="Arial"/>
        </w:rPr>
        <w:t>(</w:t>
      </w:r>
      <w:r w:rsidRPr="00534192">
        <w:rPr>
          <w:rFonts w:cs="Arial"/>
          <w:i/>
        </w:rPr>
        <w:t>System Emergency</w:t>
      </w:r>
      <w:r w:rsidRPr="00534192">
        <w:rPr>
          <w:rFonts w:cs="Arial"/>
        </w:rPr>
        <w:t>)</w:t>
      </w:r>
      <w:r w:rsidRPr="002D2A8F">
        <w:rPr>
          <w:rFonts w:cs="Arial"/>
        </w:rPr>
        <w:t xml:space="preserve">, to take any action, or GPC takes any action, which will adversely affect Seller’s ability to meet </w:t>
      </w:r>
      <w:r w:rsidRPr="002D2A8F" w:rsidR="001140B2">
        <w:rPr>
          <w:rFonts w:cs="Arial"/>
        </w:rPr>
        <w:t>the</w:t>
      </w:r>
      <w:r w:rsidRPr="002D2A8F">
        <w:rPr>
          <w:rFonts w:cs="Arial"/>
        </w:rPr>
        <w:t xml:space="preserve"> Performance Metrics, including </w:t>
      </w:r>
      <w:r w:rsidRPr="002D2A8F" w:rsidR="00A36140">
        <w:rPr>
          <w:rFonts w:cs="Arial"/>
        </w:rPr>
        <w:t>d</w:t>
      </w:r>
      <w:r w:rsidRPr="002D2A8F">
        <w:rPr>
          <w:rFonts w:cs="Arial"/>
        </w:rPr>
        <w:t xml:space="preserve">ispatch modified in accordance with </w:t>
      </w:r>
      <w:r w:rsidRPr="00534192">
        <w:rPr>
          <w:rFonts w:cs="Arial"/>
        </w:rPr>
        <w:t>Section 12.2.</w:t>
      </w:r>
      <w:r w:rsidRPr="00534192" w:rsidR="00DB5389">
        <w:rPr>
          <w:rFonts w:cs="Arial"/>
        </w:rPr>
        <w:t>3</w:t>
      </w:r>
      <w:r w:rsidRPr="00534192">
        <w:rPr>
          <w:rFonts w:cs="Arial"/>
        </w:rPr>
        <w:t>(ii) (</w:t>
      </w:r>
      <w:r w:rsidRPr="00534192">
        <w:rPr>
          <w:rFonts w:cs="Arial"/>
          <w:i/>
        </w:rPr>
        <w:t>Cooperation During System Emergency</w:t>
      </w:r>
      <w:r w:rsidRPr="00534192">
        <w:rPr>
          <w:rFonts w:cs="Arial"/>
        </w:rPr>
        <w:t>)</w:t>
      </w:r>
      <w:r w:rsidRPr="002D2A8F">
        <w:rPr>
          <w:rFonts w:cs="Arial"/>
        </w:rPr>
        <w:t>, Seller may</w:t>
      </w:r>
      <w:r w:rsidRPr="002D2A8F" w:rsidDel="0047554E">
        <w:rPr>
          <w:rFonts w:cs="Arial"/>
        </w:rPr>
        <w:t xml:space="preserve"> </w:t>
      </w:r>
      <w:r w:rsidRPr="002D2A8F">
        <w:rPr>
          <w:rFonts w:cs="Arial"/>
        </w:rPr>
        <w:t xml:space="preserve">be excused from meeting GPC’s </w:t>
      </w:r>
      <w:r w:rsidRPr="002D2A8F" w:rsidR="00A36140">
        <w:rPr>
          <w:rFonts w:cs="Arial"/>
        </w:rPr>
        <w:t>AGC Setpoint signals</w:t>
      </w:r>
      <w:r w:rsidRPr="002D2A8F">
        <w:rPr>
          <w:rFonts w:cs="Arial"/>
        </w:rPr>
        <w:t xml:space="preserve"> for purposes of the Performance Metrics calculation</w:t>
      </w:r>
      <w:r w:rsidR="00215640">
        <w:rPr>
          <w:rFonts w:cs="Arial"/>
        </w:rPr>
        <w:t>s</w:t>
      </w:r>
      <w:r w:rsidRPr="002D2A8F">
        <w:rPr>
          <w:rFonts w:cs="Arial"/>
        </w:rPr>
        <w:t>.</w:t>
      </w:r>
    </w:p>
    <w:p w:rsidRPr="002D2A8F" w:rsidR="002D54C4" w:rsidP="00C1276B" w:rsidRDefault="002D54C4" w14:paraId="1A917571" w14:textId="77777777">
      <w:pPr>
        <w:pStyle w:val="zGTC04"/>
        <w:numPr>
          <w:ilvl w:val="3"/>
          <w:numId w:val="8"/>
        </w:numPr>
        <w:tabs>
          <w:tab w:val="num" w:pos="360"/>
        </w:tabs>
        <w:rPr>
          <w:rFonts w:cs="Arial"/>
        </w:rPr>
      </w:pPr>
      <w:r w:rsidRPr="002D2A8F">
        <w:rPr>
          <w:rFonts w:cs="Arial"/>
          <w:b/>
          <w:bCs/>
        </w:rPr>
        <w:t xml:space="preserve">Cooperation During System Emergency. </w:t>
      </w:r>
      <w:r w:rsidRPr="002D2A8F">
        <w:rPr>
          <w:rFonts w:cs="Arial"/>
        </w:rPr>
        <w:t>Seller must cooperate with GPC in establishing System Emergency plans, including recovery from a local or widespread electrical blackout, voltage reduction to effect load curtailment, or other plans that may be necessary or appropriate under the circumstances.</w:t>
      </w:r>
    </w:p>
    <w:p w:rsidRPr="002D2A8F" w:rsidR="002D54C4" w:rsidRDefault="002D54C4" w14:paraId="5A9BF0A6" w14:textId="15E49070">
      <w:pPr>
        <w:pStyle w:val="zGTC02"/>
        <w:rPr>
          <w:rFonts w:ascii="Arial" w:hAnsi="Arial" w:cs="Arial"/>
          <w:vanish/>
          <w:specVanish/>
        </w:rPr>
      </w:pPr>
      <w:bookmarkStart w:name="_Toc169778635" w:id="421"/>
      <w:bookmarkStart w:name="_Toc227451401" w:id="422"/>
      <w:r w:rsidRPr="002D2A8F">
        <w:rPr>
          <w:rFonts w:ascii="Arial" w:hAnsi="Arial" w:cs="Arial"/>
        </w:rPr>
        <w:t>Effect of Grid Emergencies.</w:t>
      </w:r>
      <w:bookmarkStart w:name="_Toc158593239" w:id="423"/>
      <w:bookmarkStart w:name="_Toc158597518" w:id="424"/>
      <w:bookmarkStart w:name="_Toc158720142" w:id="425"/>
      <w:bookmarkStart w:name="_Toc158722896" w:id="426"/>
      <w:bookmarkStart w:name="_Toc158929426" w:id="427"/>
      <w:bookmarkEnd w:id="421"/>
      <w:bookmarkEnd w:id="422"/>
      <w:bookmarkEnd w:id="423"/>
      <w:bookmarkEnd w:id="424"/>
      <w:bookmarkEnd w:id="425"/>
      <w:bookmarkEnd w:id="426"/>
      <w:bookmarkEnd w:id="427"/>
    </w:p>
    <w:p w:rsidRPr="00C2493E" w:rsidR="002D54C4" w:rsidRDefault="002D54C4" w14:paraId="2B6C05A5" w14:textId="1B5602AA">
      <w:pPr>
        <w:pStyle w:val="zGNormal"/>
      </w:pPr>
      <w:r w:rsidRPr="002D2A8F">
        <w:t xml:space="preserve"> The Parties recognize that</w:t>
      </w:r>
      <w:r w:rsidRPr="002D2A8F" w:rsidR="00D60932">
        <w:t>,</w:t>
      </w:r>
      <w:r w:rsidRPr="002D2A8F">
        <w:t xml:space="preserve"> </w:t>
      </w:r>
      <w:r w:rsidRPr="002D2A8F">
        <w:rPr>
          <w:rFonts w:eastAsia="Times New Roman"/>
        </w:rPr>
        <w:t>in accordance with</w:t>
      </w:r>
      <w:r w:rsidRPr="002D2A8F">
        <w:t xml:space="preserve"> the </w:t>
      </w:r>
      <w:r w:rsidR="004878ED">
        <w:t>IA</w:t>
      </w:r>
      <w:r w:rsidRPr="002D2A8F">
        <w:t xml:space="preserve">, Seller may be required to reduce </w:t>
      </w:r>
      <w:r w:rsidR="00DC3B72">
        <w:t xml:space="preserve">the Facility’s </w:t>
      </w:r>
      <w:r w:rsidR="00F2037E">
        <w:t>operational capability</w:t>
      </w:r>
      <w:r w:rsidRPr="002D2A8F" w:rsidR="00F2037E">
        <w:t xml:space="preserve"> </w:t>
      </w:r>
      <w:r w:rsidRPr="002D2A8F">
        <w:t xml:space="preserve">or take </w:t>
      </w:r>
      <w:r w:rsidR="00EC4BF7">
        <w:t>other</w:t>
      </w:r>
      <w:r w:rsidRPr="002D2A8F" w:rsidR="00EC4BF7">
        <w:t xml:space="preserve"> </w:t>
      </w:r>
      <w:r w:rsidRPr="002D2A8F">
        <w:t xml:space="preserve">actions during a </w:t>
      </w:r>
      <w:r w:rsidR="00940521">
        <w:t>g</w:t>
      </w:r>
      <w:r w:rsidRPr="002D2A8F">
        <w:t xml:space="preserve">rid </w:t>
      </w:r>
      <w:r w:rsidR="00940521">
        <w:t>e</w:t>
      </w:r>
      <w:r w:rsidRPr="002D2A8F">
        <w:t>mergency</w:t>
      </w:r>
      <w:r w:rsidR="00553700">
        <w:t>, including</w:t>
      </w:r>
      <w:r w:rsidRPr="002D2A8F">
        <w:t xml:space="preserve"> disconnect</w:t>
      </w:r>
      <w:r w:rsidR="00553700">
        <w:t>ion of</w:t>
      </w:r>
      <w:r w:rsidRPr="002D2A8F">
        <w:t xml:space="preserve"> the Facility from the Southern Company Transmission System</w:t>
      </w:r>
      <w:r w:rsidR="00553700">
        <w:t>,</w:t>
      </w:r>
      <w:r w:rsidRPr="002D2A8F">
        <w:t xml:space="preserve"> to allow mitigation of system problems and repair or maintenance o</w:t>
      </w:r>
      <w:r w:rsidR="00553700">
        <w:t>f</w:t>
      </w:r>
      <w:r w:rsidRPr="002D2A8F">
        <w:t xml:space="preserve"> the Interconnection Facilities or the Southern Company Transmission System.</w:t>
      </w:r>
      <w:r w:rsidRPr="002D2A8F">
        <w:rPr>
          <w:bCs/>
        </w:rPr>
        <w:t xml:space="preserve"> To the extent Seller is required under the </w:t>
      </w:r>
      <w:r w:rsidR="004878ED">
        <w:rPr>
          <w:bCs/>
        </w:rPr>
        <w:t>IA</w:t>
      </w:r>
      <w:r w:rsidRPr="002D2A8F">
        <w:rPr>
          <w:bCs/>
        </w:rPr>
        <w:t xml:space="preserve"> to take any action, other than instances where Seller’s acts or omissions are the cause for the required actions, which will adversely affect Seller’s ability to meet GPC’s </w:t>
      </w:r>
      <w:r w:rsidRPr="002D2A8F" w:rsidR="003B49B8">
        <w:t xml:space="preserve">AGC Setpoint </w:t>
      </w:r>
      <w:r w:rsidRPr="002D2A8F">
        <w:t>signals</w:t>
      </w:r>
      <w:r w:rsidRPr="002D2A8F">
        <w:rPr>
          <w:bCs/>
        </w:rPr>
        <w:t xml:space="preserve">, Seller </w:t>
      </w:r>
      <w:r w:rsidRPr="002D2A8F">
        <w:t>will</w:t>
      </w:r>
      <w:r w:rsidRPr="002D2A8F" w:rsidDel="0047554E">
        <w:rPr>
          <w:bCs/>
        </w:rPr>
        <w:t xml:space="preserve"> </w:t>
      </w:r>
      <w:r w:rsidRPr="002D2A8F">
        <w:rPr>
          <w:bCs/>
        </w:rPr>
        <w:t xml:space="preserve">be excused from meeting GPC’s </w:t>
      </w:r>
      <w:r w:rsidRPr="002D2A8F">
        <w:t xml:space="preserve">AGC </w:t>
      </w:r>
      <w:r w:rsidRPr="00C2493E" w:rsidR="003B49B8">
        <w:t xml:space="preserve">Setpoint </w:t>
      </w:r>
      <w:r w:rsidRPr="00C2493E">
        <w:t>signals</w:t>
      </w:r>
      <w:r w:rsidRPr="00C2493E">
        <w:rPr>
          <w:bCs/>
        </w:rPr>
        <w:t xml:space="preserve"> and, for </w:t>
      </w:r>
      <w:r w:rsidRPr="00C2493E">
        <w:t xml:space="preserve">the purposes of </w:t>
      </w:r>
      <w:r w:rsidRPr="00C2493E" w:rsidR="007C1DBD">
        <w:t>Performance Metrics</w:t>
      </w:r>
      <w:r w:rsidRPr="00C2493E">
        <w:t xml:space="preserve"> calculations, such </w:t>
      </w:r>
      <w:r w:rsidRPr="00C2493E" w:rsidR="0001425E">
        <w:t>AGC intervals</w:t>
      </w:r>
      <w:r w:rsidRPr="00C2493E">
        <w:t xml:space="preserve"> </w:t>
      </w:r>
      <w:r w:rsidRPr="00C2493E" w:rsidR="00A966C7">
        <w:t xml:space="preserve">will </w:t>
      </w:r>
      <w:r w:rsidRPr="00C2493E">
        <w:t>be removed as appropriate</w:t>
      </w:r>
      <w:r w:rsidRPr="00C2493E" w:rsidR="00DA17AF">
        <w:t>.</w:t>
      </w:r>
    </w:p>
    <w:p w:rsidRPr="00C2493E" w:rsidR="002D54C4" w:rsidRDefault="002D54C4" w14:paraId="6A214FA6" w14:textId="77777777">
      <w:pPr>
        <w:pStyle w:val="zGTC02"/>
        <w:rPr>
          <w:rFonts w:ascii="Arial" w:hAnsi="Arial" w:cs="Arial"/>
          <w:vanish/>
          <w:specVanish/>
        </w:rPr>
      </w:pPr>
      <w:bookmarkStart w:name="_Toc156309803" w:id="428"/>
      <w:bookmarkStart w:name="_Toc169778636" w:id="429"/>
      <w:bookmarkStart w:name="_Toc227451402" w:id="430"/>
      <w:r w:rsidRPr="00C2493E">
        <w:rPr>
          <w:rFonts w:ascii="Arial" w:hAnsi="Arial" w:cs="Arial"/>
        </w:rPr>
        <w:t>Effect of Insufficient Capability in the Transmission System.</w:t>
      </w:r>
      <w:bookmarkStart w:name="_Toc158593240" w:id="431"/>
      <w:bookmarkStart w:name="_Toc158597519" w:id="432"/>
      <w:bookmarkStart w:name="_Toc158720143" w:id="433"/>
      <w:bookmarkStart w:name="_Toc158722897" w:id="434"/>
      <w:bookmarkStart w:name="_Toc158929427" w:id="435"/>
      <w:bookmarkEnd w:id="428"/>
      <w:bookmarkEnd w:id="429"/>
      <w:bookmarkEnd w:id="430"/>
      <w:bookmarkEnd w:id="431"/>
      <w:bookmarkEnd w:id="432"/>
      <w:bookmarkEnd w:id="433"/>
      <w:bookmarkEnd w:id="434"/>
      <w:bookmarkEnd w:id="435"/>
    </w:p>
    <w:p w:rsidRPr="00C2493E" w:rsidR="002D54C4" w:rsidRDefault="002D54C4" w14:paraId="1AF982CD" w14:textId="4DB0E642">
      <w:pPr>
        <w:pStyle w:val="zGNormal"/>
      </w:pPr>
      <w:r w:rsidRPr="00C2493E">
        <w:t xml:space="preserve"> If the Southern Company Transmission System is unable to receive </w:t>
      </w:r>
      <w:r w:rsidRPr="00C2493E" w:rsidR="00477F4F">
        <w:t>Discharging Energy</w:t>
      </w:r>
      <w:r w:rsidRPr="00C2493E">
        <w:t xml:space="preserve"> from the Facility, Seller will be excused from meeting GPC’s AGC </w:t>
      </w:r>
      <w:r w:rsidRPr="00C2493E" w:rsidR="00E05E2B">
        <w:t xml:space="preserve">Setpoint </w:t>
      </w:r>
      <w:r w:rsidRPr="00C2493E">
        <w:t>signals</w:t>
      </w:r>
      <w:r w:rsidRPr="00C2493E" w:rsidR="009856A2">
        <w:t>. For purposes of</w:t>
      </w:r>
      <w:r w:rsidRPr="00C2493E" w:rsidDel="00006C71" w:rsidR="009856A2">
        <w:t xml:space="preserve"> </w:t>
      </w:r>
      <w:r w:rsidRPr="00C2493E" w:rsidR="009856A2">
        <w:t xml:space="preserve">Performance Metrics calculations, </w:t>
      </w:r>
      <w:r w:rsidRPr="00C2493E" w:rsidR="00BC1F37">
        <w:t xml:space="preserve">the </w:t>
      </w:r>
      <w:r w:rsidRPr="00C2493E" w:rsidR="0001425E">
        <w:t>AGC intervals</w:t>
      </w:r>
      <w:r w:rsidRPr="00C2493E" w:rsidR="00BC1F37">
        <w:t xml:space="preserve"> </w:t>
      </w:r>
      <w:r w:rsidRPr="00C2493E" w:rsidR="00CC7E86">
        <w:t xml:space="preserve">during which the Southern Company Transmission System was unable to receive </w:t>
      </w:r>
      <w:r w:rsidRPr="00C2493E" w:rsidR="003265A6">
        <w:t>Discharging Energy</w:t>
      </w:r>
      <w:r w:rsidRPr="00C2493E" w:rsidR="00CC7E86">
        <w:t xml:space="preserve"> will be removed. </w:t>
      </w:r>
    </w:p>
    <w:p w:rsidRPr="00C2493E" w:rsidR="002D54C4" w:rsidP="00ED6839" w:rsidRDefault="002D54C4" w14:paraId="711BB0BC" w14:textId="77777777">
      <w:pPr>
        <w:pStyle w:val="zGTC01"/>
        <w:rPr>
          <w:rFonts w:ascii="Arial" w:hAnsi="Arial"/>
        </w:rPr>
      </w:pPr>
      <w:bookmarkStart w:name="_Toc169778637" w:id="436"/>
      <w:bookmarkStart w:name="_Toc227451403" w:id="437"/>
      <w:r w:rsidRPr="00C2493E">
        <w:rPr>
          <w:rFonts w:ascii="Arial" w:hAnsi="Arial"/>
        </w:rPr>
        <w:t>Insurance</w:t>
      </w:r>
      <w:bookmarkEnd w:id="436"/>
      <w:bookmarkEnd w:id="437"/>
    </w:p>
    <w:p w:rsidRPr="00C2493E" w:rsidR="002D54C4" w:rsidRDefault="002D54C4" w14:paraId="4E581A53" w14:textId="75B37EB9">
      <w:pPr>
        <w:pStyle w:val="zGTC02"/>
        <w:rPr>
          <w:rFonts w:ascii="Arial" w:hAnsi="Arial" w:cs="Arial"/>
          <w:vanish/>
          <w:specVanish/>
        </w:rPr>
      </w:pPr>
      <w:bookmarkStart w:name="_Toc169778638" w:id="438"/>
      <w:bookmarkStart w:name="_Toc227451404" w:id="439"/>
      <w:r w:rsidRPr="00C2493E">
        <w:rPr>
          <w:rFonts w:ascii="Arial" w:hAnsi="Arial" w:cs="Arial"/>
        </w:rPr>
        <w:t>Insurance Required of Seller.</w:t>
      </w:r>
      <w:bookmarkStart w:name="_Toc158593242" w:id="440"/>
      <w:bookmarkStart w:name="_Toc158597521" w:id="441"/>
      <w:bookmarkStart w:name="_Toc158720145" w:id="442"/>
      <w:bookmarkStart w:name="_Toc158722899" w:id="443"/>
      <w:bookmarkStart w:name="_Toc158929429" w:id="444"/>
      <w:bookmarkEnd w:id="438"/>
      <w:bookmarkEnd w:id="439"/>
      <w:bookmarkEnd w:id="440"/>
      <w:bookmarkEnd w:id="441"/>
      <w:bookmarkEnd w:id="442"/>
      <w:bookmarkEnd w:id="443"/>
      <w:bookmarkEnd w:id="444"/>
    </w:p>
    <w:p w:rsidRPr="00C2493E" w:rsidR="002D54C4" w:rsidRDefault="002D54C4" w14:paraId="24F6D013" w14:textId="0610C1FB">
      <w:pPr>
        <w:pStyle w:val="zGNormal"/>
      </w:pPr>
      <w:r w:rsidRPr="00C2493E">
        <w:t xml:space="preserve"> Throughout the Term, Seller must acquire and maintain in effect without interruption, at its sole cost and expense, the types and amounts of insurance coverage as are consistent with Prudent Industry Practices, but in no event less than the types and amounts described in this</w:t>
      </w:r>
      <w:r w:rsidRPr="00C2493E" w:rsidDel="006111FC">
        <w:t xml:space="preserve"> </w:t>
      </w:r>
      <w:r w:rsidRPr="00C2493E">
        <w:t xml:space="preserve">Part </w:t>
      </w:r>
      <w:r w:rsidRPr="00C2493E" w:rsidR="00AD2FE5">
        <w:t>1</w:t>
      </w:r>
      <w:r w:rsidRPr="00C2493E" w:rsidR="00533C07">
        <w:t>3</w:t>
      </w:r>
      <w:r w:rsidRPr="00C2493E" w:rsidR="00AD2FE5">
        <w:t xml:space="preserve"> </w:t>
      </w:r>
      <w:r w:rsidRPr="00C2493E">
        <w:t>(</w:t>
      </w:r>
      <w:r w:rsidRPr="00C2493E">
        <w:rPr>
          <w:i/>
        </w:rPr>
        <w:t>Insurance</w:t>
      </w:r>
      <w:r w:rsidRPr="00C2493E">
        <w:t xml:space="preserve">). All insurance must be with insurers: (i) holding an AM Best rating of at least A- VII or equivalent; (ii) whose financial condition and policy forms are acceptable to </w:t>
      </w:r>
      <w:r w:rsidRPr="00C35D64">
        <w:t>GPC</w:t>
      </w:r>
      <w:r w:rsidRPr="00C35D64" w:rsidR="00C35D64">
        <w:t xml:space="preserve"> </w:t>
      </w:r>
      <w:r w:rsidRPr="00C35D64" w:rsidR="008C0B06">
        <w:t>(Seller must not unreasonably withhold requested documents)</w:t>
      </w:r>
      <w:r w:rsidRPr="00C35D64">
        <w:t>; and (iii) authorized to transact insura</w:t>
      </w:r>
      <w:r w:rsidRPr="00C2493E">
        <w:t>nce in the state where the Facility is located.</w:t>
      </w:r>
    </w:p>
    <w:p w:rsidRPr="00C2493E" w:rsidR="002D54C4" w:rsidRDefault="002D54C4" w14:paraId="2B992E4A" w14:textId="77777777">
      <w:pPr>
        <w:pStyle w:val="zGTC02"/>
        <w:rPr>
          <w:rFonts w:ascii="Arial" w:hAnsi="Arial" w:cs="Arial"/>
          <w:vanish/>
          <w:specVanish/>
        </w:rPr>
      </w:pPr>
      <w:bookmarkStart w:name="_Toc169778639" w:id="445"/>
      <w:bookmarkStart w:name="_Toc227451405" w:id="446"/>
      <w:r w:rsidRPr="00C2493E">
        <w:rPr>
          <w:rFonts w:ascii="Arial" w:hAnsi="Arial" w:cs="Arial"/>
        </w:rPr>
        <w:t>Proof of Insurance.</w:t>
      </w:r>
      <w:bookmarkStart w:name="_Toc158593243" w:id="447"/>
      <w:bookmarkStart w:name="_Toc158597522" w:id="448"/>
      <w:bookmarkStart w:name="_Toc158720146" w:id="449"/>
      <w:bookmarkStart w:name="_Toc158722900" w:id="450"/>
      <w:bookmarkStart w:name="_Toc158929430" w:id="451"/>
      <w:bookmarkEnd w:id="445"/>
      <w:bookmarkEnd w:id="446"/>
      <w:bookmarkEnd w:id="447"/>
      <w:bookmarkEnd w:id="448"/>
      <w:bookmarkEnd w:id="449"/>
      <w:bookmarkEnd w:id="450"/>
      <w:bookmarkEnd w:id="451"/>
    </w:p>
    <w:p w:rsidRPr="00C2493E" w:rsidR="002D54C4" w:rsidRDefault="002D54C4" w14:paraId="2E918801" w14:textId="24D6E2B6">
      <w:pPr>
        <w:pStyle w:val="zGNormal"/>
      </w:pPr>
      <w:r w:rsidRPr="00C2493E">
        <w:t xml:space="preserve"> Before the Effective Date and annually after the Effective Date on the </w:t>
      </w:r>
      <w:r w:rsidRPr="00C2493E" w:rsidR="002323E1">
        <w:t>COD</w:t>
      </w:r>
      <w:r w:rsidRPr="00C2493E">
        <w:t xml:space="preserve"> anniversary, Seller must provide to GPC a certificate of insurance certifying Seller’s coverage under insurance policy(ies) issued by an insurance company or insurance companies meeting the requirements </w:t>
      </w:r>
      <w:r w:rsidRPr="00C2493E">
        <w:lastRenderedPageBreak/>
        <w:t xml:space="preserve">of Section </w:t>
      </w:r>
      <w:r w:rsidRPr="00C2493E" w:rsidR="009E64B0">
        <w:t>1</w:t>
      </w:r>
      <w:r w:rsidRPr="00C2493E" w:rsidR="00533C07">
        <w:t>3</w:t>
      </w:r>
      <w:r w:rsidRPr="00C2493E" w:rsidR="009E64B0">
        <w:t>.</w:t>
      </w:r>
      <w:r w:rsidRPr="00C2493E">
        <w:t>1 (</w:t>
      </w:r>
      <w:r w:rsidRPr="00C2493E">
        <w:rPr>
          <w:i/>
        </w:rPr>
        <w:t>Insurance Required of Seller</w:t>
      </w:r>
      <w:r w:rsidRPr="00C2493E">
        <w:t xml:space="preserve">). GPC’s receipt or acceptance, without objection, of a certificate of insurance that does not comply with this Part </w:t>
      </w:r>
      <w:r w:rsidRPr="00C2493E" w:rsidR="002018A5">
        <w:t>1</w:t>
      </w:r>
      <w:r w:rsidRPr="00C2493E" w:rsidR="00533C07">
        <w:t>3</w:t>
      </w:r>
      <w:r w:rsidRPr="00C2493E">
        <w:t xml:space="preserve"> (</w:t>
      </w:r>
      <w:r w:rsidRPr="00C2493E">
        <w:rPr>
          <w:i/>
        </w:rPr>
        <w:t>Insurance</w:t>
      </w:r>
      <w:r w:rsidRPr="00C2493E">
        <w:t xml:space="preserve">) does not operate as GPC’s waiver of Seller’s obligations under the requirements of this Part </w:t>
      </w:r>
      <w:r w:rsidRPr="00C2493E" w:rsidR="002018A5">
        <w:t>1</w:t>
      </w:r>
      <w:r w:rsidRPr="00C2493E" w:rsidR="00533C07">
        <w:t>3</w:t>
      </w:r>
      <w:r w:rsidRPr="00C2493E">
        <w:t xml:space="preserve">. </w:t>
      </w:r>
    </w:p>
    <w:p w:rsidRPr="00C2493E" w:rsidR="002D54C4" w:rsidRDefault="002D54C4" w14:paraId="201B4DE8" w14:textId="77777777">
      <w:pPr>
        <w:pStyle w:val="zGTC02"/>
        <w:rPr>
          <w:rFonts w:ascii="Arial" w:hAnsi="Arial" w:cs="Arial"/>
          <w:vanish/>
          <w:specVanish/>
        </w:rPr>
      </w:pPr>
      <w:bookmarkStart w:name="_Toc169778640" w:id="452"/>
      <w:bookmarkStart w:name="_Toc227451406" w:id="453"/>
      <w:r w:rsidRPr="00C2493E">
        <w:rPr>
          <w:rFonts w:ascii="Arial" w:hAnsi="Arial" w:cs="Arial"/>
        </w:rPr>
        <w:t>General Terms.</w:t>
      </w:r>
      <w:bookmarkStart w:name="_Toc158593244" w:id="454"/>
      <w:bookmarkStart w:name="_Toc158597523" w:id="455"/>
      <w:bookmarkStart w:name="_Toc158720147" w:id="456"/>
      <w:bookmarkStart w:name="_Toc158722901" w:id="457"/>
      <w:bookmarkStart w:name="_Toc158929431" w:id="458"/>
      <w:bookmarkEnd w:id="452"/>
      <w:bookmarkEnd w:id="453"/>
      <w:bookmarkEnd w:id="454"/>
      <w:bookmarkEnd w:id="455"/>
      <w:bookmarkEnd w:id="456"/>
      <w:bookmarkEnd w:id="457"/>
      <w:bookmarkEnd w:id="458"/>
    </w:p>
    <w:p w:rsidRPr="00C2493E" w:rsidR="002D54C4" w:rsidRDefault="002D54C4" w14:paraId="528871F4" w14:textId="333BAE5B">
      <w:pPr>
        <w:pStyle w:val="zGNormal"/>
        <w:rPr>
          <w:b/>
          <w:bCs/>
          <w:u w:val="single"/>
        </w:rPr>
      </w:pPr>
      <w:r w:rsidRPr="00C2493E">
        <w:t xml:space="preserve"> Upon commencement of operation of the Facility, the required insurance coverage must contain a broad form contractual endorsement specifically covering liabilities arising out of or caused by the operation of the Facility or by Seller’s failure to maintain the Facility in satisfactory and safe operating condition. Seller’s insurance must be primary for any activity arising out of this PPA. Insurance or self-insurance maintained by GPC</w:t>
      </w:r>
      <w:r w:rsidRPr="00C2493E" w:rsidDel="00D21BC5">
        <w:t xml:space="preserve"> </w:t>
      </w:r>
      <w:r w:rsidRPr="00C2493E">
        <w:t xml:space="preserve">or other additional insureds is in excess of Seller’s insurance, contingent and non-contributory. To the extent allowed by applicable law, </w:t>
      </w:r>
      <w:r w:rsidR="000D6128">
        <w:t>the GPC</w:t>
      </w:r>
      <w:r w:rsidR="004D389F">
        <w:t>-</w:t>
      </w:r>
      <w:r w:rsidR="000D6128">
        <w:t>Related Parties</w:t>
      </w:r>
      <w:r w:rsidRPr="00C2493E">
        <w:t xml:space="preserve"> must be additional insureds under the commercial general liability policy, auto liability policy and, if applicable, excess/umbrella policy. </w:t>
      </w:r>
      <w:r w:rsidRPr="00C2493E">
        <w:rPr>
          <w:b/>
          <w:u w:val="single"/>
        </w:rPr>
        <w:t>T</w:t>
      </w:r>
      <w:r w:rsidRPr="00C2493E">
        <w:rPr>
          <w:b/>
          <w:bCs/>
          <w:u w:val="single"/>
        </w:rPr>
        <w:t xml:space="preserve">o the extent allowed by applicable law, Seller waives, and must require its insurers to waive, a right of subrogation against </w:t>
      </w:r>
      <w:r w:rsidR="004547AB">
        <w:rPr>
          <w:b/>
          <w:bCs/>
          <w:u w:val="single"/>
        </w:rPr>
        <w:t>the</w:t>
      </w:r>
      <w:r w:rsidR="00EF4404">
        <w:rPr>
          <w:b/>
          <w:bCs/>
          <w:u w:val="single"/>
        </w:rPr>
        <w:t xml:space="preserve"> GPC-Related Parties</w:t>
      </w:r>
      <w:r w:rsidRPr="00C2493E">
        <w:rPr>
          <w:b/>
          <w:bCs/>
          <w:u w:val="single"/>
        </w:rPr>
        <w:t xml:space="preserve"> for the commercial general liability policy, auto liability policy, umbrella policy, </w:t>
      </w:r>
      <w:r w:rsidR="008F564A">
        <w:rPr>
          <w:b/>
          <w:bCs/>
          <w:u w:val="single"/>
        </w:rPr>
        <w:t xml:space="preserve">if applicable, </w:t>
      </w:r>
      <w:r w:rsidRPr="00C2493E">
        <w:rPr>
          <w:b/>
          <w:bCs/>
          <w:u w:val="single"/>
        </w:rPr>
        <w:t>and the workers’ compensation policy.</w:t>
      </w:r>
    </w:p>
    <w:p w:rsidRPr="00C2493E" w:rsidR="002D54C4" w:rsidRDefault="002D54C4" w14:paraId="57889214" w14:textId="77777777">
      <w:pPr>
        <w:pStyle w:val="zGTC02"/>
        <w:rPr>
          <w:rFonts w:ascii="Arial" w:hAnsi="Arial" w:cs="Arial"/>
          <w:vanish/>
          <w:szCs w:val="20"/>
          <w:specVanish/>
        </w:rPr>
      </w:pPr>
      <w:bookmarkStart w:name="_Toc169778641" w:id="459"/>
      <w:bookmarkStart w:name="_Toc227451407" w:id="460"/>
      <w:r w:rsidRPr="00C2493E">
        <w:rPr>
          <w:rFonts w:ascii="Arial" w:hAnsi="Arial" w:cs="Arial"/>
        </w:rPr>
        <w:t>Required Insurance.</w:t>
      </w:r>
      <w:bookmarkStart w:name="_Toc158593245" w:id="461"/>
      <w:bookmarkStart w:name="_Toc158597524" w:id="462"/>
      <w:bookmarkStart w:name="_Toc158720148" w:id="463"/>
      <w:bookmarkStart w:name="_Toc158722902" w:id="464"/>
      <w:bookmarkStart w:name="_Toc158929432" w:id="465"/>
      <w:bookmarkEnd w:id="459"/>
      <w:bookmarkEnd w:id="460"/>
      <w:bookmarkEnd w:id="461"/>
      <w:bookmarkEnd w:id="462"/>
      <w:bookmarkEnd w:id="463"/>
      <w:bookmarkEnd w:id="464"/>
      <w:bookmarkEnd w:id="465"/>
    </w:p>
    <w:p w:rsidRPr="00C2493E" w:rsidR="001A0050" w:rsidP="7DC02BE3" w:rsidRDefault="002D54C4" w14:paraId="0820F1ED" w14:textId="77B6F038">
      <w:pPr>
        <w:pStyle w:val="zGNormal6"/>
        <w:rPr>
          <w:rFonts w:eastAsia="PMingLiU"/>
        </w:rPr>
      </w:pPr>
      <w:r w:rsidRPr="00C2493E">
        <w:rPr>
          <w:rFonts w:eastAsia="PMingLiU"/>
        </w:rPr>
        <w:t xml:space="preserve">  </w:t>
      </w:r>
      <w:r w:rsidRPr="00C2493E">
        <w:t>Seller must acquire and maintain throughout the Term, the following types of insurance:</w:t>
      </w:r>
    </w:p>
    <w:p w:rsidRPr="00C2493E" w:rsidR="002D54C4" w:rsidP="008759EF" w:rsidRDefault="002D54C4" w14:paraId="479A02A2" w14:textId="03DDAFA1">
      <w:pPr>
        <w:pStyle w:val="zGTC03"/>
        <w:rPr>
          <w:rFonts w:eastAsia="PMingLiU" w:cs="Arial"/>
          <w:b/>
          <w:bCs/>
          <w:vanish/>
          <w:specVanish/>
        </w:rPr>
      </w:pPr>
      <w:r w:rsidRPr="00C2493E">
        <w:rPr>
          <w:rFonts w:cs="Arial"/>
          <w:b/>
          <w:bCs/>
        </w:rPr>
        <w:t>Commercial General Liability Insurance.</w:t>
      </w:r>
      <w:bookmarkStart w:name="_Hlk34375558" w:id="466"/>
    </w:p>
    <w:p w:rsidRPr="00C2493E" w:rsidR="001A0050" w:rsidDel="00834E96" w:rsidP="00EB4DE3" w:rsidRDefault="002D54C4" w14:paraId="2AEE4B21" w14:textId="3EF127BD">
      <w:pPr>
        <w:pStyle w:val="zGTC03"/>
        <w:rPr>
          <w:rFonts w:cs="Arial"/>
        </w:rPr>
      </w:pPr>
      <w:r w:rsidRPr="00C2493E">
        <w:rPr>
          <w:rFonts w:cs="Arial"/>
        </w:rPr>
        <w:t xml:space="preserve"> Commercial General Liability insurance providing the following coverage, which can be exceeded by Seller and may be met through a combination of primary insurance and following form excess or umbrella insurance, so long as the combined limits meet requirements of this PPA:</w:t>
      </w:r>
      <w:bookmarkStart w:name="_Hlk34375577" w:id="467"/>
      <w:bookmarkEnd w:id="466"/>
    </w:p>
    <w:p w:rsidRPr="00C2493E" w:rsidR="005132DA" w:rsidP="00834E96" w:rsidRDefault="002D54C4" w14:paraId="72C6D7F3" w14:textId="5A925C4E">
      <w:pPr>
        <w:pStyle w:val="zGTC04"/>
      </w:pPr>
      <w:r w:rsidRPr="004F3C11">
        <w:rPr>
          <w:b/>
        </w:rPr>
        <w:t>General Requirements</w:t>
      </w:r>
      <w:r w:rsidRPr="00C2493E">
        <w:t>. Commercial general liability insurance in an “occurrence” form with bodily injury and property damage combined liability limits of not less than twenty million dollars ($20,000,000.00) per occurrence</w:t>
      </w:r>
      <w:r w:rsidR="00E63E46">
        <w:t xml:space="preserve"> and in the aggregate</w:t>
      </w:r>
      <w:r w:rsidRPr="00C2493E">
        <w:t>, except that: (i) Seller may use any combination of primary or excess policies to satisfy the overall limit requirements; and (ii) if Seller uses a “claims-made” policy, it must maintain continuous coverage in effect for at least five years beyond termination of this PPA, through continuous renewal of the original policy or by purchasing extended discovery period or retroactive insurance dated back to the Effective Date of this PPA.</w:t>
      </w:r>
      <w:bookmarkEnd w:id="467"/>
      <w:r w:rsidRPr="00C2493E" w:rsidR="00F940A1">
        <w:t xml:space="preserve"> </w:t>
      </w:r>
    </w:p>
    <w:p w:rsidRPr="00C2493E" w:rsidR="00F940A1" w:rsidP="00834E96" w:rsidRDefault="005132DA" w14:paraId="30B65060" w14:textId="08E76575">
      <w:pPr>
        <w:pStyle w:val="zGTC04"/>
      </w:pPr>
      <w:r w:rsidRPr="004F3C11">
        <w:rPr>
          <w:b/>
        </w:rPr>
        <w:t>Additional Requirements</w:t>
      </w:r>
      <w:r w:rsidRPr="00C2493E">
        <w:t>. Specific coverage for broad form contractual liability and a separation of insureds provision.</w:t>
      </w:r>
    </w:p>
    <w:p w:rsidRPr="0024167C" w:rsidR="00E11EDA" w:rsidP="0024167C" w:rsidRDefault="002D54C4" w14:paraId="2BB9DAE9" w14:textId="77777777">
      <w:pPr>
        <w:pStyle w:val="zGTC03"/>
        <w:numPr>
          <w:ilvl w:val="2"/>
          <w:numId w:val="64"/>
        </w:numPr>
        <w:rPr>
          <w:vanish/>
          <w:specVanish/>
        </w:rPr>
      </w:pPr>
      <w:bookmarkStart w:name="_Toc169778642" w:id="468"/>
      <w:r w:rsidRPr="0024167C" w:rsidDel="00687679">
        <w:rPr>
          <w:b/>
        </w:rPr>
        <w:t>Additional Insurance</w:t>
      </w:r>
      <w:r w:rsidRPr="00C2493E" w:rsidDel="00687679">
        <w:t>.</w:t>
      </w:r>
      <w:bookmarkEnd w:id="468"/>
      <w:r w:rsidRPr="00C2493E">
        <w:t xml:space="preserve"> </w:t>
      </w:r>
    </w:p>
    <w:p w:rsidRPr="00C2493E" w:rsidR="002D54C4" w:rsidP="00E11EDA" w:rsidRDefault="00E11EDA" w14:paraId="5DEDD9D4" w14:textId="1FA8066D">
      <w:pPr>
        <w:pStyle w:val="zGNormal"/>
      </w:pPr>
      <w:r w:rsidRPr="00C2493E">
        <w:t xml:space="preserve"> </w:t>
      </w:r>
      <w:r w:rsidRPr="00C2493E" w:rsidDel="00687679" w:rsidR="002D54C4">
        <w:t xml:space="preserve">In addition to the </w:t>
      </w:r>
      <w:r w:rsidR="00055788">
        <w:t xml:space="preserve">other </w:t>
      </w:r>
      <w:r w:rsidRPr="00C2493E" w:rsidDel="00687679" w:rsidR="002D54C4">
        <w:t xml:space="preserve">requirements in Sections 13.1 </w:t>
      </w:r>
      <w:r w:rsidR="00636D4D">
        <w:t>(</w:t>
      </w:r>
      <w:r w:rsidR="00636D4D">
        <w:rPr>
          <w:i/>
          <w:iCs/>
        </w:rPr>
        <w:t>Insurance Required of Seller</w:t>
      </w:r>
      <w:r w:rsidR="00636D4D">
        <w:t xml:space="preserve">) </w:t>
      </w:r>
      <w:r w:rsidRPr="00C2493E" w:rsidDel="00687679" w:rsidR="002D54C4">
        <w:t>through 13.4</w:t>
      </w:r>
      <w:r w:rsidR="00636D4D">
        <w:t xml:space="preserve"> (</w:t>
      </w:r>
      <w:r w:rsidR="00041425">
        <w:rPr>
          <w:i/>
          <w:iCs/>
        </w:rPr>
        <w:t>Required</w:t>
      </w:r>
      <w:r w:rsidR="00636D4D">
        <w:rPr>
          <w:i/>
          <w:iCs/>
        </w:rPr>
        <w:t xml:space="preserve"> Insurance</w:t>
      </w:r>
      <w:r w:rsidR="00636D4D">
        <w:t>)</w:t>
      </w:r>
      <w:r w:rsidRPr="00C2493E" w:rsidDel="00687679" w:rsidR="002D54C4">
        <w:t>, Seller must acquire and maintain throughout the Term, the following additional types of insurance:</w:t>
      </w:r>
      <w:bookmarkStart w:name="_Toc158593246" w:id="469"/>
      <w:bookmarkStart w:name="_Toc158597525" w:id="470"/>
      <w:bookmarkStart w:name="_Toc158720149" w:id="471"/>
      <w:bookmarkStart w:name="_Toc158722903" w:id="472"/>
      <w:bookmarkStart w:name="_Toc158929433" w:id="473"/>
      <w:bookmarkEnd w:id="469"/>
      <w:bookmarkEnd w:id="470"/>
      <w:bookmarkEnd w:id="471"/>
      <w:bookmarkEnd w:id="472"/>
      <w:bookmarkEnd w:id="473"/>
    </w:p>
    <w:p w:rsidRPr="00C2493E" w:rsidR="002D54C4" w:rsidP="00E04D3A" w:rsidRDefault="002D54C4" w14:paraId="08CA8F22" w14:textId="132998D9">
      <w:pPr>
        <w:pStyle w:val="zGTC04"/>
        <w:rPr>
          <w:vanish/>
          <w:specVanish/>
        </w:rPr>
      </w:pPr>
      <w:r w:rsidRPr="00C2493E">
        <w:rPr>
          <w:rFonts w:cs="Arial"/>
          <w:b/>
        </w:rPr>
        <w:t>Workers’ Compensation</w:t>
      </w:r>
      <w:r w:rsidRPr="00C2493E">
        <w:t>.</w:t>
      </w:r>
      <w:bookmarkStart w:name="_Hlk34375646" w:id="474"/>
    </w:p>
    <w:p w:rsidRPr="00C2493E" w:rsidR="002D54C4" w:rsidRDefault="002D54C4" w14:paraId="5DE1BB28" w14:textId="016BA487">
      <w:pPr>
        <w:pStyle w:val="zGNormal"/>
      </w:pPr>
      <w:r w:rsidRPr="00C2493E">
        <w:t xml:space="preserve"> Workers’ compensation insurance in accordance with statutory requirements, including employer’s liability insurance, with limits not less than one million dollars ($1,000,000.00) per occurrence </w:t>
      </w:r>
      <w:r w:rsidRPr="00BD113B" w:rsidR="004F393E">
        <w:t xml:space="preserve">and in the aggregate, </w:t>
      </w:r>
      <w:r w:rsidRPr="00C2493E">
        <w:t>and endorsement providing insurance for obligations under the U.S. Longshoremen’s and Harbor Worker’s Compensation Act and the Jones Act, where applicable.</w:t>
      </w:r>
      <w:bookmarkEnd w:id="474"/>
    </w:p>
    <w:p w:rsidRPr="00C2493E" w:rsidR="002D54C4" w:rsidP="00E04D3A" w:rsidRDefault="002D54C4" w14:paraId="37D5C306" w14:textId="72C206EE">
      <w:pPr>
        <w:pStyle w:val="zGTC04"/>
        <w:rPr>
          <w:vanish/>
          <w:specVanish/>
        </w:rPr>
      </w:pPr>
      <w:r w:rsidRPr="00C2493E">
        <w:rPr>
          <w:rFonts w:cs="Arial"/>
          <w:b/>
        </w:rPr>
        <w:t>Auto Liability</w:t>
      </w:r>
      <w:r w:rsidRPr="00C2493E">
        <w:t>.</w:t>
      </w:r>
      <w:bookmarkStart w:name="_Hlk34375667" w:id="475"/>
    </w:p>
    <w:p w:rsidRPr="00C2493E" w:rsidR="002D54C4" w:rsidRDefault="002D54C4" w14:paraId="1EA7A0B0" w14:textId="77777777">
      <w:pPr>
        <w:pStyle w:val="zGNormal"/>
      </w:pPr>
      <w:r w:rsidRPr="00C2493E">
        <w:rPr>
          <w:b/>
        </w:rPr>
        <w:t xml:space="preserve"> </w:t>
      </w:r>
      <w:r w:rsidRPr="00C2493E">
        <w:t>Automobile liability insurance including owned, non-owned, and hired automobiles with combined bodily injury and property damage limits of at least two million dollars ($2,000,000.00).</w:t>
      </w:r>
      <w:bookmarkEnd w:id="475"/>
    </w:p>
    <w:p w:rsidRPr="00C2493E" w:rsidR="002D54C4" w:rsidP="00E04D3A" w:rsidRDefault="002D54C4" w14:paraId="1FCC3BCF" w14:textId="307AAC30">
      <w:pPr>
        <w:pStyle w:val="zGTC04"/>
        <w:rPr>
          <w:vanish/>
          <w:specVanish/>
        </w:rPr>
      </w:pPr>
      <w:r w:rsidRPr="00C2493E">
        <w:rPr>
          <w:rFonts w:cs="Arial"/>
          <w:b/>
        </w:rPr>
        <w:t>Pollution Liability</w:t>
      </w:r>
      <w:r w:rsidRPr="00C2493E">
        <w:t>.</w:t>
      </w:r>
      <w:bookmarkStart w:name="_Hlk34375730" w:id="476"/>
    </w:p>
    <w:p w:rsidRPr="00C2493E" w:rsidR="002D54C4" w:rsidRDefault="002D54C4" w14:paraId="791F2CB1" w14:textId="28632203">
      <w:pPr>
        <w:pStyle w:val="zGNormal"/>
      </w:pPr>
      <w:r w:rsidRPr="00C2493E">
        <w:rPr>
          <w:b/>
        </w:rPr>
        <w:t xml:space="preserve"> </w:t>
      </w:r>
      <w:r w:rsidRPr="00C2493E">
        <w:t>Coverage for bodily injury, property damage, including clean-up costs and defense costs resulting from sudden, accidental, or gradual pollution conditions, including the discharge, dispersal, release or escape of smoke, vapors, soot, fumes, acids, alkalis, toxic chemicals, hydrocarbons, liquids or gases, waste materials or other irritants, contaminants or pollutants into or upon land, the atmosphere or any water course or body of water will</w:t>
      </w:r>
      <w:r w:rsidRPr="00C2493E" w:rsidDel="0047554E">
        <w:t xml:space="preserve"> </w:t>
      </w:r>
      <w:r w:rsidRPr="00C2493E">
        <w:t xml:space="preserve">be maintained, with limits not less than </w:t>
      </w:r>
      <w:r w:rsidRPr="00C2493E" w:rsidR="00D9199C">
        <w:t xml:space="preserve">five </w:t>
      </w:r>
      <w:r w:rsidRPr="00C2493E">
        <w:t>million dollars ($</w:t>
      </w:r>
      <w:r w:rsidRPr="00C2493E" w:rsidR="00D9199C">
        <w:t>5</w:t>
      </w:r>
      <w:r w:rsidRPr="00C2493E">
        <w:t>,000,000.00) per occurrence or claim, except that, if Seller uses a “claims-made” policy, the policy must maintain continuous coverage in effect for at least five years beyond termination of this PPA through continuous renewal of the original policy or by purchasing extended discovery period retroactive insurance dated back to the Effective Date of this PPA.</w:t>
      </w:r>
      <w:bookmarkEnd w:id="476"/>
      <w:r w:rsidR="004F393E">
        <w:t xml:space="preserve"> </w:t>
      </w:r>
      <w:r w:rsidRPr="00BD113B" w:rsidR="004F393E">
        <w:t>Seller may meet the requirements under this Section 13.</w:t>
      </w:r>
      <w:r w:rsidR="00887359">
        <w:t>4</w:t>
      </w:r>
      <w:r w:rsidRPr="00BD113B" w:rsidR="004F393E">
        <w:t>.</w:t>
      </w:r>
      <w:r w:rsidR="00887359">
        <w:t>2</w:t>
      </w:r>
      <w:r w:rsidR="00830D7E">
        <w:t>(iii)</w:t>
      </w:r>
      <w:r w:rsidRPr="00BD113B" w:rsidR="004F393E">
        <w:t xml:space="preserve"> (</w:t>
      </w:r>
      <w:r w:rsidRPr="00BD113B" w:rsidR="004F393E">
        <w:rPr>
          <w:i/>
          <w:iCs/>
        </w:rPr>
        <w:t>Pollution Liability</w:t>
      </w:r>
      <w:r w:rsidRPr="00BD113B" w:rsidR="004F393E">
        <w:t xml:space="preserve">) through sudden or </w:t>
      </w:r>
      <w:r w:rsidRPr="00BD113B" w:rsidR="004F393E">
        <w:lastRenderedPageBreak/>
        <w:t>accidental pollution coverage as part of the insurance required under Section 13.4.1 (</w:t>
      </w:r>
      <w:r w:rsidRPr="00BD113B" w:rsidR="004F393E">
        <w:rPr>
          <w:i/>
          <w:iCs/>
        </w:rPr>
        <w:t>Commercial General Liability Insurance</w:t>
      </w:r>
      <w:r w:rsidRPr="00BD113B" w:rsidR="004F393E">
        <w:t>).</w:t>
      </w:r>
    </w:p>
    <w:p w:rsidRPr="00C2493E" w:rsidR="002D54C4" w:rsidP="00E04D3A" w:rsidRDefault="002D54C4" w14:paraId="3C0280DB" w14:textId="5A2A1BD7">
      <w:pPr>
        <w:pStyle w:val="zGTC04"/>
        <w:rPr>
          <w:vanish/>
          <w:specVanish/>
        </w:rPr>
      </w:pPr>
      <w:r w:rsidRPr="00C2493E">
        <w:rPr>
          <w:rFonts w:cs="Arial"/>
          <w:b/>
        </w:rPr>
        <w:t>All Risk Property</w:t>
      </w:r>
      <w:r w:rsidRPr="00C2493E">
        <w:t>.</w:t>
      </w:r>
    </w:p>
    <w:p w:rsidRPr="00C2493E" w:rsidR="002D54C4" w:rsidRDefault="002D54C4" w14:paraId="47162375" w14:textId="77777777">
      <w:pPr>
        <w:pStyle w:val="zGNormal"/>
      </w:pPr>
      <w:r w:rsidRPr="00C2493E">
        <w:rPr>
          <w:b/>
        </w:rPr>
        <w:t xml:space="preserve"> </w:t>
      </w:r>
      <w:r w:rsidRPr="00C2493E">
        <w:t>Replacement cost of the Facility. A deductible may be carried, which will be the absolute responsibility of Seller.</w:t>
      </w:r>
    </w:p>
    <w:p w:rsidRPr="00C2493E" w:rsidR="002D54C4" w:rsidP="00E04D3A" w:rsidRDefault="002D54C4" w14:paraId="375B0770" w14:textId="77777777">
      <w:pPr>
        <w:pStyle w:val="zGTC04"/>
        <w:rPr>
          <w:rFonts w:cs="Arial"/>
          <w:vanish/>
          <w:specVanish/>
        </w:rPr>
      </w:pPr>
      <w:r w:rsidRPr="00C2493E">
        <w:rPr>
          <w:rFonts w:cs="Arial"/>
          <w:b/>
        </w:rPr>
        <w:t>Umbrella/Excess</w:t>
      </w:r>
      <w:r w:rsidRPr="00C2493E">
        <w:t>.</w:t>
      </w:r>
      <w:r w:rsidRPr="00C2493E">
        <w:rPr>
          <w:rFonts w:cs="Arial"/>
        </w:rPr>
        <w:t xml:space="preserve"> </w:t>
      </w:r>
    </w:p>
    <w:p w:rsidRPr="00C2493E" w:rsidR="002D54C4" w:rsidRDefault="002D54C4" w14:paraId="3A39158D" w14:textId="26A5831B">
      <w:pPr>
        <w:pStyle w:val="zGNormal"/>
      </w:pPr>
      <w:r w:rsidRPr="00C2493E">
        <w:t xml:space="preserve"> </w:t>
      </w:r>
      <w:r w:rsidRPr="00C2493E">
        <w:rPr>
          <w:rFonts w:eastAsia="PMingLiU"/>
        </w:rPr>
        <w:t xml:space="preserve">Umbrella/Excess Liability Insurance on an occurrence basis in excess of the underlying insurance identified in </w:t>
      </w:r>
      <w:r w:rsidR="00E26FCF">
        <w:rPr>
          <w:rFonts w:eastAsia="PMingLiU"/>
        </w:rPr>
        <w:t xml:space="preserve">this </w:t>
      </w:r>
      <w:r w:rsidRPr="00C2493E">
        <w:rPr>
          <w:rFonts w:eastAsia="PMingLiU"/>
        </w:rPr>
        <w:t>Section 13.4 (</w:t>
      </w:r>
      <w:r w:rsidRPr="00C2493E">
        <w:rPr>
          <w:rFonts w:eastAsia="PMingLiU"/>
          <w:i/>
        </w:rPr>
        <w:t>Required Insurance</w:t>
      </w:r>
      <w:r w:rsidRPr="00C2493E">
        <w:rPr>
          <w:rFonts w:eastAsia="PMingLiU"/>
        </w:rPr>
        <w:t xml:space="preserve">), </w:t>
      </w:r>
      <w:r w:rsidR="008A0D31">
        <w:rPr>
          <w:rFonts w:eastAsia="PMingLiU"/>
        </w:rPr>
        <w:t xml:space="preserve">except for workers’ compensation, </w:t>
      </w:r>
      <w:r w:rsidRPr="00C2493E">
        <w:rPr>
          <w:rFonts w:eastAsia="PMingLiU"/>
        </w:rPr>
        <w:t>and which is at least as broad as each and every one of the underlying policies. The umbrella/excess liability policy must be written on a “drop-down-following form” basis. The amounts of insurance required may be satisfied by Seller purchasing coverage for the limits specified or by any combination of underlying and umbrella limits, so long as the total amount of insurance is not less than twenty million dollars ($20,000,000) any one occurrence and annually reinstating general aggregate.</w:t>
      </w:r>
    </w:p>
    <w:p w:rsidRPr="00C2493E" w:rsidR="002D54C4" w:rsidRDefault="002D54C4" w14:paraId="3AFC8F1A" w14:textId="77777777">
      <w:pPr>
        <w:pStyle w:val="zGTC02"/>
        <w:rPr>
          <w:rFonts w:ascii="Arial" w:hAnsi="Arial" w:cs="Arial"/>
          <w:vanish/>
          <w:specVanish/>
        </w:rPr>
      </w:pPr>
      <w:bookmarkStart w:name="_Toc169778643" w:id="477"/>
      <w:bookmarkStart w:name="_Toc227451408" w:id="478"/>
      <w:r w:rsidRPr="00C2493E">
        <w:rPr>
          <w:rFonts w:ascii="Arial" w:hAnsi="Arial" w:cs="Arial"/>
        </w:rPr>
        <w:t>Notice of Change or Cancellation.</w:t>
      </w:r>
      <w:bookmarkStart w:name="_Toc158593247" w:id="479"/>
      <w:bookmarkStart w:name="_Toc158597526" w:id="480"/>
      <w:bookmarkStart w:name="_Toc158720150" w:id="481"/>
      <w:bookmarkStart w:name="_Toc158722904" w:id="482"/>
      <w:bookmarkStart w:name="_Toc158929434" w:id="483"/>
      <w:bookmarkEnd w:id="477"/>
      <w:bookmarkEnd w:id="478"/>
      <w:bookmarkEnd w:id="479"/>
      <w:bookmarkEnd w:id="480"/>
      <w:bookmarkEnd w:id="481"/>
      <w:bookmarkEnd w:id="482"/>
      <w:bookmarkEnd w:id="483"/>
    </w:p>
    <w:p w:rsidRPr="00C2493E" w:rsidR="002D54C4" w:rsidRDefault="002D54C4" w14:paraId="060A99DD" w14:textId="77777777">
      <w:pPr>
        <w:pStyle w:val="zGNormal"/>
      </w:pPr>
      <w:r w:rsidRPr="00C2493E">
        <w:t xml:space="preserve"> </w:t>
      </w:r>
      <w:bookmarkStart w:name="_Hlk34375774" w:id="484"/>
      <w:r w:rsidRPr="00C2493E">
        <w:t>The required insurance policies will be endorsed with a provision requiring the insurance company to notify GPC</w:t>
      </w:r>
      <w:r w:rsidRPr="00C2493E" w:rsidDel="00D21BC5">
        <w:t xml:space="preserve"> </w:t>
      </w:r>
      <w:r w:rsidRPr="00C2493E">
        <w:t>at least 30 Days prior to the effective date of any cancellation, except for a 10 Days’ notice for nonpayment of premium. If notice of cancellation is only commercially available to Seller’s attention, then Seller will forward the 30-Day (or, for non-payment of premium, 10 Days’</w:t>
      </w:r>
      <w:r w:rsidRPr="00C2493E" w:rsidDel="00D93CE4">
        <w:t>)</w:t>
      </w:r>
      <w:r w:rsidRPr="00C2493E">
        <w:t xml:space="preserve"> advance notice to GPC</w:t>
      </w:r>
      <w:r w:rsidRPr="00C2493E" w:rsidDel="00D21BC5">
        <w:t xml:space="preserve"> </w:t>
      </w:r>
      <w:r w:rsidRPr="00C2493E">
        <w:t>immediately upon receipt. Furthermore, Seller agrees to notify GPC</w:t>
      </w:r>
      <w:r w:rsidRPr="00C2493E" w:rsidDel="00D21BC5">
        <w:t xml:space="preserve"> </w:t>
      </w:r>
      <w:r w:rsidRPr="00C2493E">
        <w:t>at least 30 Days before the effective date of any known material change in a required policy.</w:t>
      </w:r>
      <w:bookmarkEnd w:id="484"/>
    </w:p>
    <w:p w:rsidRPr="00C2493E" w:rsidR="002D54C4" w:rsidRDefault="002D54C4" w14:paraId="5FBD565A" w14:textId="77777777">
      <w:pPr>
        <w:pStyle w:val="zGTC02"/>
        <w:rPr>
          <w:rFonts w:ascii="Arial" w:hAnsi="Arial" w:cs="Arial"/>
          <w:vanish/>
          <w:specVanish/>
        </w:rPr>
      </w:pPr>
      <w:bookmarkStart w:name="_Toc169778644" w:id="485"/>
      <w:bookmarkStart w:name="_Toc227451409" w:id="486"/>
      <w:r w:rsidRPr="00C2493E">
        <w:rPr>
          <w:rFonts w:ascii="Arial" w:hAnsi="Arial" w:cs="Arial"/>
        </w:rPr>
        <w:t>Payment of Premiums.</w:t>
      </w:r>
      <w:bookmarkStart w:name="_Toc158593248" w:id="487"/>
      <w:bookmarkStart w:name="_Toc158597527" w:id="488"/>
      <w:bookmarkStart w:name="_Toc158720151" w:id="489"/>
      <w:bookmarkStart w:name="_Toc158722905" w:id="490"/>
      <w:bookmarkStart w:name="_Toc158929435" w:id="491"/>
      <w:bookmarkEnd w:id="485"/>
      <w:bookmarkEnd w:id="486"/>
      <w:bookmarkEnd w:id="487"/>
      <w:bookmarkEnd w:id="488"/>
      <w:bookmarkEnd w:id="489"/>
      <w:bookmarkEnd w:id="490"/>
      <w:bookmarkEnd w:id="491"/>
    </w:p>
    <w:p w:rsidRPr="00C2493E" w:rsidR="002D54C4" w:rsidRDefault="002D54C4" w14:paraId="7DA694D5" w14:textId="7E1C91B8">
      <w:pPr>
        <w:pStyle w:val="zGNormal"/>
      </w:pPr>
      <w:r w:rsidRPr="00C2493E">
        <w:t xml:space="preserve"> </w:t>
      </w:r>
      <w:bookmarkStart w:name="_Hlk34375808" w:id="492"/>
      <w:r w:rsidRPr="00C2493E">
        <w:t>Seller</w:t>
      </w:r>
      <w:r w:rsidRPr="00C2493E" w:rsidDel="00D05090">
        <w:t xml:space="preserve"> </w:t>
      </w:r>
      <w:r w:rsidRPr="00C2493E">
        <w:t>must pay all premiums and other charges due on each insurance policy and will keep all coverage in force throughout the Term.</w:t>
      </w:r>
      <w:bookmarkEnd w:id="492"/>
      <w:r w:rsidR="00BD5FE5">
        <w:t xml:space="preserve"> </w:t>
      </w:r>
      <w:r w:rsidRPr="00FA49B1" w:rsidR="00BD5FE5">
        <w:t>If Seller fails to pay any premium, GPC may (but will not have any obligation), in GPC’s sole discretion, elect to pay the premiums on Seller’s behalf and withhold any amount paid from any amount due to Seller under this PPA.</w:t>
      </w:r>
    </w:p>
    <w:p w:rsidRPr="00C2493E" w:rsidR="002D54C4" w:rsidRDefault="002D54C4" w14:paraId="7AA89CEC" w14:textId="77777777">
      <w:pPr>
        <w:pStyle w:val="zGTC02"/>
        <w:rPr>
          <w:rFonts w:ascii="Arial" w:hAnsi="Arial" w:cs="Arial"/>
          <w:vanish/>
          <w:specVanish/>
        </w:rPr>
      </w:pPr>
      <w:bookmarkStart w:name="_Toc169778645" w:id="493"/>
      <w:bookmarkStart w:name="_Toc227451410" w:id="494"/>
      <w:r w:rsidRPr="00C2493E">
        <w:rPr>
          <w:rFonts w:ascii="Arial" w:hAnsi="Arial" w:cs="Arial"/>
        </w:rPr>
        <w:t>No Waiver of Liability.</w:t>
      </w:r>
      <w:bookmarkStart w:name="_Toc158593249" w:id="495"/>
      <w:bookmarkStart w:name="_Toc158597528" w:id="496"/>
      <w:bookmarkStart w:name="_Toc158720152" w:id="497"/>
      <w:bookmarkStart w:name="_Toc158722906" w:id="498"/>
      <w:bookmarkStart w:name="_Toc158929436" w:id="499"/>
      <w:bookmarkEnd w:id="493"/>
      <w:bookmarkEnd w:id="494"/>
      <w:bookmarkEnd w:id="495"/>
      <w:bookmarkEnd w:id="496"/>
      <w:bookmarkEnd w:id="497"/>
      <w:bookmarkEnd w:id="498"/>
      <w:bookmarkEnd w:id="499"/>
    </w:p>
    <w:p w:rsidRPr="00C2493E" w:rsidR="002D54C4" w:rsidRDefault="002D54C4" w14:paraId="3198F927" w14:textId="77777777">
      <w:pPr>
        <w:pStyle w:val="zGNormal"/>
      </w:pPr>
      <w:r w:rsidRPr="00C2493E">
        <w:t xml:space="preserve"> </w:t>
      </w:r>
      <w:bookmarkStart w:name="_Hlk34375832" w:id="500"/>
      <w:r w:rsidRPr="00C2493E">
        <w:t>The provisions requiring Seller to acquire and maintain insurance under this PPA will not be construed as a waiver, restriction, or limitation of any liability imposed on Seller under this PPA, whether</w:t>
      </w:r>
      <w:r w:rsidRPr="00C2493E" w:rsidDel="00822592">
        <w:t xml:space="preserve"> </w:t>
      </w:r>
      <w:r w:rsidRPr="00C2493E">
        <w:t>the</w:t>
      </w:r>
      <w:r w:rsidRPr="00C2493E" w:rsidDel="00822592">
        <w:t xml:space="preserve"> </w:t>
      </w:r>
      <w:r w:rsidRPr="00C2493E">
        <w:t>liability is covered by insurance. It is the intent of the Parties, however, that to the extent there is insurance coverage available to cover the legal or contractually assumed liability of Seller, any payments due because of such liability will be made first from the proceeds of such policies.</w:t>
      </w:r>
      <w:bookmarkEnd w:id="500"/>
    </w:p>
    <w:p w:rsidRPr="00C2493E" w:rsidR="002D54C4" w:rsidP="00ED6839" w:rsidRDefault="002D54C4" w14:paraId="549B2AE7" w14:textId="77777777">
      <w:pPr>
        <w:pStyle w:val="zGTC01"/>
        <w:rPr>
          <w:rFonts w:ascii="Arial" w:hAnsi="Arial"/>
          <w:szCs w:val="20"/>
        </w:rPr>
      </w:pPr>
      <w:bookmarkStart w:name="_Toc169778646" w:id="501"/>
      <w:bookmarkStart w:name="_Toc227451411" w:id="502"/>
      <w:r w:rsidRPr="00C2493E">
        <w:rPr>
          <w:rFonts w:ascii="Arial" w:hAnsi="Arial"/>
        </w:rPr>
        <w:t>Risk and Claims</w:t>
      </w:r>
      <w:bookmarkEnd w:id="501"/>
      <w:bookmarkEnd w:id="502"/>
    </w:p>
    <w:p w:rsidRPr="00C2493E" w:rsidR="002D54C4" w:rsidRDefault="002D54C4" w14:paraId="5FC9C2AC" w14:textId="77777777">
      <w:pPr>
        <w:pStyle w:val="zGTC02"/>
        <w:rPr>
          <w:rFonts w:ascii="Arial" w:hAnsi="Arial" w:cs="Arial"/>
          <w:vanish/>
          <w:specVanish/>
        </w:rPr>
      </w:pPr>
      <w:bookmarkStart w:name="_Toc169778647" w:id="503"/>
      <w:bookmarkStart w:name="_Toc227451412" w:id="504"/>
      <w:r w:rsidRPr="00C2493E">
        <w:rPr>
          <w:rFonts w:ascii="Arial" w:hAnsi="Arial" w:cs="Arial"/>
        </w:rPr>
        <w:t>Liability for Facility.</w:t>
      </w:r>
      <w:bookmarkStart w:name="_Toc158593251" w:id="505"/>
      <w:bookmarkStart w:name="_Toc158597530" w:id="506"/>
      <w:bookmarkStart w:name="_Toc158720154" w:id="507"/>
      <w:bookmarkStart w:name="_Toc158722908" w:id="508"/>
      <w:bookmarkStart w:name="_Toc158929438" w:id="509"/>
      <w:bookmarkEnd w:id="503"/>
      <w:bookmarkEnd w:id="504"/>
      <w:bookmarkEnd w:id="505"/>
      <w:bookmarkEnd w:id="506"/>
      <w:bookmarkEnd w:id="507"/>
      <w:bookmarkEnd w:id="508"/>
      <w:bookmarkEnd w:id="509"/>
    </w:p>
    <w:p w:rsidRPr="00C2493E" w:rsidR="002D54C4" w:rsidRDefault="002D54C4" w14:paraId="5A3E29C2" w14:textId="4907C958">
      <w:pPr>
        <w:pStyle w:val="zGNormal"/>
      </w:pPr>
      <w:r w:rsidRPr="00C2493E">
        <w:t xml:space="preserve"> </w:t>
      </w:r>
      <w:r w:rsidRPr="00C2493E">
        <w:rPr>
          <w:b/>
          <w:bCs/>
          <w:u w:val="single"/>
        </w:rPr>
        <w:t>As between the Parties, Seller retains all liability and risk regarding the Facility and the Site. GPC: (i) assumes no duty, responsibility, obligation, or liability regarding Facility or Site condition or operation; (ii) is not liable for injury or damage associated with the Site or the Facility (including its operation, maintenance, repair, or replacement); and (iii) is not responsible for transmission, distribution, or control of electric energy within the Site or at the Facility.</w:t>
      </w:r>
      <w:r w:rsidR="00585643">
        <w:rPr>
          <w:b/>
          <w:bCs/>
          <w:u w:val="single"/>
        </w:rPr>
        <w:t xml:space="preserve"> The limitations in this Section 14.1 </w:t>
      </w:r>
      <w:r w:rsidR="000777BF">
        <w:rPr>
          <w:b/>
          <w:bCs/>
          <w:u w:val="single"/>
        </w:rPr>
        <w:t>(</w:t>
      </w:r>
      <w:r w:rsidRPr="000777BF" w:rsidR="000777BF">
        <w:rPr>
          <w:b/>
          <w:bCs/>
          <w:i/>
          <w:iCs/>
          <w:u w:val="single"/>
        </w:rPr>
        <w:t>Liability for Facility</w:t>
      </w:r>
      <w:r w:rsidR="000777BF">
        <w:rPr>
          <w:b/>
          <w:bCs/>
          <w:u w:val="single"/>
        </w:rPr>
        <w:t>)</w:t>
      </w:r>
      <w:r w:rsidR="00585643">
        <w:rPr>
          <w:b/>
          <w:bCs/>
          <w:u w:val="single"/>
        </w:rPr>
        <w:t xml:space="preserve"> do not apply to</w:t>
      </w:r>
      <w:r w:rsidR="00E01940">
        <w:rPr>
          <w:b/>
          <w:bCs/>
          <w:u w:val="single"/>
        </w:rPr>
        <w:t xml:space="preserve"> the extent</w:t>
      </w:r>
      <w:r w:rsidR="00585643">
        <w:rPr>
          <w:b/>
          <w:bCs/>
          <w:u w:val="single"/>
        </w:rPr>
        <w:t xml:space="preserve"> injury or damage </w:t>
      </w:r>
      <w:r w:rsidR="00B14E99">
        <w:rPr>
          <w:b/>
          <w:bCs/>
          <w:u w:val="single"/>
        </w:rPr>
        <w:t xml:space="preserve">is </w:t>
      </w:r>
      <w:r w:rsidR="00585643">
        <w:rPr>
          <w:b/>
          <w:bCs/>
          <w:u w:val="single"/>
        </w:rPr>
        <w:t xml:space="preserve">caused by GPC’s </w:t>
      </w:r>
      <w:r w:rsidR="00DB6072">
        <w:rPr>
          <w:b/>
          <w:bCs/>
          <w:u w:val="single"/>
        </w:rPr>
        <w:t>sole negligence,</w:t>
      </w:r>
      <w:r w:rsidR="00585643">
        <w:rPr>
          <w:b/>
          <w:bCs/>
          <w:u w:val="single"/>
        </w:rPr>
        <w:t xml:space="preserve"> gross negligence or intentional misconduct.</w:t>
      </w:r>
    </w:p>
    <w:p w:rsidRPr="00C2493E" w:rsidR="002D54C4" w:rsidRDefault="002D54C4" w14:paraId="1DD4D92F" w14:textId="77777777">
      <w:pPr>
        <w:pStyle w:val="zGTC02"/>
        <w:rPr>
          <w:rFonts w:ascii="Arial" w:hAnsi="Arial" w:cs="Arial"/>
          <w:vanish/>
          <w:specVanish/>
        </w:rPr>
      </w:pPr>
      <w:bookmarkStart w:name="_Toc169778648" w:id="510"/>
      <w:bookmarkStart w:name="_Toc227451413" w:id="511"/>
      <w:r w:rsidRPr="00C2493E">
        <w:rPr>
          <w:rFonts w:ascii="Arial" w:hAnsi="Arial" w:cs="Arial"/>
        </w:rPr>
        <w:t>No Liability.</w:t>
      </w:r>
      <w:bookmarkStart w:name="_Toc158593252" w:id="512"/>
      <w:bookmarkStart w:name="_Toc158597531" w:id="513"/>
      <w:bookmarkStart w:name="_Toc158720155" w:id="514"/>
      <w:bookmarkStart w:name="_Toc158722909" w:id="515"/>
      <w:bookmarkStart w:name="_Toc158929439" w:id="516"/>
      <w:bookmarkEnd w:id="510"/>
      <w:bookmarkEnd w:id="511"/>
      <w:bookmarkEnd w:id="512"/>
      <w:bookmarkEnd w:id="513"/>
      <w:bookmarkEnd w:id="514"/>
      <w:bookmarkEnd w:id="515"/>
      <w:bookmarkEnd w:id="516"/>
    </w:p>
    <w:p w:rsidRPr="00C2493E" w:rsidR="002D54C4" w:rsidRDefault="002D54C4" w14:paraId="099CB486" w14:textId="5E424F54">
      <w:pPr>
        <w:pStyle w:val="zGNormal"/>
        <w:rPr>
          <w:u w:val="single"/>
        </w:rPr>
      </w:pPr>
      <w:r w:rsidRPr="00C2493E">
        <w:rPr>
          <w:b/>
          <w:bCs/>
        </w:rPr>
        <w:t xml:space="preserve"> </w:t>
      </w:r>
      <w:r w:rsidRPr="00C2493E">
        <w:rPr>
          <w:b/>
          <w:u w:val="single"/>
        </w:rPr>
        <w:t xml:space="preserve">Neither Party is responsible for the other Party’s equipment, including its condition or operation. Neither Party is responsible for the distribution or control of electric energy on the other Party’s side of the Point of </w:t>
      </w:r>
      <w:r w:rsidRPr="00C2493E" w:rsidR="0056617A">
        <w:rPr>
          <w:b/>
          <w:u w:val="single"/>
        </w:rPr>
        <w:t>Interconnection</w:t>
      </w:r>
      <w:r w:rsidRPr="00C2493E">
        <w:rPr>
          <w:b/>
          <w:u w:val="single"/>
        </w:rPr>
        <w:t xml:space="preserve">. GPC is not responsible for physical damage to, or destruction </w:t>
      </w:r>
      <w:r w:rsidR="00AB7DC1">
        <w:rPr>
          <w:b/>
          <w:u w:val="single"/>
        </w:rPr>
        <w:t xml:space="preserve">or degradation </w:t>
      </w:r>
      <w:r w:rsidRPr="00C2493E">
        <w:rPr>
          <w:b/>
          <w:u w:val="single"/>
        </w:rPr>
        <w:t>of, Seller’s property, nor will Seller seek recovery from GPC for property damage (including loss of use or electric service outage), except in the case of sole negligence or intentional wrongdoing by GPC</w:t>
      </w:r>
      <w:r w:rsidR="00395C92">
        <w:rPr>
          <w:b/>
          <w:u w:val="single"/>
        </w:rPr>
        <w:t xml:space="preserve"> or Persons acting on behalf of GPC and for whom GPC is otherwise responsible</w:t>
      </w:r>
      <w:r w:rsidRPr="00C2493E">
        <w:rPr>
          <w:b/>
          <w:u w:val="single"/>
        </w:rPr>
        <w:t>. Without limiting the generality of the previous sentence, neither Party is liable to the other for damage arising from the simple failure (i.e., failure not caused by breach of contract, negligence, or intentional wrongful act) of a protective device or scheme.</w:t>
      </w:r>
      <w:r w:rsidR="00EA25E5">
        <w:rPr>
          <w:b/>
          <w:u w:val="single"/>
        </w:rPr>
        <w:t xml:space="preserve"> </w:t>
      </w:r>
      <w:r w:rsidR="00EA25E5">
        <w:rPr>
          <w:b/>
          <w:bCs/>
          <w:u w:val="single"/>
        </w:rPr>
        <w:t xml:space="preserve">The limitations in this Section 14.2 </w:t>
      </w:r>
      <w:r w:rsidR="000777BF">
        <w:rPr>
          <w:b/>
          <w:bCs/>
          <w:u w:val="single"/>
        </w:rPr>
        <w:t>(</w:t>
      </w:r>
      <w:r w:rsidRPr="000777BF" w:rsidR="000777BF">
        <w:rPr>
          <w:b/>
          <w:bCs/>
          <w:i/>
          <w:iCs/>
          <w:u w:val="single"/>
        </w:rPr>
        <w:t>No Liability</w:t>
      </w:r>
      <w:r w:rsidR="000777BF">
        <w:rPr>
          <w:b/>
          <w:bCs/>
          <w:u w:val="single"/>
        </w:rPr>
        <w:t xml:space="preserve">) </w:t>
      </w:r>
      <w:r w:rsidR="00EA25E5">
        <w:rPr>
          <w:b/>
          <w:bCs/>
          <w:u w:val="single"/>
        </w:rPr>
        <w:t>do not apply to</w:t>
      </w:r>
      <w:r w:rsidR="00287A46">
        <w:rPr>
          <w:b/>
          <w:bCs/>
          <w:u w:val="single"/>
        </w:rPr>
        <w:t xml:space="preserve"> the extent</w:t>
      </w:r>
      <w:r w:rsidR="00EA25E5">
        <w:rPr>
          <w:b/>
          <w:bCs/>
          <w:u w:val="single"/>
        </w:rPr>
        <w:t xml:space="preserve"> injury or damage </w:t>
      </w:r>
      <w:r w:rsidR="000165B2">
        <w:rPr>
          <w:b/>
          <w:bCs/>
          <w:u w:val="single"/>
        </w:rPr>
        <w:t xml:space="preserve">is </w:t>
      </w:r>
      <w:r w:rsidR="00EA25E5">
        <w:rPr>
          <w:b/>
          <w:bCs/>
          <w:u w:val="single"/>
        </w:rPr>
        <w:t xml:space="preserve">caused by </w:t>
      </w:r>
      <w:r w:rsidR="00760C98">
        <w:rPr>
          <w:b/>
          <w:bCs/>
          <w:u w:val="single"/>
        </w:rPr>
        <w:t xml:space="preserve">the sole negligence, </w:t>
      </w:r>
      <w:r w:rsidR="00EA25E5">
        <w:rPr>
          <w:b/>
          <w:bCs/>
          <w:u w:val="single"/>
        </w:rPr>
        <w:t>gross negligence</w:t>
      </w:r>
      <w:r w:rsidR="00760C98">
        <w:rPr>
          <w:b/>
          <w:bCs/>
          <w:u w:val="single"/>
        </w:rPr>
        <w:t>,</w:t>
      </w:r>
      <w:r w:rsidR="00EA25E5">
        <w:rPr>
          <w:b/>
          <w:bCs/>
          <w:u w:val="single"/>
        </w:rPr>
        <w:t xml:space="preserve"> or intentional misconduct</w:t>
      </w:r>
      <w:r w:rsidR="00DB6072">
        <w:rPr>
          <w:b/>
          <w:bCs/>
          <w:u w:val="single"/>
        </w:rPr>
        <w:t xml:space="preserve"> of </w:t>
      </w:r>
      <w:r w:rsidR="00760C98">
        <w:rPr>
          <w:b/>
          <w:bCs/>
          <w:u w:val="single"/>
        </w:rPr>
        <w:t>a Party</w:t>
      </w:r>
      <w:r w:rsidR="00DB6072">
        <w:rPr>
          <w:b/>
          <w:bCs/>
          <w:u w:val="single"/>
        </w:rPr>
        <w:t xml:space="preserve"> or </w:t>
      </w:r>
      <w:r w:rsidR="007D5C74">
        <w:rPr>
          <w:b/>
          <w:bCs/>
          <w:u w:val="single"/>
        </w:rPr>
        <w:t xml:space="preserve">any </w:t>
      </w:r>
      <w:r w:rsidR="00DB6072">
        <w:rPr>
          <w:b/>
          <w:bCs/>
          <w:u w:val="single"/>
        </w:rPr>
        <w:t xml:space="preserve">Persons acting on behalf of </w:t>
      </w:r>
      <w:r w:rsidR="00D86065">
        <w:rPr>
          <w:b/>
          <w:bCs/>
          <w:u w:val="single"/>
        </w:rPr>
        <w:t>such Party</w:t>
      </w:r>
      <w:r w:rsidR="00DB6072">
        <w:rPr>
          <w:b/>
          <w:bCs/>
          <w:u w:val="single"/>
        </w:rPr>
        <w:t xml:space="preserve"> for whom </w:t>
      </w:r>
      <w:r w:rsidR="00D86065">
        <w:rPr>
          <w:b/>
          <w:bCs/>
          <w:u w:val="single"/>
        </w:rPr>
        <w:t>such Party</w:t>
      </w:r>
      <w:r w:rsidR="00DB6072">
        <w:rPr>
          <w:b/>
          <w:bCs/>
          <w:u w:val="single"/>
        </w:rPr>
        <w:t xml:space="preserve"> is responsible</w:t>
      </w:r>
      <w:r w:rsidR="00EA25E5">
        <w:rPr>
          <w:b/>
          <w:bCs/>
          <w:u w:val="single"/>
        </w:rPr>
        <w:t>.</w:t>
      </w:r>
    </w:p>
    <w:p w:rsidRPr="00C2493E" w:rsidR="00301C41" w:rsidP="00301C41" w:rsidRDefault="000D3BF3" w14:paraId="42AE4D59" w14:textId="2B2FC1E2">
      <w:pPr>
        <w:pStyle w:val="zGTC02"/>
        <w:widowControl w:val="0"/>
        <w:tabs>
          <w:tab w:val="num" w:pos="720"/>
        </w:tabs>
        <w:spacing w:after="120"/>
        <w:rPr>
          <w:vanish/>
          <w:specVanish/>
        </w:rPr>
      </w:pPr>
      <w:bookmarkStart w:name="_Toc153987107" w:id="517"/>
      <w:bookmarkStart w:name="_Toc169778649" w:id="518"/>
      <w:bookmarkStart w:name="_Toc227451414" w:id="519"/>
      <w:r w:rsidRPr="00C2493E">
        <w:t xml:space="preserve">Scope of </w:t>
      </w:r>
      <w:r w:rsidRPr="00C2493E" w:rsidR="00301C41">
        <w:t>Indemnity.</w:t>
      </w:r>
      <w:bookmarkEnd w:id="517"/>
      <w:bookmarkEnd w:id="518"/>
      <w:bookmarkEnd w:id="519"/>
    </w:p>
    <w:p w:rsidRPr="00C2493E" w:rsidR="00301C41" w:rsidP="00301C41" w:rsidRDefault="00301C41" w14:paraId="33DA1B29" w14:textId="47E8AE73">
      <w:pPr>
        <w:pStyle w:val="zGNormal"/>
        <w:widowControl w:val="0"/>
        <w:rPr>
          <w:b/>
          <w:bCs/>
          <w:u w:val="single"/>
        </w:rPr>
      </w:pPr>
      <w:r w:rsidRPr="00C2493E">
        <w:t xml:space="preserve"> </w:t>
      </w:r>
      <w:r w:rsidRPr="00C2493E">
        <w:rPr>
          <w:b/>
          <w:bCs/>
          <w:u w:val="single"/>
        </w:rPr>
        <w:t xml:space="preserve">To the fullest extent allowed by applicable law, Seller must indemnify, release, hold harmless, and, at GPC’s request, defend GPC and any GPC-Related Party from or against a Claim caused by, arising out of, or related to an act or omission associated with the Facility </w:t>
      </w:r>
      <w:r w:rsidRPr="00C2493E">
        <w:rPr>
          <w:b/>
          <w:bCs/>
          <w:u w:val="single"/>
        </w:rPr>
        <w:lastRenderedPageBreak/>
        <w:t xml:space="preserve">or this PPA by </w:t>
      </w:r>
      <w:r w:rsidRPr="00C2493E" w:rsidR="00B561AC">
        <w:rPr>
          <w:b/>
          <w:bCs/>
          <w:u w:val="single"/>
        </w:rPr>
        <w:t xml:space="preserve">any </w:t>
      </w:r>
      <w:r w:rsidRPr="00C2493E" w:rsidR="005F4037">
        <w:rPr>
          <w:b/>
          <w:bCs/>
          <w:u w:val="single"/>
        </w:rPr>
        <w:t xml:space="preserve">Seller </w:t>
      </w:r>
      <w:r w:rsidRPr="00C2493E" w:rsidR="00B561AC">
        <w:rPr>
          <w:b/>
          <w:bCs/>
          <w:u w:val="single"/>
        </w:rPr>
        <w:t>Entity</w:t>
      </w:r>
      <w:r w:rsidR="00BD4A4C">
        <w:rPr>
          <w:b/>
          <w:bCs/>
          <w:u w:val="single"/>
        </w:rPr>
        <w:t>, including, for the avoidance of doubt, any Cyber Security Incident</w:t>
      </w:r>
      <w:r w:rsidRPr="00C2493E">
        <w:rPr>
          <w:b/>
          <w:bCs/>
          <w:u w:val="single"/>
        </w:rPr>
        <w:t xml:space="preserve">. If the Claim </w:t>
      </w:r>
      <w:r w:rsidRPr="000E11F2" w:rsidR="00E153A7">
        <w:rPr>
          <w:b/>
          <w:bCs/>
          <w:u w:val="single"/>
        </w:rPr>
        <w:t>arises</w:t>
      </w:r>
      <w:r w:rsidRPr="00C2493E">
        <w:rPr>
          <w:b/>
          <w:bCs/>
          <w:u w:val="single"/>
        </w:rPr>
        <w:t xml:space="preserve"> out of the joint, concurrent, or contributory acts of both Parties, Seller’s liability under this Section 14.3 (</w:t>
      </w:r>
      <w:r w:rsidRPr="00C2493E" w:rsidR="00691611">
        <w:rPr>
          <w:b/>
          <w:bCs/>
          <w:i/>
          <w:iCs/>
          <w:u w:val="single"/>
        </w:rPr>
        <w:t>Scope of</w:t>
      </w:r>
      <w:r w:rsidRPr="00C2493E" w:rsidR="00691611">
        <w:rPr>
          <w:b/>
          <w:bCs/>
          <w:u w:val="single"/>
        </w:rPr>
        <w:t xml:space="preserve"> </w:t>
      </w:r>
      <w:r w:rsidRPr="00C2493E">
        <w:rPr>
          <w:b/>
          <w:bCs/>
          <w:i/>
          <w:iCs/>
          <w:u w:val="single"/>
        </w:rPr>
        <w:t>Indemnity</w:t>
      </w:r>
      <w:r w:rsidRPr="00C2493E">
        <w:rPr>
          <w:b/>
          <w:bCs/>
          <w:u w:val="single"/>
        </w:rPr>
        <w:t xml:space="preserve">) is proportional to the extent the Claim </w:t>
      </w:r>
      <w:r w:rsidRPr="000E11F2" w:rsidR="00E153A7">
        <w:rPr>
          <w:b/>
          <w:bCs/>
          <w:u w:val="single"/>
        </w:rPr>
        <w:t xml:space="preserve">is </w:t>
      </w:r>
      <w:r w:rsidRPr="00C2493E">
        <w:rPr>
          <w:b/>
          <w:bCs/>
          <w:u w:val="single"/>
        </w:rPr>
        <w:t>attributable to a Seller Entity</w:t>
      </w:r>
      <w:r w:rsidRPr="000E11F2" w:rsidR="00D210FD">
        <w:rPr>
          <w:b/>
          <w:bCs/>
          <w:u w:val="single"/>
        </w:rPr>
        <w:t>; provided however, if</w:t>
      </w:r>
      <w:r w:rsidRPr="000E11F2" w:rsidR="00E153A7">
        <w:rPr>
          <w:b/>
          <w:bCs/>
          <w:u w:val="single"/>
        </w:rPr>
        <w:t xml:space="preserve"> </w:t>
      </w:r>
      <w:r w:rsidRPr="00C2493E">
        <w:rPr>
          <w:b/>
          <w:bCs/>
          <w:u w:val="single"/>
        </w:rPr>
        <w:t>the Claim is for personal or bodily injury (including death) to Seller Entity personnel or for damage to Seller Entity or Facility property, Seller is fully responsible to GPC-Related Parties under this Section 14.3</w:t>
      </w:r>
      <w:r w:rsidRPr="000E11F2" w:rsidR="00D94823">
        <w:rPr>
          <w:b/>
          <w:bCs/>
          <w:u w:val="single"/>
        </w:rPr>
        <w:t xml:space="preserve">, </w:t>
      </w:r>
      <w:r w:rsidRPr="000E11F2" w:rsidR="00246AE6">
        <w:rPr>
          <w:b/>
          <w:bCs/>
          <w:u w:val="single"/>
        </w:rPr>
        <w:t xml:space="preserve">unless </w:t>
      </w:r>
      <w:r w:rsidRPr="000E11F2" w:rsidR="00D210FD">
        <w:rPr>
          <w:b/>
          <w:bCs/>
          <w:u w:val="single"/>
        </w:rPr>
        <w:t>such Cl</w:t>
      </w:r>
      <w:r w:rsidRPr="000E11F2" w:rsidR="00101B16">
        <w:rPr>
          <w:b/>
          <w:bCs/>
          <w:u w:val="single"/>
        </w:rPr>
        <w:t xml:space="preserve">aim </w:t>
      </w:r>
      <w:r w:rsidRPr="000E11F2" w:rsidR="00001376">
        <w:rPr>
          <w:b/>
          <w:bCs/>
          <w:u w:val="single"/>
        </w:rPr>
        <w:t xml:space="preserve">arose out of </w:t>
      </w:r>
      <w:r w:rsidRPr="000E11F2" w:rsidR="00101B16">
        <w:rPr>
          <w:b/>
          <w:bCs/>
          <w:u w:val="single"/>
        </w:rPr>
        <w:t>the gross negligence or intentional misconduct of a GPC-Related Party, in which case Seller’s liability is limited to its proportionate share as described above</w:t>
      </w:r>
      <w:r w:rsidRPr="000E11F2">
        <w:rPr>
          <w:b/>
          <w:bCs/>
          <w:u w:val="single"/>
        </w:rPr>
        <w:t>.</w:t>
      </w:r>
      <w:r w:rsidRPr="00C2493E">
        <w:rPr>
          <w:b/>
          <w:bCs/>
          <w:u w:val="single"/>
        </w:rPr>
        <w:t xml:space="preserve"> If the Claim </w:t>
      </w:r>
      <w:r w:rsidRPr="000E11F2">
        <w:rPr>
          <w:b/>
          <w:bCs/>
          <w:u w:val="single"/>
        </w:rPr>
        <w:t>result</w:t>
      </w:r>
      <w:r w:rsidRPr="000E11F2" w:rsidR="000E11F2">
        <w:rPr>
          <w:b/>
          <w:bCs/>
          <w:u w:val="single"/>
        </w:rPr>
        <w:t>s</w:t>
      </w:r>
      <w:r w:rsidRPr="00C2493E">
        <w:rPr>
          <w:b/>
          <w:bCs/>
          <w:u w:val="single"/>
        </w:rPr>
        <w:t xml:space="preserve"> from the sole negligence of a GPC-Related Party, Seller will not be liable under this Section 14.3. Seller’s indemnity obligations are independent of its insurance obligations. The indemnity obligation expressly includes any Claim from any GPC customer or any third party arising from Seller’s operation of the Facility.</w:t>
      </w:r>
    </w:p>
    <w:p w:rsidRPr="00C2493E" w:rsidR="002D54C4" w:rsidRDefault="002D54C4" w14:paraId="46451960" w14:textId="77777777">
      <w:pPr>
        <w:pStyle w:val="zGTC02"/>
        <w:rPr>
          <w:rFonts w:ascii="Arial" w:hAnsi="Arial" w:cs="Arial"/>
          <w:vanish/>
          <w:szCs w:val="20"/>
          <w:specVanish/>
        </w:rPr>
      </w:pPr>
      <w:bookmarkStart w:name="_Toc143481664" w:id="520"/>
      <w:bookmarkStart w:name="_Toc143481836" w:id="521"/>
      <w:bookmarkStart w:name="_Toc143482008" w:id="522"/>
      <w:bookmarkStart w:name="_Toc143482179" w:id="523"/>
      <w:bookmarkStart w:name="_Toc143482350" w:id="524"/>
      <w:bookmarkStart w:name="_Toc143482520" w:id="525"/>
      <w:bookmarkStart w:name="_Toc143482690" w:id="526"/>
      <w:bookmarkStart w:name="_Toc143487259" w:id="527"/>
      <w:bookmarkStart w:name="_Toc143489233" w:id="528"/>
      <w:bookmarkStart w:name="_DV_M397" w:id="529"/>
      <w:bookmarkStart w:name="_Toc143481665" w:id="530"/>
      <w:bookmarkStart w:name="_Toc143481837" w:id="531"/>
      <w:bookmarkStart w:name="_Toc143482009" w:id="532"/>
      <w:bookmarkStart w:name="_Toc143482180" w:id="533"/>
      <w:bookmarkStart w:name="_Toc143482351" w:id="534"/>
      <w:bookmarkStart w:name="_Toc143482521" w:id="535"/>
      <w:bookmarkStart w:name="_Toc143482691" w:id="536"/>
      <w:bookmarkStart w:name="_Toc143487260" w:id="537"/>
      <w:bookmarkStart w:name="_Toc143489234" w:id="538"/>
      <w:bookmarkStart w:name="_Toc143481666" w:id="539"/>
      <w:bookmarkStart w:name="_Toc143481838" w:id="540"/>
      <w:bookmarkStart w:name="_Toc143482010" w:id="541"/>
      <w:bookmarkStart w:name="_Toc143482181" w:id="542"/>
      <w:bookmarkStart w:name="_Toc143482352" w:id="543"/>
      <w:bookmarkStart w:name="_Toc143482522" w:id="544"/>
      <w:bookmarkStart w:name="_Toc143482692" w:id="545"/>
      <w:bookmarkStart w:name="_Toc143487261" w:id="546"/>
      <w:bookmarkStart w:name="_Toc143489235" w:id="547"/>
      <w:bookmarkStart w:name="_Toc143481667" w:id="548"/>
      <w:bookmarkStart w:name="_Toc143481839" w:id="549"/>
      <w:bookmarkStart w:name="_Toc143482011" w:id="550"/>
      <w:bookmarkStart w:name="_Toc143482182" w:id="551"/>
      <w:bookmarkStart w:name="_Toc143482353" w:id="552"/>
      <w:bookmarkStart w:name="_Toc143482523" w:id="553"/>
      <w:bookmarkStart w:name="_Toc143482693" w:id="554"/>
      <w:bookmarkStart w:name="_Toc143487262" w:id="555"/>
      <w:bookmarkStart w:name="_Toc143489236" w:id="556"/>
      <w:bookmarkStart w:name="_Toc143481668" w:id="557"/>
      <w:bookmarkStart w:name="_Toc143481840" w:id="558"/>
      <w:bookmarkStart w:name="_Toc143482012" w:id="559"/>
      <w:bookmarkStart w:name="_Toc143482183" w:id="560"/>
      <w:bookmarkStart w:name="_Toc143482354" w:id="561"/>
      <w:bookmarkStart w:name="_Toc143482524" w:id="562"/>
      <w:bookmarkStart w:name="_Toc143482694" w:id="563"/>
      <w:bookmarkStart w:name="_Toc143487263" w:id="564"/>
      <w:bookmarkStart w:name="_Toc143489237" w:id="565"/>
      <w:bookmarkStart w:name="_Toc143481669" w:id="566"/>
      <w:bookmarkStart w:name="_Toc143481841" w:id="567"/>
      <w:bookmarkStart w:name="_Toc143482013" w:id="568"/>
      <w:bookmarkStart w:name="_Toc143482184" w:id="569"/>
      <w:bookmarkStart w:name="_Toc143482355" w:id="570"/>
      <w:bookmarkStart w:name="_Toc143482525" w:id="571"/>
      <w:bookmarkStart w:name="_Toc143482695" w:id="572"/>
      <w:bookmarkStart w:name="_Toc143487264" w:id="573"/>
      <w:bookmarkStart w:name="_Toc143489238" w:id="574"/>
      <w:bookmarkStart w:name="_Toc143487265" w:id="575"/>
      <w:bookmarkStart w:name="_Toc143489239" w:id="576"/>
      <w:bookmarkStart w:name="_Toc143487266" w:id="577"/>
      <w:bookmarkStart w:name="_Toc143489240" w:id="578"/>
      <w:bookmarkStart w:name="_Toc143481671" w:id="579"/>
      <w:bookmarkStart w:name="_Toc143481843" w:id="580"/>
      <w:bookmarkStart w:name="_Toc143482015" w:id="581"/>
      <w:bookmarkStart w:name="_Toc143482186" w:id="582"/>
      <w:bookmarkStart w:name="_Toc143482357" w:id="583"/>
      <w:bookmarkStart w:name="_Toc143482527" w:id="584"/>
      <w:bookmarkStart w:name="_Toc143482697" w:id="585"/>
      <w:bookmarkStart w:name="_Toc143487267" w:id="586"/>
      <w:bookmarkStart w:name="_Toc143489241" w:id="587"/>
      <w:bookmarkStart w:name="_Toc143481672" w:id="588"/>
      <w:bookmarkStart w:name="_Toc143481844" w:id="589"/>
      <w:bookmarkStart w:name="_Toc143482016" w:id="590"/>
      <w:bookmarkStart w:name="_Toc143482187" w:id="591"/>
      <w:bookmarkStart w:name="_Toc143482358" w:id="592"/>
      <w:bookmarkStart w:name="_Toc143482528" w:id="593"/>
      <w:bookmarkStart w:name="_Toc143482698" w:id="594"/>
      <w:bookmarkStart w:name="_Toc143487268" w:id="595"/>
      <w:bookmarkStart w:name="_Toc143489242" w:id="596"/>
      <w:bookmarkStart w:name="_Toc169778650" w:id="597"/>
      <w:bookmarkStart w:name="_Toc227451415" w:id="598"/>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r w:rsidRPr="00C2493E">
        <w:rPr>
          <w:rFonts w:ascii="Arial" w:hAnsi="Arial" w:cs="Arial"/>
        </w:rPr>
        <w:t>Survival.</w:t>
      </w:r>
      <w:bookmarkStart w:name="_Toc158593255" w:id="599"/>
      <w:bookmarkStart w:name="_Toc158597534" w:id="600"/>
      <w:bookmarkStart w:name="_Toc158720158" w:id="601"/>
      <w:bookmarkStart w:name="_Toc158722912" w:id="602"/>
      <w:bookmarkStart w:name="_Toc158929442" w:id="603"/>
      <w:bookmarkEnd w:id="597"/>
      <w:bookmarkEnd w:id="598"/>
      <w:bookmarkEnd w:id="599"/>
      <w:bookmarkEnd w:id="600"/>
      <w:bookmarkEnd w:id="601"/>
      <w:bookmarkEnd w:id="602"/>
      <w:bookmarkEnd w:id="603"/>
    </w:p>
    <w:p w:rsidRPr="00C2493E" w:rsidR="002D54C4" w:rsidRDefault="002D54C4" w14:paraId="63EB44F9" w14:textId="5A5289B9">
      <w:pPr>
        <w:pStyle w:val="zGNormal"/>
      </w:pPr>
      <w:r w:rsidRPr="00C2493E">
        <w:t xml:space="preserve"> Despite the expiration or termination of this PPA, Seller’s indemnification obligations under this Part 14 (</w:t>
      </w:r>
      <w:r w:rsidRPr="00C2493E">
        <w:rPr>
          <w:i/>
        </w:rPr>
        <w:t>Risk and Claims</w:t>
      </w:r>
      <w:r w:rsidRPr="00C2493E">
        <w:t xml:space="preserve">) will survive and continue in full force and effect after such expiration or termination, by default or otherwise, regardless of whether such obligations accrue prior to or after </w:t>
      </w:r>
      <w:r w:rsidRPr="00C2493E" w:rsidR="00A61AE2">
        <w:t xml:space="preserve">PPA </w:t>
      </w:r>
      <w:r w:rsidRPr="00C2493E">
        <w:t>expiration or termination.</w:t>
      </w:r>
    </w:p>
    <w:p w:rsidRPr="00C2493E" w:rsidR="002D54C4" w:rsidP="00ED6839" w:rsidRDefault="002D54C4" w14:paraId="53C20123" w14:textId="15BB57C9">
      <w:pPr>
        <w:pStyle w:val="zGTC01"/>
        <w:rPr>
          <w:rFonts w:ascii="Arial" w:hAnsi="Arial"/>
        </w:rPr>
      </w:pPr>
      <w:bookmarkStart w:name="_Toc169778651" w:id="604"/>
      <w:bookmarkStart w:name="_Toc227451416" w:id="605"/>
      <w:r w:rsidRPr="00C2493E">
        <w:rPr>
          <w:rFonts w:ascii="Arial" w:hAnsi="Arial"/>
        </w:rPr>
        <w:t>Force Majeure</w:t>
      </w:r>
      <w:bookmarkEnd w:id="604"/>
      <w:bookmarkEnd w:id="605"/>
    </w:p>
    <w:p w:rsidRPr="00C2493E" w:rsidR="002D54C4" w:rsidRDefault="002D54C4" w14:paraId="54B27F25" w14:textId="4F236FE4">
      <w:pPr>
        <w:pStyle w:val="zGTC02"/>
        <w:rPr>
          <w:rFonts w:ascii="Arial" w:hAnsi="Arial" w:cs="Arial"/>
          <w:vanish/>
          <w:specVanish/>
        </w:rPr>
      </w:pPr>
      <w:bookmarkStart w:name="_Toc158334736" w:id="606"/>
      <w:bookmarkStart w:name="_Toc169778652" w:id="607"/>
      <w:bookmarkStart w:name="_Toc227451417" w:id="608"/>
      <w:r w:rsidRPr="00C2493E" w:rsidDel="00331EAD">
        <w:rPr>
          <w:rFonts w:ascii="Arial" w:hAnsi="Arial" w:cs="Arial"/>
        </w:rPr>
        <w:t xml:space="preserve">Definition of Force Majeure </w:t>
      </w:r>
      <w:r w:rsidRPr="00C2493E">
        <w:rPr>
          <w:rFonts w:ascii="Arial" w:hAnsi="Arial" w:cs="Arial"/>
        </w:rPr>
        <w:t>Event.</w:t>
      </w:r>
      <w:bookmarkStart w:name="_Toc158929444" w:id="609"/>
      <w:bookmarkEnd w:id="606"/>
      <w:bookmarkEnd w:id="607"/>
      <w:bookmarkEnd w:id="608"/>
      <w:bookmarkEnd w:id="609"/>
    </w:p>
    <w:p w:rsidRPr="00C2493E" w:rsidR="002D54C4" w:rsidRDefault="002D54C4" w14:paraId="5EC489B4" w14:textId="0D357ACC">
      <w:pPr>
        <w:pStyle w:val="zGNormal"/>
      </w:pPr>
      <w:r w:rsidRPr="00C2493E">
        <w:t xml:space="preserve"> </w:t>
      </w:r>
      <w:r w:rsidRPr="00C2493E" w:rsidR="00A47436">
        <w:t>For purposes of this PPA, a “</w:t>
      </w:r>
      <w:r w:rsidRPr="00C2493E" w:rsidR="00A47436">
        <w:rPr>
          <w:b/>
          <w:bCs/>
        </w:rPr>
        <w:t>Force Majeure Event (FME)</w:t>
      </w:r>
      <w:r w:rsidRPr="00C2493E" w:rsidR="00A47436">
        <w:t>” is an occurrence, nonoccurrence, or set of circumstances that: (i) first occurs after the Effective Date; (ii) prevents a Party, in whole or in part, from performing any PPA obligation or satisfying any PPA condition; (iii) is beyond the reasonable control of the Party claiming FME; (iv) is not reasonably foreseeable</w:t>
      </w:r>
      <w:r w:rsidR="002F62C9">
        <w:t xml:space="preserve"> (or, if foreseeable, cannot reasonably be avoided)</w:t>
      </w:r>
      <w:r w:rsidRPr="00C2493E" w:rsidR="00A47436">
        <w:t>; and (v) is not caused by the Party’s negligence, inaction, lack of due diligence, PPA breach, or failure to follow Prudent Industry Practices.</w:t>
      </w:r>
    </w:p>
    <w:p w:rsidRPr="00C2493E" w:rsidR="002D54C4" w:rsidRDefault="002D54C4" w14:paraId="34E3A15F" w14:textId="25EDE120">
      <w:pPr>
        <w:pStyle w:val="zGTC02"/>
        <w:rPr>
          <w:rFonts w:ascii="Arial" w:hAnsi="Arial" w:cs="Arial"/>
          <w:vanish/>
          <w:specVanish/>
        </w:rPr>
      </w:pPr>
      <w:bookmarkStart w:name="_Toc158334737" w:id="610"/>
      <w:bookmarkStart w:name="_Toc169778653" w:id="611"/>
      <w:bookmarkStart w:name="_Toc227451418" w:id="612"/>
      <w:r w:rsidRPr="00C2493E">
        <w:rPr>
          <w:rFonts w:ascii="Arial" w:hAnsi="Arial" w:cs="Arial"/>
        </w:rPr>
        <w:t>Force Majeure Exclusions.</w:t>
      </w:r>
      <w:bookmarkStart w:name="_Toc158929445" w:id="613"/>
      <w:bookmarkEnd w:id="610"/>
      <w:bookmarkEnd w:id="611"/>
      <w:bookmarkEnd w:id="612"/>
      <w:bookmarkEnd w:id="613"/>
    </w:p>
    <w:p w:rsidRPr="00F32CF3" w:rsidR="00065849" w:rsidP="00F32CF3" w:rsidRDefault="002D54C4" w14:paraId="3151C0DD" w14:textId="1DA640D4">
      <w:pPr>
        <w:pStyle w:val="zGNormal"/>
        <w:rPr>
          <w:b/>
        </w:rPr>
      </w:pPr>
      <w:r w:rsidRPr="00C2493E">
        <w:t xml:space="preserve"> </w:t>
      </w:r>
      <w:bookmarkStart w:name="_Toc160742745" w:id="614"/>
      <w:bookmarkStart w:name="_Toc160742901" w:id="615"/>
      <w:bookmarkStart w:name="_Toc167287706" w:id="616"/>
      <w:bookmarkStart w:name="_Toc168573459" w:id="617"/>
      <w:bookmarkStart w:name="_Toc169776474" w:id="618"/>
      <w:bookmarkStart w:name="_Toc169778654" w:id="619"/>
      <w:bookmarkEnd w:id="614"/>
      <w:bookmarkEnd w:id="615"/>
      <w:bookmarkEnd w:id="616"/>
      <w:bookmarkEnd w:id="617"/>
      <w:bookmarkEnd w:id="618"/>
      <w:bookmarkEnd w:id="619"/>
      <w:r w:rsidRPr="00F32CF3" w:rsidR="006A0490">
        <w:t xml:space="preserve">FME excludes: (i) the inability to </w:t>
      </w:r>
      <w:r w:rsidR="00813D36">
        <w:t>comply with</w:t>
      </w:r>
      <w:r w:rsidRPr="00F32CF3" w:rsidR="00813D36">
        <w:t xml:space="preserve"> </w:t>
      </w:r>
      <w:r w:rsidRPr="00F32CF3" w:rsidR="006A0490">
        <w:t xml:space="preserve">an applicable law </w:t>
      </w:r>
      <w:r w:rsidR="0066735E">
        <w:t xml:space="preserve">for any </w:t>
      </w:r>
      <w:r w:rsidR="000868BC">
        <w:t xml:space="preserve">reason </w:t>
      </w:r>
      <w:r w:rsidRPr="00DF222D" w:rsidR="000868BC">
        <w:t>other than</w:t>
      </w:r>
      <w:r w:rsidRPr="00DF222D" w:rsidR="0066735E">
        <w:t xml:space="preserve"> the inability to </w:t>
      </w:r>
      <w:r w:rsidRPr="00DF222D" w:rsidR="00813D36">
        <w:t>comply with</w:t>
      </w:r>
      <w:r w:rsidRPr="00DF222D" w:rsidR="0066735E">
        <w:t xml:space="preserve"> a change in an applicable law for</w:t>
      </w:r>
      <w:r w:rsidRPr="00DF222D" w:rsidR="000868BC">
        <w:t xml:space="preserve"> </w:t>
      </w:r>
      <w:r w:rsidRPr="00DF222D" w:rsidR="0066735E">
        <w:t xml:space="preserve">non-economic reasons; (ii) the inability to </w:t>
      </w:r>
      <w:r w:rsidRPr="00DF222D" w:rsidR="000868BC">
        <w:t xml:space="preserve">comply with </w:t>
      </w:r>
      <w:r w:rsidRPr="00F32CF3" w:rsidR="006A0490">
        <w:t>a change in an applicable law</w:t>
      </w:r>
      <w:r w:rsidR="006C18BF">
        <w:t xml:space="preserve"> </w:t>
      </w:r>
      <w:r w:rsidR="00350EAE">
        <w:t>for purely economic reasons</w:t>
      </w:r>
      <w:r w:rsidRPr="00F32CF3" w:rsidR="006A0490">
        <w:t>; (ii</w:t>
      </w:r>
      <w:r w:rsidR="000868BC">
        <w:t>i</w:t>
      </w:r>
      <w:r w:rsidRPr="00F32CF3" w:rsidR="006A0490">
        <w:t xml:space="preserve">) a Site-specific strike, walkout, lockout, or other labor dispute at the Facility; (iv) ambient temperature or humidity at the Site; (v) </w:t>
      </w:r>
      <w:r w:rsidR="00CF2387">
        <w:rPr>
          <w:bCs/>
        </w:rPr>
        <w:t>failure or inability to obtain or retain sufficient funds for any reason, including funds from a Governmental Authority, or Seller’s loss of or inability to obtain or retain any tax credit or other incentive regarding any portion of the Facility</w:t>
      </w:r>
      <w:r w:rsidRPr="00F32CF3" w:rsidR="006A0490">
        <w:t xml:space="preserve">; (vi) any event, including a change in any applicable law or accounting standard, that requires GPC to consolidate Seller or any Seller Affiliate or permitted assign as a VIE in GPC’s financial statements; </w:t>
      </w:r>
      <w:r w:rsidR="0002467C">
        <w:t xml:space="preserve">; </w:t>
      </w:r>
      <w:r w:rsidR="00433F76">
        <w:t xml:space="preserve">(vii) </w:t>
      </w:r>
      <w:r w:rsidRPr="00F32CF3" w:rsidR="006A0490">
        <w:t>any inability to obtain or maintain, or delay in obtaining, any permit, approval, or other Consent required from a Governmental Authority; (</w:t>
      </w:r>
      <w:r w:rsidR="0098694D">
        <w:t>viii</w:t>
      </w:r>
      <w:r w:rsidRPr="00F32CF3" w:rsidR="006A0490">
        <w:t>) equipment failure or damage; (</w:t>
      </w:r>
      <w:r w:rsidR="0098694D">
        <w:t>i</w:t>
      </w:r>
      <w:r w:rsidR="0002467C">
        <w:t>x</w:t>
      </w:r>
      <w:r w:rsidRPr="00F32CF3" w:rsidR="006A0490">
        <w:t>) a change in any market condition that affects the cost or availability of equipment, materials, supplies, or services, including the cost of power from resources other than the Facility; (</w:t>
      </w:r>
      <w:r w:rsidR="0002467C">
        <w:t>x</w:t>
      </w:r>
      <w:r w:rsidRPr="00F32CF3" w:rsidR="006A0490">
        <w:t>) any act or inaction of a Party’s contractor, supplier, or vendor; (</w:t>
      </w:r>
      <w:r w:rsidR="0002467C">
        <w:t>xi</w:t>
      </w:r>
      <w:r w:rsidRPr="00F32CF3" w:rsidR="006A0490">
        <w:t>) Seller’s inability to arrange or maintain interconnection service for deliveries to the POI; (</w:t>
      </w:r>
      <w:r w:rsidR="0002467C">
        <w:t>xii</w:t>
      </w:r>
      <w:r w:rsidRPr="00F32CF3" w:rsidR="006A0490">
        <w:t>) the interruption, curtailment, or unavailability of service for the transmission of Discharging Energy from the Facility for any reason; or (</w:t>
      </w:r>
      <w:r w:rsidR="0002467C">
        <w:t>xi</w:t>
      </w:r>
      <w:r w:rsidR="0098694D">
        <w:t>ii</w:t>
      </w:r>
      <w:r w:rsidRPr="00F32CF3" w:rsidR="006A0490">
        <w:t>) any directive from the Interconnection Provider to curtail deliveries of Discharging Energy from the Facility or disconnect the Facility from the Electric System. Despite the preceding sentence, a Party claiming FME may be excused from PPA performance if: (a) a separate event that otherwise constitutes an FME directly and independently causes a circumstance described in subparts (</w:t>
      </w:r>
      <w:r w:rsidR="00433F76">
        <w:t>viii</w:t>
      </w:r>
      <w:r w:rsidRPr="00F32CF3" w:rsidR="006A0490">
        <w:t>) through (</w:t>
      </w:r>
      <w:r w:rsidR="00433F76">
        <w:t>xi</w:t>
      </w:r>
      <w:r w:rsidR="002E3B12">
        <w:t>ii</w:t>
      </w:r>
      <w:r w:rsidRPr="00F32CF3" w:rsidR="006A0490">
        <w:t xml:space="preserve">); and (b) the Party satisfies all other </w:t>
      </w:r>
      <w:r w:rsidR="003563CE">
        <w:t>requirements</w:t>
      </w:r>
      <w:r w:rsidRPr="00F32CF3" w:rsidR="003563CE">
        <w:t xml:space="preserve"> </w:t>
      </w:r>
      <w:r w:rsidRPr="00F32CF3" w:rsidR="006A0490">
        <w:t>of this Part 15 (</w:t>
      </w:r>
      <w:r w:rsidRPr="00F32CF3" w:rsidR="006A0490">
        <w:rPr>
          <w:i/>
        </w:rPr>
        <w:t>Force Majeure</w:t>
      </w:r>
      <w:r w:rsidRPr="00F32CF3" w:rsidR="006A0490">
        <w:t>).</w:t>
      </w:r>
      <w:r w:rsidR="00350EAE">
        <w:t xml:space="preserve"> </w:t>
      </w:r>
      <w:r w:rsidR="00350EAE">
        <w:rPr>
          <w:bCs/>
        </w:rPr>
        <w:t xml:space="preserve">For avoidance of doubt, a Change of Law </w:t>
      </w:r>
      <w:r w:rsidR="00BB39C8">
        <w:rPr>
          <w:bCs/>
        </w:rPr>
        <w:t>or inability to obtain a Permit</w:t>
      </w:r>
      <w:r w:rsidR="00350EAE">
        <w:rPr>
          <w:bCs/>
        </w:rPr>
        <w:t xml:space="preserve"> may constitute an FME to the extent it meets the requirements of Section 15.1</w:t>
      </w:r>
      <w:r w:rsidR="00E0328B">
        <w:rPr>
          <w:bCs/>
        </w:rPr>
        <w:t xml:space="preserve"> (</w:t>
      </w:r>
      <w:r w:rsidRPr="00E0328B" w:rsidR="00E0328B">
        <w:rPr>
          <w:bCs/>
          <w:i/>
          <w:iCs/>
        </w:rPr>
        <w:t>Definition of Force Majeure Event</w:t>
      </w:r>
      <w:r w:rsidR="00E0328B">
        <w:rPr>
          <w:bCs/>
        </w:rPr>
        <w:t>)</w:t>
      </w:r>
      <w:r w:rsidR="00350EAE">
        <w:rPr>
          <w:bCs/>
        </w:rPr>
        <w:t xml:space="preserve"> and this Section 15.2.</w:t>
      </w:r>
    </w:p>
    <w:p w:rsidRPr="00C2493E" w:rsidR="002D54C4" w:rsidRDefault="002D54C4" w14:paraId="2C7E18DC" w14:textId="77777777">
      <w:pPr>
        <w:pStyle w:val="zGTC02"/>
        <w:rPr>
          <w:rFonts w:ascii="Arial" w:hAnsi="Arial" w:cs="Arial"/>
          <w:vanish/>
          <w:specVanish/>
        </w:rPr>
      </w:pPr>
      <w:bookmarkStart w:name="_Toc169778655" w:id="620"/>
      <w:bookmarkStart w:name="_Toc227451419" w:id="621"/>
      <w:r w:rsidRPr="00C2493E">
        <w:rPr>
          <w:rFonts w:ascii="Arial" w:hAnsi="Arial" w:cs="Arial"/>
        </w:rPr>
        <w:t>No Breach or Liability.</w:t>
      </w:r>
      <w:bookmarkStart w:name="_Toc158593257" w:id="622"/>
      <w:bookmarkStart w:name="_Toc158597536" w:id="623"/>
      <w:bookmarkStart w:name="_Toc158720160" w:id="624"/>
      <w:bookmarkStart w:name="_Toc158722914" w:id="625"/>
      <w:bookmarkStart w:name="_Toc158929446" w:id="626"/>
      <w:bookmarkEnd w:id="620"/>
      <w:bookmarkEnd w:id="621"/>
      <w:bookmarkEnd w:id="622"/>
      <w:bookmarkEnd w:id="623"/>
      <w:bookmarkEnd w:id="624"/>
      <w:bookmarkEnd w:id="625"/>
      <w:bookmarkEnd w:id="626"/>
    </w:p>
    <w:p w:rsidRPr="00C2493E" w:rsidR="002D54C4" w:rsidRDefault="002D54C4" w14:paraId="35E9F6E2" w14:textId="0E11C921">
      <w:pPr>
        <w:pStyle w:val="zGNormal"/>
      </w:pPr>
      <w:r w:rsidRPr="00C2493E">
        <w:t xml:space="preserve">  If an FME occurs, subject to compliance with all </w:t>
      </w:r>
      <w:r w:rsidRPr="00C2493E" w:rsidR="00610271">
        <w:t xml:space="preserve">provisions </w:t>
      </w:r>
      <w:r w:rsidRPr="00C2493E">
        <w:t>of this Part 15 (</w:t>
      </w:r>
      <w:r w:rsidRPr="00C2493E">
        <w:rPr>
          <w:i/>
        </w:rPr>
        <w:t>Force Majeure</w:t>
      </w:r>
      <w:r w:rsidRPr="00C2493E">
        <w:t xml:space="preserve">), the affected Party will be excused from performance of its obligations impacted by the FME, other than payment obligations that accrued </w:t>
      </w:r>
      <w:r w:rsidR="00931C06">
        <w:t>before</w:t>
      </w:r>
      <w:r w:rsidRPr="00C2493E">
        <w:t xml:space="preserve"> the declaration of the FME, and will not be construed to be in default regarding the obligations to the extent that, and </w:t>
      </w:r>
      <w:r w:rsidRPr="00C2493E" w:rsidR="00C839A7">
        <w:t xml:space="preserve">only </w:t>
      </w:r>
      <w:r w:rsidRPr="00C2493E">
        <w:t xml:space="preserve">for so long as, </w:t>
      </w:r>
      <w:r w:rsidRPr="00C2493E" w:rsidR="0048266A">
        <w:t xml:space="preserve">the </w:t>
      </w:r>
      <w:r w:rsidRPr="00C2493E">
        <w:t>failure to perform is due to an FME. However, the suspension of performance due to an FME will be of no greater scope and of no longer duration than is required by the FME. Despite any other provision in this PPA, no FME will extend this PPA beyond the Term.</w:t>
      </w:r>
    </w:p>
    <w:p w:rsidRPr="00C2493E" w:rsidR="002D54C4" w:rsidP="008759EF" w:rsidRDefault="002D54C4" w14:paraId="6BB11A49" w14:textId="51D4A456">
      <w:pPr>
        <w:pStyle w:val="zGTC03"/>
        <w:rPr>
          <w:rFonts w:cs="Arial"/>
          <w:vanish/>
          <w:specVanish/>
        </w:rPr>
      </w:pPr>
      <w:r w:rsidRPr="00C2493E">
        <w:rPr>
          <w:rFonts w:cs="Arial"/>
          <w:b/>
        </w:rPr>
        <w:lastRenderedPageBreak/>
        <w:t>Burden of Proof and Supporting Documentation.</w:t>
      </w:r>
      <w:r w:rsidRPr="00C2493E">
        <w:rPr>
          <w:rFonts w:cs="Arial"/>
        </w:rPr>
        <w:t xml:space="preserve"> </w:t>
      </w:r>
    </w:p>
    <w:p w:rsidRPr="00C2493E" w:rsidR="002D54C4" w:rsidRDefault="002D54C4" w14:paraId="044A48BA" w14:textId="3AE5649D">
      <w:pPr>
        <w:pStyle w:val="zGNormal"/>
      </w:pPr>
      <w:r w:rsidRPr="00C2493E">
        <w:t xml:space="preserve"> The burden of proof as to whether an FME has occurred and as to the impact of an FME will</w:t>
      </w:r>
      <w:r w:rsidRPr="00C2493E" w:rsidDel="0047554E">
        <w:t xml:space="preserve"> </w:t>
      </w:r>
      <w:r w:rsidRPr="00C2493E">
        <w:t xml:space="preserve">be upon the affected Party. If the affected Party requests that its performance be excused because of an FME, then the affected Party must support its request with documentation demonstrating: (i) the existence of the FME; (ii) efforts by the affected Party to overcome or mitigate the effect of the FME; and (iii) following the conclusion of the FME, an analysis of the number of Days the FME delayed or otherwise prevented the performance of the affected Party’s obligations or satisfaction of any condition of this PPA and, if the FME occurred after </w:t>
      </w:r>
      <w:r w:rsidRPr="00C2493E" w:rsidR="002323E1">
        <w:t>COD</w:t>
      </w:r>
      <w:r w:rsidRPr="00C2493E">
        <w:t>, information reasonably required to determine the</w:t>
      </w:r>
      <w:r w:rsidRPr="00C2493E" w:rsidR="002E6811">
        <w:t xml:space="preserve"> period of time the </w:t>
      </w:r>
      <w:r w:rsidRPr="00C2493E" w:rsidR="00DA1BF1">
        <w:t>Facility</w:t>
      </w:r>
      <w:r w:rsidRPr="00C2493E" w:rsidR="00FA4C9C">
        <w:t xml:space="preserve">, in whole or in part, </w:t>
      </w:r>
      <w:r w:rsidRPr="00C2493E" w:rsidR="002E2A61">
        <w:t xml:space="preserve">is expected to be or </w:t>
      </w:r>
      <w:r w:rsidRPr="00C2493E" w:rsidR="00FA4C9C">
        <w:t>was Unavailable because of FME</w:t>
      </w:r>
      <w:r w:rsidRPr="00C2493E" w:rsidR="000F42F1">
        <w:t xml:space="preserve"> for purposes of adjusting GPC’s </w:t>
      </w:r>
      <w:r w:rsidRPr="00C2493E" w:rsidR="003A5ABE">
        <w:t>calculation of the Performance Metrics</w:t>
      </w:r>
      <w:r w:rsidRPr="00C2493E" w:rsidR="0013401A">
        <w:t>.</w:t>
      </w:r>
      <w:r w:rsidRPr="00C2493E">
        <w:t xml:space="preserve"> The affected Party must provide the required documentation by no later than </w:t>
      </w:r>
      <w:r w:rsidR="00805215">
        <w:t>10</w:t>
      </w:r>
      <w:r w:rsidRPr="00C2493E">
        <w:t xml:space="preserve"> Business Days after the date the FME concludes.</w:t>
      </w:r>
    </w:p>
    <w:p w:rsidRPr="00C2493E" w:rsidR="002D54C4" w:rsidP="008759EF" w:rsidRDefault="002D54C4" w14:paraId="30D4B1C2" w14:textId="72AEE4CE">
      <w:pPr>
        <w:pStyle w:val="zGTC03"/>
        <w:rPr>
          <w:rFonts w:cs="Arial"/>
          <w:b/>
          <w:vanish/>
          <w:specVanish/>
        </w:rPr>
      </w:pPr>
      <w:r w:rsidRPr="00C2493E">
        <w:rPr>
          <w:rFonts w:cs="Arial"/>
          <w:b/>
        </w:rPr>
        <w:t xml:space="preserve">Extension of RCOD. </w:t>
      </w:r>
    </w:p>
    <w:p w:rsidRPr="00C2493E" w:rsidR="002D54C4" w:rsidRDefault="002D54C4" w14:paraId="6AB41D11" w14:textId="36B13774">
      <w:pPr>
        <w:pStyle w:val="zGNormal"/>
      </w:pPr>
      <w:r w:rsidRPr="00C2493E">
        <w:rPr>
          <w:b/>
        </w:rPr>
        <w:t xml:space="preserve"> </w:t>
      </w:r>
      <w:r w:rsidRPr="00C2493E">
        <w:t>If an FME directly and substantially impacts a critical</w:t>
      </w:r>
      <w:r w:rsidRPr="00C2493E" w:rsidR="008B421F">
        <w:t xml:space="preserve"> </w:t>
      </w:r>
      <w:r w:rsidRPr="00C2493E">
        <w:t>path item on the Milestone Schedule and, as a result, prevents Seller from achieving Commercial Operation by the RCOD, then the RCOD will</w:t>
      </w:r>
      <w:r w:rsidRPr="00C2493E" w:rsidDel="0047554E">
        <w:t xml:space="preserve"> </w:t>
      </w:r>
      <w:r w:rsidRPr="00C2493E">
        <w:t>be extended by the number of Days of the delay caused by the impact to the critical</w:t>
      </w:r>
      <w:r w:rsidRPr="00C2493E" w:rsidR="008B421F">
        <w:t xml:space="preserve"> </w:t>
      </w:r>
      <w:r w:rsidRPr="00C2493E">
        <w:t>path item on the Milestone Schedule, so long as, as a condition to any such extension of the RCOD, Seller must</w:t>
      </w:r>
      <w:r w:rsidRPr="00C2493E" w:rsidDel="0047554E">
        <w:t xml:space="preserve"> </w:t>
      </w:r>
      <w:r w:rsidRPr="00C2493E">
        <w:t>comply with the requirements of this Part 15 (</w:t>
      </w:r>
      <w:r w:rsidRPr="00C2493E">
        <w:rPr>
          <w:i/>
        </w:rPr>
        <w:t>Force Majeure</w:t>
      </w:r>
      <w:r w:rsidRPr="00C2493E" w:rsidDel="002F48C1">
        <w:t>)</w:t>
      </w:r>
      <w:r w:rsidRPr="00C2493E">
        <w:t>, including Seller undertaking all commercially reasonable efforts to avoid, overcome, or otherwise mitigate the delay by revising, rearranging, expediting, or accelerating the Milestone Schedule.</w:t>
      </w:r>
    </w:p>
    <w:p w:rsidRPr="00C2493E" w:rsidR="002D54C4" w:rsidRDefault="002D54C4" w14:paraId="1ACBFADB" w14:textId="77777777">
      <w:pPr>
        <w:pStyle w:val="zGTC02"/>
        <w:rPr>
          <w:rFonts w:ascii="Arial" w:hAnsi="Arial" w:cs="Arial"/>
          <w:vanish/>
          <w:specVanish/>
        </w:rPr>
      </w:pPr>
      <w:bookmarkStart w:name="_Toc169778656" w:id="627"/>
      <w:bookmarkStart w:name="_Toc227451420" w:id="628"/>
      <w:r w:rsidRPr="00C2493E">
        <w:rPr>
          <w:rFonts w:ascii="Arial" w:hAnsi="Arial" w:cs="Arial"/>
        </w:rPr>
        <w:t>Monthly Capacity Payments.</w:t>
      </w:r>
      <w:bookmarkStart w:name="_Toc158593258" w:id="629"/>
      <w:bookmarkStart w:name="_Toc158597537" w:id="630"/>
      <w:bookmarkStart w:name="_Toc158720161" w:id="631"/>
      <w:bookmarkStart w:name="_Toc158722915" w:id="632"/>
      <w:bookmarkStart w:name="_Toc158929447" w:id="633"/>
      <w:bookmarkEnd w:id="627"/>
      <w:bookmarkEnd w:id="628"/>
      <w:bookmarkEnd w:id="629"/>
      <w:bookmarkEnd w:id="630"/>
      <w:bookmarkEnd w:id="631"/>
      <w:bookmarkEnd w:id="632"/>
      <w:bookmarkEnd w:id="633"/>
    </w:p>
    <w:p w:rsidRPr="00C2493E" w:rsidR="002D54C4" w:rsidRDefault="002D54C4" w14:paraId="1E6369B2" w14:textId="262D5BE5">
      <w:pPr>
        <w:pStyle w:val="zGNormal"/>
      </w:pPr>
      <w:r w:rsidRPr="00C2493E">
        <w:t xml:space="preserve"> In the case of an Unavailability Period caused by an FME declared by Seller </w:t>
      </w:r>
      <w:r w:rsidRPr="00C2493E">
        <w:rPr>
          <w:rFonts w:eastAsia="Times New Roman"/>
        </w:rPr>
        <w:t>in accordance with this</w:t>
      </w:r>
      <w:r w:rsidRPr="00C2493E">
        <w:t xml:space="preserve"> Part 15 (</w:t>
      </w:r>
      <w:r w:rsidRPr="00C2493E">
        <w:rPr>
          <w:i/>
        </w:rPr>
        <w:t>Force Majeure</w:t>
      </w:r>
      <w:r w:rsidRPr="00C2493E">
        <w:t>), GPC’s obligation to make a Monthly Capacity Payment for any Month will</w:t>
      </w:r>
      <w:r w:rsidRPr="00C2493E" w:rsidDel="0047554E">
        <w:t xml:space="preserve"> </w:t>
      </w:r>
      <w:r w:rsidRPr="00C2493E">
        <w:t xml:space="preserve">be excused pro rata, based on the number of the Days in the Month and the extent </w:t>
      </w:r>
      <w:r w:rsidRPr="00C2493E" w:rsidR="00F87189">
        <w:t xml:space="preserve">to which </w:t>
      </w:r>
      <w:r w:rsidRPr="00C2493E">
        <w:t xml:space="preserve">Seller is prevented on </w:t>
      </w:r>
      <w:r w:rsidRPr="00C2493E" w:rsidR="00C96FFA">
        <w:t>those</w:t>
      </w:r>
      <w:r w:rsidRPr="00C2493E">
        <w:t xml:space="preserve"> Days from satisfying </w:t>
      </w:r>
      <w:r w:rsidRPr="00C2493E" w:rsidR="00C96FFA">
        <w:t>dispatch</w:t>
      </w:r>
      <w:r w:rsidRPr="00C2493E">
        <w:t xml:space="preserve"> </w:t>
      </w:r>
      <w:r w:rsidRPr="00C2493E" w:rsidR="00C96FFA">
        <w:t>i</w:t>
      </w:r>
      <w:r w:rsidRPr="00C2493E">
        <w:t>nstructions from GPC</w:t>
      </w:r>
      <w:r w:rsidRPr="00C2493E" w:rsidDel="00D21BC5">
        <w:t xml:space="preserve"> </w:t>
      </w:r>
      <w:r w:rsidRPr="00C2493E" w:rsidR="00C63F41">
        <w:t xml:space="preserve">because of </w:t>
      </w:r>
      <w:r w:rsidRPr="00C2493E">
        <w:t>the FME.</w:t>
      </w:r>
    </w:p>
    <w:p w:rsidRPr="00C2493E" w:rsidR="002D54C4" w:rsidRDefault="002D54C4" w14:paraId="66DA85BD" w14:textId="77777777">
      <w:pPr>
        <w:pStyle w:val="zGTC02"/>
        <w:rPr>
          <w:rFonts w:ascii="Arial" w:hAnsi="Arial" w:cs="Arial"/>
          <w:vanish/>
          <w:specVanish/>
        </w:rPr>
      </w:pPr>
      <w:bookmarkStart w:name="_Toc169778657" w:id="634"/>
      <w:bookmarkStart w:name="_Toc227451421" w:id="635"/>
      <w:r w:rsidRPr="00C2493E">
        <w:rPr>
          <w:rFonts w:ascii="Arial" w:hAnsi="Arial" w:cs="Arial"/>
        </w:rPr>
        <w:t>Notice of FME; Updates.</w:t>
      </w:r>
      <w:bookmarkStart w:name="_Toc158593259" w:id="636"/>
      <w:bookmarkStart w:name="_Toc158597538" w:id="637"/>
      <w:bookmarkStart w:name="_Toc158720162" w:id="638"/>
      <w:bookmarkStart w:name="_Toc158722916" w:id="639"/>
      <w:bookmarkStart w:name="_Toc158929448" w:id="640"/>
      <w:bookmarkEnd w:id="634"/>
      <w:bookmarkEnd w:id="635"/>
      <w:bookmarkEnd w:id="636"/>
      <w:bookmarkEnd w:id="637"/>
      <w:bookmarkEnd w:id="638"/>
      <w:bookmarkEnd w:id="639"/>
      <w:bookmarkEnd w:id="640"/>
    </w:p>
    <w:p w:rsidRPr="00C2493E" w:rsidR="002D54C4" w:rsidP="006C0334" w:rsidRDefault="002D54C4" w14:paraId="684986B7" w14:textId="34054188">
      <w:pPr>
        <w:pStyle w:val="zGNormal"/>
        <w:spacing w:before="120" w:after="120"/>
      </w:pPr>
      <w:r w:rsidRPr="00C2493E">
        <w:t xml:space="preserve"> Following the occurrence of an FME, and as a condition to relief under Section 15.</w:t>
      </w:r>
      <w:r w:rsidRPr="00C2493E" w:rsidR="00FC3485">
        <w:t>6 (</w:t>
      </w:r>
      <w:r w:rsidRPr="00C2493E" w:rsidR="00FC3485">
        <w:rPr>
          <w:i/>
          <w:iCs/>
        </w:rPr>
        <w:t>Requirements for Relief</w:t>
      </w:r>
      <w:r w:rsidRPr="00C2493E" w:rsidR="00FC3485">
        <w:t>)</w:t>
      </w:r>
      <w:r w:rsidRPr="00C2493E">
        <w:t>, the affected Party will</w:t>
      </w:r>
      <w:r w:rsidRPr="00C2493E" w:rsidDel="0047554E">
        <w:t xml:space="preserve"> </w:t>
      </w:r>
      <w:r w:rsidRPr="00C2493E">
        <w:t xml:space="preserve">give the other Party notice of the FME  as promptly as possible after the </w:t>
      </w:r>
      <w:r w:rsidR="00FF507A">
        <w:t xml:space="preserve">affected </w:t>
      </w:r>
      <w:r w:rsidRPr="00C2493E">
        <w:t xml:space="preserve">Party becomes aware of the FME, but in no event later than 10 Business Days after </w:t>
      </w:r>
      <w:r w:rsidR="00223C69">
        <w:t xml:space="preserve">the affected </w:t>
      </w:r>
      <w:r w:rsidR="00FF507A">
        <w:t>P</w:t>
      </w:r>
      <w:r w:rsidR="00223C69">
        <w:t>arty knew o</w:t>
      </w:r>
      <w:r w:rsidR="00937E45">
        <w:t>r</w:t>
      </w:r>
      <w:r w:rsidR="00223C69">
        <w:t xml:space="preserve"> should have known of </w:t>
      </w:r>
      <w:r w:rsidRPr="00C2493E">
        <w:t>the occurrence of the FME. The notice must describe the particulars of the FME, including an estimate of the anticipated duration and effect of the FME (if reasonably estimable) upon the performance of the Party’s obligations or satisfaction of any conditions under this PPA (including, if Seller is the affected Party, Seller must</w:t>
      </w:r>
      <w:r w:rsidRPr="00C2493E" w:rsidDel="0047554E">
        <w:t xml:space="preserve"> </w:t>
      </w:r>
      <w:r w:rsidRPr="00C2493E">
        <w:t>provide GPC</w:t>
      </w:r>
      <w:r w:rsidRPr="00C2493E" w:rsidDel="00D21BC5">
        <w:t xml:space="preserve"> </w:t>
      </w:r>
      <w:r w:rsidRPr="00C2493E">
        <w:t xml:space="preserve">with information reasonably required to determine the reduction of the </w:t>
      </w:r>
      <w:r w:rsidR="0085582C">
        <w:t>B</w:t>
      </w:r>
      <w:r w:rsidRPr="00C2493E">
        <w:t xml:space="preserve">ESS </w:t>
      </w:r>
      <w:r w:rsidRPr="00C2493E" w:rsidR="00A072E1">
        <w:t>operational</w:t>
      </w:r>
      <w:r w:rsidRPr="00C2493E">
        <w:t xml:space="preserve"> capability), and discussing any actions being taken to avoid or minimize the effect of the FME. The affected Party will</w:t>
      </w:r>
      <w:r w:rsidRPr="00C2493E" w:rsidDel="0047554E">
        <w:t xml:space="preserve"> </w:t>
      </w:r>
      <w:r w:rsidRPr="00C2493E">
        <w:t xml:space="preserve">have a continuing obligation to deliver to the other Party regular updated reports and any additional documentation and analysis supporting its claim regarding an FME. </w:t>
      </w:r>
    </w:p>
    <w:p w:rsidRPr="00C2493E" w:rsidR="002D54C4" w:rsidP="006C0334" w:rsidRDefault="002D54C4" w14:paraId="67C1F943" w14:textId="48AFD313">
      <w:pPr>
        <w:pStyle w:val="zGNormal"/>
        <w:spacing w:before="120" w:after="120"/>
      </w:pPr>
      <w:r w:rsidRPr="00C2493E">
        <w:t>Despite the preceding sentences, if the affected Party fails to provide initial notice within the 10 Business Day period or, following the affected Party’s initial notice, the affected Party fails to provide reasonable reports and substantiation of the claimed FME as required by this Part 15 (</w:t>
      </w:r>
      <w:r w:rsidRPr="00C2493E">
        <w:rPr>
          <w:i/>
        </w:rPr>
        <w:t>Force Majeure</w:t>
      </w:r>
      <w:r w:rsidRPr="00C2493E">
        <w:t>), the event or condition will be deemed not to be an FME and the affected Party’s performance will not be excused as a result of the FME.</w:t>
      </w:r>
    </w:p>
    <w:p w:rsidRPr="00C2493E" w:rsidR="002D54C4" w:rsidP="00BB7345" w:rsidRDefault="002D54C4" w14:paraId="178476EE" w14:textId="1AA7F98B">
      <w:pPr>
        <w:pStyle w:val="zGTC02"/>
        <w:rPr>
          <w:rFonts w:ascii="Arial" w:hAnsi="Arial" w:cs="Arial"/>
          <w:vanish/>
          <w:specVanish/>
        </w:rPr>
      </w:pPr>
      <w:bookmarkStart w:name="_Toc169778658" w:id="641"/>
      <w:bookmarkStart w:name="_Toc227451422" w:id="642"/>
      <w:r w:rsidRPr="00C2493E">
        <w:rPr>
          <w:rFonts w:ascii="Arial" w:hAnsi="Arial" w:cs="Arial"/>
        </w:rPr>
        <w:t>Requirements for Relief.</w:t>
      </w:r>
      <w:bookmarkEnd w:id="641"/>
      <w:bookmarkEnd w:id="642"/>
    </w:p>
    <w:p w:rsidRPr="00C2493E" w:rsidR="002D54C4" w:rsidRDefault="002D54C4" w14:paraId="4FD3380A" w14:textId="7E2E4782">
      <w:pPr>
        <w:pStyle w:val="zGNormal"/>
      </w:pPr>
      <w:r w:rsidRPr="00C2493E">
        <w:t xml:space="preserve"> Following the occurrence of an FME, as a condition to relief under Section 15.</w:t>
      </w:r>
      <w:r w:rsidRPr="00C2493E" w:rsidR="00FC3485">
        <w:t>3</w:t>
      </w:r>
      <w:r w:rsidRPr="00C2493E">
        <w:t xml:space="preserve"> (</w:t>
      </w:r>
      <w:r w:rsidRPr="00C2493E">
        <w:rPr>
          <w:i/>
        </w:rPr>
        <w:t>No Breach or Liability</w:t>
      </w:r>
      <w:r w:rsidRPr="00C2493E">
        <w:t xml:space="preserve">): </w:t>
      </w:r>
    </w:p>
    <w:p w:rsidRPr="00C2493E" w:rsidR="002D54C4" w:rsidP="008759EF" w:rsidRDefault="002D54C4" w14:paraId="7519BE95" w14:textId="1D9657E8">
      <w:pPr>
        <w:pStyle w:val="zGTC03"/>
        <w:rPr>
          <w:rFonts w:cs="Arial"/>
          <w:vanish/>
          <w:specVanish/>
        </w:rPr>
      </w:pPr>
      <w:r w:rsidRPr="00C2493E">
        <w:rPr>
          <w:rFonts w:cs="Arial"/>
          <w:b/>
        </w:rPr>
        <w:t>Timely Notice.</w:t>
      </w:r>
      <w:r w:rsidRPr="00C2493E">
        <w:rPr>
          <w:rFonts w:cs="Arial"/>
        </w:rPr>
        <w:t xml:space="preserve"> </w:t>
      </w:r>
    </w:p>
    <w:p w:rsidRPr="00C2493E" w:rsidR="002D54C4" w:rsidRDefault="002D54C4" w14:paraId="77B149FE" w14:textId="25ABEDB2">
      <w:pPr>
        <w:pStyle w:val="zGNormal"/>
      </w:pPr>
      <w:r w:rsidRPr="00C2493E">
        <w:t>The affect</w:t>
      </w:r>
      <w:r w:rsidRPr="00C2493E" w:rsidR="00796D4D">
        <w:t>ed</w:t>
      </w:r>
      <w:r w:rsidRPr="00C2493E">
        <w:t xml:space="preserve"> </w:t>
      </w:r>
      <w:r w:rsidRPr="00C2493E" w:rsidR="00743CDC">
        <w:t>P</w:t>
      </w:r>
      <w:r w:rsidRPr="00C2493E">
        <w:t>arty must comply with the notice requirements of Section 15.</w:t>
      </w:r>
      <w:r w:rsidRPr="00C2493E" w:rsidR="006476F0">
        <w:t>5</w:t>
      </w:r>
      <w:r w:rsidRPr="00C2493E">
        <w:t xml:space="preserve"> (</w:t>
      </w:r>
      <w:r w:rsidRPr="00C2493E">
        <w:rPr>
          <w:i/>
        </w:rPr>
        <w:t>Notice</w:t>
      </w:r>
      <w:r w:rsidRPr="00C2493E" w:rsidR="00796D4D">
        <w:rPr>
          <w:i/>
          <w:iCs/>
        </w:rPr>
        <w:t xml:space="preserve"> of FME; Updates</w:t>
      </w:r>
      <w:r w:rsidRPr="00C2493E">
        <w:t>).</w:t>
      </w:r>
    </w:p>
    <w:p w:rsidRPr="00C2493E" w:rsidR="002D54C4" w:rsidP="008759EF" w:rsidRDefault="002D54C4" w14:paraId="67709CD1" w14:textId="10E489EF">
      <w:pPr>
        <w:pStyle w:val="zGTC03"/>
        <w:rPr>
          <w:rFonts w:cs="Arial"/>
          <w:b/>
          <w:vanish/>
          <w:specVanish/>
        </w:rPr>
      </w:pPr>
      <w:r w:rsidRPr="00C2493E">
        <w:rPr>
          <w:rFonts w:cs="Arial"/>
          <w:b/>
        </w:rPr>
        <w:t>Continued Performance of Obligations.</w:t>
      </w:r>
    </w:p>
    <w:p w:rsidRPr="00C2493E" w:rsidR="002D54C4" w:rsidRDefault="00B67716" w14:paraId="663CEE64" w14:textId="49047487">
      <w:pPr>
        <w:pStyle w:val="zGNormal"/>
      </w:pPr>
      <w:r w:rsidRPr="00C2493E">
        <w:t xml:space="preserve"> </w:t>
      </w:r>
      <w:r w:rsidRPr="00C2493E" w:rsidR="002D54C4">
        <w:t>The affected Party will continue to perform its obligations under this PPA to the extent not affected by the FME.</w:t>
      </w:r>
    </w:p>
    <w:p w:rsidRPr="00C2493E" w:rsidR="002D54C4" w:rsidP="008759EF" w:rsidRDefault="002D54C4" w14:paraId="4A9264D1" w14:textId="298E0BB1">
      <w:pPr>
        <w:pStyle w:val="zGTC03"/>
        <w:rPr>
          <w:rFonts w:cs="Arial"/>
          <w:b/>
          <w:vanish/>
          <w:specVanish/>
        </w:rPr>
      </w:pPr>
      <w:r w:rsidRPr="00C2493E">
        <w:rPr>
          <w:rFonts w:cs="Arial"/>
          <w:b/>
        </w:rPr>
        <w:t>Reasonable Efforts to Mitigate.</w:t>
      </w:r>
    </w:p>
    <w:p w:rsidRPr="00C2493E" w:rsidR="002D54C4" w:rsidRDefault="002D54C4" w14:paraId="6D3294BE" w14:textId="0E56CCAA">
      <w:pPr>
        <w:pStyle w:val="zGNormal"/>
      </w:pPr>
      <w:r w:rsidRPr="00C2493E">
        <w:t xml:space="preserve"> The affected Party will remedy its inability to perform as soon as reasonably practicable</w:t>
      </w:r>
      <w:r w:rsidRPr="00C2493E" w:rsidR="00571F98">
        <w:t xml:space="preserve">, </w:t>
      </w:r>
      <w:r w:rsidRPr="00C2493E">
        <w:t>but this Section 15.</w:t>
      </w:r>
      <w:r w:rsidRPr="00C2493E" w:rsidR="00796D4D">
        <w:t>6</w:t>
      </w:r>
      <w:r w:rsidRPr="00C2493E">
        <w:t xml:space="preserve"> (</w:t>
      </w:r>
      <w:r w:rsidRPr="00C2493E">
        <w:rPr>
          <w:i/>
        </w:rPr>
        <w:t>Requirements for Relief</w:t>
      </w:r>
      <w:r w:rsidRPr="00C2493E">
        <w:t>) will not require the settlement of any non-</w:t>
      </w:r>
      <w:r w:rsidRPr="00C2493E" w:rsidR="00F551C1">
        <w:t>S</w:t>
      </w:r>
      <w:r w:rsidRPr="00C2493E">
        <w:t>ite</w:t>
      </w:r>
      <w:r w:rsidRPr="00C2493E" w:rsidR="00F551C1">
        <w:t>-</w:t>
      </w:r>
      <w:r w:rsidRPr="00C2493E">
        <w:t xml:space="preserve">specific strike, walkout, lockout, or other general labor dispute on terms which, in the sole judgment of the affected Party, are contrary to its interest. </w:t>
      </w:r>
    </w:p>
    <w:p w:rsidRPr="00C2493E" w:rsidR="002D54C4" w:rsidP="008759EF" w:rsidRDefault="002D54C4" w14:paraId="48812FAA" w14:textId="4B8D7D44">
      <w:pPr>
        <w:pStyle w:val="zGTC03"/>
        <w:rPr>
          <w:rFonts w:cs="Arial"/>
          <w:b/>
          <w:vanish/>
          <w:specVanish/>
        </w:rPr>
      </w:pPr>
      <w:r w:rsidRPr="00C2493E">
        <w:rPr>
          <w:rFonts w:cs="Arial"/>
          <w:b/>
        </w:rPr>
        <w:lastRenderedPageBreak/>
        <w:t>Resume Performance.</w:t>
      </w:r>
    </w:p>
    <w:p w:rsidRPr="00C2493E" w:rsidR="002D54C4" w:rsidRDefault="002D54C4" w14:paraId="1F0E634D" w14:textId="1C41637C">
      <w:pPr>
        <w:pStyle w:val="zGNormal"/>
      </w:pPr>
      <w:r w:rsidRPr="00C2493E">
        <w:rPr>
          <w:b/>
        </w:rPr>
        <w:t xml:space="preserve"> </w:t>
      </w:r>
      <w:r w:rsidRPr="00C2493E">
        <w:t>When the affected Party can resume performance of its obligations under this PPA, the affected Party will promptly provide notice to the other Party, promptly resume such performance, and provide the other Party with a written certification from an independent, registered engineer</w:t>
      </w:r>
      <w:r w:rsidRPr="00C2493E" w:rsidR="00630658">
        <w:t xml:space="preserve"> </w:t>
      </w:r>
      <w:r w:rsidRPr="00C2493E">
        <w:t>that the FME has been cured.</w:t>
      </w:r>
    </w:p>
    <w:p w:rsidRPr="00C2493E" w:rsidR="002D54C4" w:rsidRDefault="002D54C4" w14:paraId="060452F3" w14:textId="77777777">
      <w:pPr>
        <w:pStyle w:val="zGTC02"/>
        <w:rPr>
          <w:rFonts w:ascii="Arial" w:hAnsi="Arial" w:cs="Arial"/>
          <w:specVanish/>
        </w:rPr>
      </w:pPr>
      <w:bookmarkStart w:name="_Toc169778659" w:id="643"/>
      <w:bookmarkStart w:name="_Toc227451423" w:id="644"/>
      <w:r w:rsidRPr="00C2493E">
        <w:rPr>
          <w:rFonts w:ascii="Arial" w:hAnsi="Arial" w:cs="Arial"/>
        </w:rPr>
        <w:t>Extended FME.</w:t>
      </w:r>
      <w:bookmarkStart w:name="_Toc158593261" w:id="645"/>
      <w:bookmarkStart w:name="_Toc158597540" w:id="646"/>
      <w:bookmarkStart w:name="_Toc158720164" w:id="647"/>
      <w:bookmarkStart w:name="_Toc158722918" w:id="648"/>
      <w:bookmarkStart w:name="_Toc158929450" w:id="649"/>
      <w:bookmarkEnd w:id="643"/>
      <w:bookmarkEnd w:id="644"/>
      <w:bookmarkEnd w:id="645"/>
      <w:bookmarkEnd w:id="646"/>
      <w:bookmarkEnd w:id="647"/>
      <w:bookmarkEnd w:id="648"/>
      <w:bookmarkEnd w:id="649"/>
    </w:p>
    <w:p w:rsidRPr="00C2493E" w:rsidR="002D54C4" w:rsidP="008759EF" w:rsidRDefault="002D54C4" w14:paraId="5C99FBAA" w14:textId="77777777">
      <w:pPr>
        <w:pStyle w:val="zGTC03"/>
        <w:rPr>
          <w:rFonts w:cs="Arial"/>
          <w:vanish/>
          <w:specVanish/>
        </w:rPr>
      </w:pPr>
      <w:r w:rsidRPr="00C2493E">
        <w:rPr>
          <w:rFonts w:cs="Arial"/>
          <w:b/>
        </w:rPr>
        <w:t>Notice and Remedy Plan for Extended FME.</w:t>
      </w:r>
      <w:r w:rsidRPr="00C2493E">
        <w:rPr>
          <w:rFonts w:cs="Arial"/>
        </w:rPr>
        <w:t xml:space="preserve"> </w:t>
      </w:r>
    </w:p>
    <w:p w:rsidRPr="00C2493E" w:rsidR="002D54C4" w:rsidRDefault="002D54C4" w14:paraId="1A589C60" w14:textId="59C876A6">
      <w:pPr>
        <w:pStyle w:val="zGNormal"/>
      </w:pPr>
      <w:r w:rsidRPr="00C2493E">
        <w:t xml:space="preserve"> If the affected Party has reason to believe that a suspension of performance due to a</w:t>
      </w:r>
      <w:r w:rsidRPr="00C2493E" w:rsidR="00E36761">
        <w:t>n FME</w:t>
      </w:r>
      <w:r w:rsidRPr="00C2493E">
        <w:t xml:space="preserve"> will continue for a period of six Months or longer following the initial suspension of performance resulting from the Force Majeure Event (an “</w:t>
      </w:r>
      <w:r w:rsidRPr="00C2493E">
        <w:rPr>
          <w:b/>
        </w:rPr>
        <w:t>Extended FME</w:t>
      </w:r>
      <w:r w:rsidRPr="00C2493E">
        <w:t>”), the affected Party must</w:t>
      </w:r>
      <w:r w:rsidRPr="00C2493E" w:rsidDel="00102E30">
        <w:t xml:space="preserve"> </w:t>
      </w:r>
      <w:r w:rsidRPr="00C2493E">
        <w:t>notify the other Party promptly and will</w:t>
      </w:r>
      <w:r w:rsidRPr="00C2493E" w:rsidDel="00102E30">
        <w:t xml:space="preserve"> </w:t>
      </w:r>
      <w:r w:rsidRPr="00C2493E">
        <w:t>submit an “</w:t>
      </w:r>
      <w:r w:rsidRPr="00C2493E">
        <w:rPr>
          <w:b/>
        </w:rPr>
        <w:t>FME Remedy Plan</w:t>
      </w:r>
      <w:r w:rsidRPr="00C2493E">
        <w:t xml:space="preserve">” to the other Party no later than 30 Days after the affected Party’s initial notice to the other Party. In addition, if the other Party has reason to believe that </w:t>
      </w:r>
      <w:bookmarkStart w:name="_Hlk23238942" w:id="650"/>
      <w:r w:rsidRPr="00C2493E">
        <w:t xml:space="preserve">an FME will be an Extended </w:t>
      </w:r>
      <w:bookmarkEnd w:id="650"/>
      <w:r w:rsidRPr="00C2493E">
        <w:t>FME, the other Party may request that the affected Party submit an FME Remedy Plan to the other Party, which the affected Party will</w:t>
      </w:r>
      <w:r w:rsidRPr="00C2493E" w:rsidDel="00102E30">
        <w:t xml:space="preserve"> </w:t>
      </w:r>
      <w:r w:rsidRPr="00C2493E">
        <w:t>submit to the requesting Party no later than 30 Days after the other Party’s request. The FME Remedy Plan must</w:t>
      </w:r>
      <w:r w:rsidRPr="00C2493E" w:rsidDel="00102E30">
        <w:t xml:space="preserve"> </w:t>
      </w:r>
      <w:r w:rsidRPr="00C2493E">
        <w:t xml:space="preserve">set forth a plan and schedule for remedial measures (including a description of necessary repairs, improvements, changes to operations, or other actions) to cure the effects of the FME and to enable the affected Party to </w:t>
      </w:r>
      <w:bookmarkStart w:name="_Hlk23240186" w:id="651"/>
      <w:r w:rsidRPr="00C2493E">
        <w:t>perform its obligations and resume full performance of the suspended obligations under this PPA as soon as reasonably practicable</w:t>
      </w:r>
      <w:bookmarkEnd w:id="651"/>
      <w:r w:rsidRPr="00C2493E">
        <w:t xml:space="preserve">. The affected Party must diligently pursue the performance of the FME Remedy Plan to completion. </w:t>
      </w:r>
    </w:p>
    <w:p w:rsidRPr="00C2493E" w:rsidR="002D54C4" w:rsidP="008759EF" w:rsidRDefault="002D54C4" w14:paraId="3BFF7AED" w14:textId="193FE846">
      <w:pPr>
        <w:pStyle w:val="zGTC03"/>
        <w:rPr>
          <w:rFonts w:cs="Arial"/>
          <w:b/>
          <w:vanish/>
          <w:specVanish/>
        </w:rPr>
      </w:pPr>
      <w:r w:rsidRPr="00C2493E">
        <w:rPr>
          <w:rFonts w:cs="Arial"/>
          <w:b/>
        </w:rPr>
        <w:t>Monthly Status Reports and Updates to FME Remedy Plan.</w:t>
      </w:r>
    </w:p>
    <w:p w:rsidRPr="00C2493E" w:rsidR="002D54C4" w:rsidP="00C12744" w:rsidRDefault="002D54C4" w14:paraId="79835663" w14:textId="22776B47">
      <w:pPr>
        <w:pStyle w:val="zGNormal"/>
        <w:tabs>
          <w:tab w:val="left" w:pos="0"/>
        </w:tabs>
      </w:pPr>
      <w:r w:rsidRPr="00C2493E">
        <w:rPr>
          <w:b/>
        </w:rPr>
        <w:t xml:space="preserve"> </w:t>
      </w:r>
      <w:r w:rsidRPr="00C2493E">
        <w:t>While an FME Remedy Plan is in effect, the affected Party must</w:t>
      </w:r>
      <w:r w:rsidRPr="00C2493E" w:rsidDel="00102E30">
        <w:t xml:space="preserve"> </w:t>
      </w:r>
      <w:r w:rsidRPr="00C2493E">
        <w:t>provide the other Party with Monthly status reports regarding the implementation of the FME Remedy Plan, any other measures to remedy the FME, any changes to the FME Remedy Plan, and the expected remaining duration of the Party’s inability to perform its obligations, and any additional relevant information as may be reasonably requested by the other Party. The affected Party must</w:t>
      </w:r>
      <w:r w:rsidRPr="00C2493E" w:rsidDel="00102E30">
        <w:t xml:space="preserve"> </w:t>
      </w:r>
      <w:r w:rsidRPr="00C2493E">
        <w:t>modify the FME Remedy Plan if and as needed to achieve the objective of resuming full performance of the suspended obligations under this PPA as soon as reasonably practicable.</w:t>
      </w:r>
    </w:p>
    <w:p w:rsidRPr="00C2493E" w:rsidR="002D54C4" w:rsidP="008759EF" w:rsidRDefault="002D54C4" w14:paraId="3E961657" w14:textId="7E03021A">
      <w:pPr>
        <w:pStyle w:val="zGTC03"/>
        <w:rPr>
          <w:rFonts w:cs="Arial"/>
          <w:b/>
          <w:vanish/>
          <w:specVanish/>
        </w:rPr>
      </w:pPr>
      <w:r w:rsidRPr="00C2493E">
        <w:rPr>
          <w:rFonts w:cs="Arial"/>
          <w:b/>
        </w:rPr>
        <w:t>Early Termination Resulting from an Extended FME.</w:t>
      </w:r>
    </w:p>
    <w:p w:rsidRPr="00C2493E" w:rsidR="002D54C4" w:rsidRDefault="002D54C4" w14:paraId="1EE3E38B" w14:textId="13924EE3">
      <w:pPr>
        <w:pStyle w:val="zGNormal"/>
      </w:pPr>
      <w:r w:rsidRPr="00C2493E">
        <w:rPr>
          <w:b/>
        </w:rPr>
        <w:t xml:space="preserve"> </w:t>
      </w:r>
      <w:r w:rsidRPr="00C2493E">
        <w:t>The Party not prevented from performing its obligations due to the FME may at any time terminate this PPA effective upon 10 Days prior notice to the affected Party if: (i) the affected Party does not or cannot provide an FME Remedy Plan as required by this Section 15.</w:t>
      </w:r>
      <w:r w:rsidRPr="00C2493E" w:rsidR="00676D79">
        <w:t>7</w:t>
      </w:r>
      <w:r w:rsidRPr="00C2493E">
        <w:t xml:space="preserve"> (</w:t>
      </w:r>
      <w:r w:rsidRPr="00A209DC">
        <w:rPr>
          <w:i/>
          <w:iCs/>
        </w:rPr>
        <w:t>Extended FME</w:t>
      </w:r>
      <w:r w:rsidRPr="00C2493E">
        <w:t xml:space="preserve">); (ii) the affected Party does not or cannot carry out the FME Remedy Plan in a method reasonably designed to achieve the objective of resuming full performance of the suspended obligations under this PPA as soon as reasonably practicable; or (iii) the affected Party remains unable to perform the suspended PPA obligations </w:t>
      </w:r>
      <w:r w:rsidR="001D74E2">
        <w:t xml:space="preserve">for </w:t>
      </w:r>
      <w:r w:rsidRPr="00C2493E">
        <w:t xml:space="preserve">12 Months </w:t>
      </w:r>
      <w:bookmarkStart w:name="_Hlk23239141" w:id="652"/>
      <w:r w:rsidRPr="00C2493E">
        <w:t xml:space="preserve">following the </w:t>
      </w:r>
      <w:r w:rsidRPr="00C2493E" w:rsidR="00160AC5">
        <w:t xml:space="preserve">date of </w:t>
      </w:r>
      <w:r w:rsidRPr="00C2493E">
        <w:t xml:space="preserve">initial suspension of performance resulting from the </w:t>
      </w:r>
      <w:bookmarkEnd w:id="652"/>
      <w:r w:rsidRPr="00C2493E">
        <w:t>FME. For purposes of subsection (iii) of this Section 15.</w:t>
      </w:r>
      <w:r w:rsidRPr="00C2493E" w:rsidR="00676D79">
        <w:t>7</w:t>
      </w:r>
      <w:r w:rsidRPr="00C2493E">
        <w:t>.3, the 12-Month period need not be continuous only if each period of suspension of performance comprising the 12-Month period is the result of a common cause such that, if the cause had been cured following the first suspension of performance, the additional suspensions of performance would not have occurred.</w:t>
      </w:r>
    </w:p>
    <w:p w:rsidRPr="00C2493E" w:rsidR="002D54C4" w:rsidP="008759EF" w:rsidRDefault="002D54C4" w14:paraId="279D2077" w14:textId="6125705A">
      <w:pPr>
        <w:pStyle w:val="zGTC03"/>
        <w:rPr>
          <w:rFonts w:cs="Arial"/>
          <w:b/>
          <w:vanish/>
          <w:specVanish/>
        </w:rPr>
      </w:pPr>
      <w:r w:rsidRPr="00C2493E">
        <w:rPr>
          <w:rFonts w:cs="Arial"/>
          <w:b/>
        </w:rPr>
        <w:t xml:space="preserve">Liability following Termination. </w:t>
      </w:r>
    </w:p>
    <w:p w:rsidRPr="00C2493E" w:rsidR="002D54C4" w:rsidRDefault="002D54C4" w14:paraId="51F34E52" w14:textId="5CD1AB43">
      <w:pPr>
        <w:pStyle w:val="zGNormal"/>
      </w:pPr>
      <w:r w:rsidRPr="00C2493E">
        <w:rPr>
          <w:b/>
        </w:rPr>
        <w:t xml:space="preserve"> </w:t>
      </w:r>
      <w:r w:rsidRPr="00C2493E">
        <w:t>Upon any termination of this PPA as provided in Section 15.</w:t>
      </w:r>
      <w:r w:rsidRPr="00C2493E" w:rsidR="007876C8">
        <w:t>7</w:t>
      </w:r>
      <w:r w:rsidRPr="00C2493E">
        <w:t>.3 (</w:t>
      </w:r>
      <w:r w:rsidRPr="00C2493E">
        <w:rPr>
          <w:i/>
        </w:rPr>
        <w:t>Early Termination Resulting from an Extended FME</w:t>
      </w:r>
      <w:r w:rsidRPr="00C2493E">
        <w:t>), the Parties will</w:t>
      </w:r>
      <w:r w:rsidRPr="00C2493E" w:rsidDel="00102E30">
        <w:t xml:space="preserve"> </w:t>
      </w:r>
      <w:r w:rsidRPr="00C2493E">
        <w:t>have no further liability or obligation to each other except for any obligation arising prior to the date of the termination or as provided in Section 1.2 (</w:t>
      </w:r>
      <w:r w:rsidRPr="00C2493E">
        <w:rPr>
          <w:i/>
        </w:rPr>
        <w:t>Survival</w:t>
      </w:r>
      <w:r w:rsidRPr="00C2493E">
        <w:t>).</w:t>
      </w:r>
    </w:p>
    <w:p w:rsidRPr="00C2493E" w:rsidR="002D54C4" w:rsidP="00ED6839" w:rsidRDefault="002D54C4" w14:paraId="7E107880" w14:textId="77777777">
      <w:pPr>
        <w:pStyle w:val="zGTC01"/>
        <w:rPr>
          <w:rFonts w:ascii="Arial" w:hAnsi="Arial"/>
          <w:szCs w:val="20"/>
        </w:rPr>
      </w:pPr>
      <w:bookmarkStart w:name="_Toc169778660" w:id="653"/>
      <w:bookmarkStart w:name="_Toc227451424" w:id="654"/>
      <w:r w:rsidRPr="00C2493E">
        <w:rPr>
          <w:rFonts w:ascii="Arial" w:hAnsi="Arial"/>
        </w:rPr>
        <w:t>Default and Remedies</w:t>
      </w:r>
      <w:bookmarkEnd w:id="653"/>
      <w:bookmarkEnd w:id="654"/>
    </w:p>
    <w:p w:rsidRPr="00C2493E" w:rsidR="002D54C4" w:rsidRDefault="002D54C4" w14:paraId="58EBC919" w14:textId="77777777">
      <w:pPr>
        <w:pStyle w:val="zGTC02"/>
        <w:rPr>
          <w:rFonts w:ascii="Arial" w:hAnsi="Arial" w:cs="Arial"/>
          <w:vanish/>
          <w:specVanish/>
        </w:rPr>
      </w:pPr>
      <w:bookmarkStart w:name="_Toc169778661" w:id="655"/>
      <w:bookmarkStart w:name="_Toc227451425" w:id="656"/>
      <w:r w:rsidRPr="00C2493E">
        <w:rPr>
          <w:rFonts w:ascii="Arial" w:hAnsi="Arial" w:cs="Arial"/>
        </w:rPr>
        <w:t>Default by Seller.</w:t>
      </w:r>
      <w:bookmarkStart w:name="_Toc158593263" w:id="657"/>
      <w:bookmarkStart w:name="_Toc158597542" w:id="658"/>
      <w:bookmarkStart w:name="_Toc158720166" w:id="659"/>
      <w:bookmarkStart w:name="_Toc158722920" w:id="660"/>
      <w:bookmarkStart w:name="_Toc158929452" w:id="661"/>
      <w:bookmarkEnd w:id="655"/>
      <w:bookmarkEnd w:id="656"/>
      <w:bookmarkEnd w:id="657"/>
      <w:bookmarkEnd w:id="658"/>
      <w:bookmarkEnd w:id="659"/>
      <w:bookmarkEnd w:id="660"/>
      <w:bookmarkEnd w:id="661"/>
    </w:p>
    <w:p w:rsidRPr="00C2493E" w:rsidR="002D54C4" w:rsidRDefault="002D54C4" w14:paraId="688EB4FF" w14:textId="77777777">
      <w:pPr>
        <w:pStyle w:val="zGNormal"/>
      </w:pPr>
      <w:r w:rsidRPr="00C2493E">
        <w:t xml:space="preserve"> The occurrence of any of the following events will</w:t>
      </w:r>
      <w:r w:rsidRPr="00C2493E" w:rsidDel="00102E30">
        <w:t xml:space="preserve"> </w:t>
      </w:r>
      <w:r w:rsidRPr="00C2493E">
        <w:t>constitute a Seller Event of Default:</w:t>
      </w:r>
    </w:p>
    <w:p w:rsidRPr="00C2493E" w:rsidR="002D54C4" w:rsidP="008759EF" w:rsidRDefault="002D54C4" w14:paraId="45C29093" w14:textId="39A79062">
      <w:pPr>
        <w:pStyle w:val="zGTC03"/>
        <w:rPr>
          <w:rFonts w:cs="Arial"/>
          <w:b/>
          <w:vanish/>
          <w:specVanish/>
        </w:rPr>
      </w:pPr>
      <w:r w:rsidRPr="00C2493E">
        <w:rPr>
          <w:rFonts w:cs="Arial"/>
          <w:b/>
        </w:rPr>
        <w:t>Incorrect Representation or Warranty.</w:t>
      </w:r>
    </w:p>
    <w:p w:rsidRPr="00C2493E" w:rsidR="002D54C4" w:rsidRDefault="002D54C4" w14:paraId="54312D7E" w14:textId="6EE90ED6">
      <w:pPr>
        <w:pStyle w:val="zGNormal"/>
      </w:pPr>
      <w:r w:rsidRPr="00C2493E">
        <w:t xml:space="preserve"> Any Seller representation or warranty in this</w:t>
      </w:r>
      <w:r w:rsidRPr="00C2493E" w:rsidDel="007776A5">
        <w:t xml:space="preserve"> </w:t>
      </w:r>
      <w:r w:rsidRPr="00C2493E">
        <w:t xml:space="preserve">PPA or in any certificate or other document delivered to GPC in accordance with this PPA proves to be incorrect in any material respect when made, unless Seller promptly commences and diligently pursues action to cause the representation or warranty to become true in all material </w:t>
      </w:r>
      <w:r w:rsidRPr="00C2493E">
        <w:lastRenderedPageBreak/>
        <w:t>respects and does so within 30 Days after GPC provides Seller notice of the incorrect representation or warranty (unless the cure is not capable of being accomplished within the 30</w:t>
      </w:r>
      <w:r w:rsidR="00EA1210">
        <w:t xml:space="preserve"> </w:t>
      </w:r>
      <w:r w:rsidRPr="00C2493E">
        <w:t>Days,</w:t>
      </w:r>
      <w:r w:rsidRPr="00C2493E" w:rsidDel="00AA6D3B">
        <w:t xml:space="preserve"> </w:t>
      </w:r>
      <w:r w:rsidRPr="00C2493E">
        <w:t>in which case Seller will have an additional 30</w:t>
      </w:r>
      <w:r w:rsidR="00EA1210">
        <w:t xml:space="preserve"> </w:t>
      </w:r>
      <w:r w:rsidRPr="00C2493E">
        <w:t>Days to perform the cure) and the cure removes any material adverse effect on GPC of the incorrect representation or warranty.</w:t>
      </w:r>
      <w:r w:rsidR="00486217">
        <w:t xml:space="preserve"> However, no Event of Default by Seller will occur under this Section 16.1.1 regarding: (i) </w:t>
      </w:r>
      <w:r w:rsidR="001457E9">
        <w:t xml:space="preserve">any certificate provided under </w:t>
      </w:r>
      <w:r w:rsidR="00486217">
        <w:t>Section 2.1.8 (</w:t>
      </w:r>
      <w:r w:rsidR="00486217">
        <w:rPr>
          <w:i/>
        </w:rPr>
        <w:t>VIE</w:t>
      </w:r>
      <w:r w:rsidR="00B804AF">
        <w:rPr>
          <w:i/>
        </w:rPr>
        <w:t xml:space="preserve"> </w:t>
      </w:r>
      <w:r w:rsidR="00486217">
        <w:rPr>
          <w:i/>
        </w:rPr>
        <w:t>Certification</w:t>
      </w:r>
      <w:r w:rsidR="00486217">
        <w:t>) if Seller cooperates with GPC during the cure period and Seller takes commercially reasonable actions (without causing a material adverse effect on GPC) necessary to bring about a determination by GPC and its independent auditor that Seller does not constitute a VIE for which GPC is the Primary Beneficiary as a result of this PPA; or (</w:t>
      </w:r>
      <w:r w:rsidR="50FB2550">
        <w:t>ii</w:t>
      </w:r>
      <w:r w:rsidR="00486217">
        <w:t>) Section 2.1.14 (</w:t>
      </w:r>
      <w:r w:rsidR="00486217">
        <w:rPr>
          <w:i/>
        </w:rPr>
        <w:t>Environmental Compliance Certification</w:t>
      </w:r>
      <w:r w:rsidR="00486217">
        <w:t>) if GPC determines in its sole discretion, that the incorrect representation, warranty, or covenant is not material, Seller cooperates with GPC during the cure period, and Seller takes commercially reasonable actions (without causing a material adverse effect on GPC) necessary to correct the immaterial representation, warranty, or covenant to GPC’s satisfaction.</w:t>
      </w:r>
    </w:p>
    <w:p w:rsidRPr="00C2493E" w:rsidR="002D54C4" w:rsidP="008759EF" w:rsidRDefault="002D54C4" w14:paraId="7DAB2FA8" w14:textId="77777777">
      <w:pPr>
        <w:pStyle w:val="zGTC03"/>
        <w:rPr>
          <w:rFonts w:cs="Arial"/>
          <w:b/>
          <w:vanish/>
          <w:specVanish/>
        </w:rPr>
      </w:pPr>
      <w:r w:rsidRPr="00C2493E">
        <w:rPr>
          <w:rFonts w:cs="Arial"/>
          <w:b/>
        </w:rPr>
        <w:t xml:space="preserve">Involuntary Bankruptcy, Insolvency, or Reorganization. </w:t>
      </w:r>
    </w:p>
    <w:p w:rsidRPr="00C2493E" w:rsidR="002D54C4" w:rsidRDefault="002D54C4" w14:paraId="2B504E06" w14:textId="53E6552D">
      <w:pPr>
        <w:pStyle w:val="zGNormal"/>
      </w:pPr>
      <w:r w:rsidRPr="00C2493E">
        <w:rPr>
          <w:b/>
        </w:rPr>
        <w:t xml:space="preserve"> </w:t>
      </w:r>
      <w:r w:rsidRPr="00C2493E">
        <w:t>A court having jurisdiction enters: (i) a decree or order for relief in respect of Seller in an involuntary case or proceeding under any applicable Federal or state bankruptcy, insolvency, reorganization, or other similar law; or (ii) a decree or order, the entry of which was sought by an entity other than Seller, adjudicating Seller bankrupt or insolvent, or approving as properly filed a petition seeking reorganization, arrangement, adjustment, or composition of or in respect of Seller under any applicable Federal or state law, or appointing a custodian, receiver, liquidator, assignee, trustee, sequestrator, or other similar official of Seller or of any substantial part of its affairs</w:t>
      </w:r>
      <w:r w:rsidR="5AE0CCA8">
        <w:t xml:space="preserve"> and the proceeding is not stayed or dismissed within 60 Days</w:t>
      </w:r>
      <w:r w:rsidRPr="00C2493E">
        <w:t>.</w:t>
      </w:r>
    </w:p>
    <w:p w:rsidRPr="00C2493E" w:rsidR="002D54C4" w:rsidP="008759EF" w:rsidRDefault="002D54C4" w14:paraId="42CDF7BF" w14:textId="11EC7301">
      <w:pPr>
        <w:pStyle w:val="zGTC03"/>
        <w:rPr>
          <w:rFonts w:cs="Arial"/>
          <w:b/>
          <w:vanish/>
          <w:specVanish/>
        </w:rPr>
      </w:pPr>
      <w:r w:rsidRPr="00C2493E">
        <w:rPr>
          <w:rFonts w:cs="Arial"/>
          <w:b/>
        </w:rPr>
        <w:t>Voluntary Bankruptcy, Insolvency or Reorganization.</w:t>
      </w:r>
    </w:p>
    <w:p w:rsidRPr="00C2493E" w:rsidR="002D54C4" w:rsidRDefault="002D54C4" w14:paraId="72A643BC" w14:textId="77777777">
      <w:pPr>
        <w:pStyle w:val="zGNormal"/>
      </w:pPr>
      <w:r w:rsidRPr="00C2493E">
        <w:rPr>
          <w:b/>
        </w:rPr>
        <w:t xml:space="preserve"> </w:t>
      </w:r>
      <w:r w:rsidRPr="00C2493E">
        <w:t>Seller: (i) commences a voluntary case or proceeding under any applicable federal or state bankruptcy, insolvency, reorganization, or other similar law or any other case or proceeding to be adjudicated bankrupt or insolvent; (ii) consents to the entry of a decree or order for relief in respect of Seller in any involuntary case or proceeding under any applicable federal or state bankruptcy, insolvency, reorganization, or other similar law or to the commencement of any bankruptcy or insolvency case or proceeding against Seller; (iii) files any petition, answer, or consent seeking reorganization or similar relief under any applicable federal or state law, which, if granted would have the effect of relieving Seller of any of its obligations; (iv) consents to the filing of any petition or to the appointment of or taking possession by a custodian, receiver, liquidator, assignee, trustee, sequestrator, or similar official of Seller or of any substantial part of its property; (v) makes an assignment for the benefit of creditors; (vi) admits in writing its inability to generally pay its debts as they become due; or (vii) takes any action in furtherance of any of the preceding.</w:t>
      </w:r>
    </w:p>
    <w:p w:rsidRPr="00C2493E" w:rsidR="002D54C4" w:rsidP="008759EF" w:rsidRDefault="002D54C4" w14:paraId="6F816BF8" w14:textId="39E51839">
      <w:pPr>
        <w:pStyle w:val="zGTC03"/>
        <w:rPr>
          <w:rFonts w:cs="Arial"/>
          <w:b/>
          <w:vanish/>
          <w:specVanish/>
        </w:rPr>
      </w:pPr>
      <w:r w:rsidRPr="00C2493E">
        <w:rPr>
          <w:rFonts w:cs="Arial"/>
          <w:b/>
        </w:rPr>
        <w:t>Failure to Comply with Performance Security Requirements.</w:t>
      </w:r>
    </w:p>
    <w:p w:rsidRPr="00C2493E" w:rsidR="002D54C4" w:rsidRDefault="002D54C4" w14:paraId="5317FFDB" w14:textId="7DEB26AB">
      <w:pPr>
        <w:pStyle w:val="zGNormal"/>
      </w:pPr>
      <w:r w:rsidRPr="00C2493E">
        <w:t xml:space="preserve"> (i) Seller fails to comply or cause compliance with</w:t>
      </w:r>
      <w:r w:rsidRPr="00C2493E" w:rsidDel="0096127D">
        <w:t xml:space="preserve"> </w:t>
      </w:r>
      <w:r w:rsidRPr="00C2493E">
        <w:t>Performance Security requirements of Section 6.1 (</w:t>
      </w:r>
      <w:r w:rsidRPr="00C2493E">
        <w:rPr>
          <w:i/>
        </w:rPr>
        <w:t>Performance Security</w:t>
      </w:r>
      <w:r w:rsidRPr="00C2493E">
        <w:t>);</w:t>
      </w:r>
      <w:r w:rsidR="00864002">
        <w:t xml:space="preserve"> </w:t>
      </w:r>
      <w:r w:rsidRPr="00C2493E">
        <w:t xml:space="preserve">or (ii) Seller Guarantor breaches any of its obligations under the Seller Guaranty or if any representation or warranty Seller Guarantor made in the Seller Guaranty is incorrect in any material respect when made, unless </w:t>
      </w:r>
      <w:r w:rsidRPr="00C2493E" w:rsidR="00E02AAB">
        <w:t xml:space="preserve">Seller cures </w:t>
      </w:r>
      <w:r w:rsidRPr="00C2493E">
        <w:t xml:space="preserve">any of the preceding by the end of the </w:t>
      </w:r>
      <w:r w:rsidR="00424696">
        <w:t>fifth</w:t>
      </w:r>
      <w:r w:rsidRPr="00C2493E" w:rsidR="00424696">
        <w:t xml:space="preserve"> </w:t>
      </w:r>
      <w:r w:rsidRPr="00C2493E">
        <w:t>Business Day following Seller’s receipt of GPC’s notice of a failure under this Section 16.1.4.</w:t>
      </w:r>
    </w:p>
    <w:p w:rsidRPr="00C2493E" w:rsidR="002D54C4" w:rsidP="008759EF" w:rsidRDefault="002D54C4" w14:paraId="5ABF4AA6" w14:textId="282DBB93">
      <w:pPr>
        <w:pStyle w:val="zGTC03"/>
        <w:rPr>
          <w:rFonts w:cs="Arial"/>
          <w:b/>
          <w:vanish/>
          <w:specVanish/>
        </w:rPr>
      </w:pPr>
      <w:r w:rsidRPr="00C2493E">
        <w:rPr>
          <w:rFonts w:cs="Arial"/>
          <w:b/>
        </w:rPr>
        <w:t>Failure to Comply with Other Material PPA Terms.</w:t>
      </w:r>
    </w:p>
    <w:p w:rsidRPr="00C2493E" w:rsidR="002D54C4" w:rsidRDefault="002D54C4" w14:paraId="779FB731" w14:textId="04DB4B90">
      <w:pPr>
        <w:pStyle w:val="zGNormal"/>
      </w:pPr>
      <w:r w:rsidRPr="00C2493E">
        <w:t xml:space="preserve"> Seller fails to perform or observe any material </w:t>
      </w:r>
      <w:r w:rsidRPr="00C2493E" w:rsidR="009120BF">
        <w:t xml:space="preserve">PPA </w:t>
      </w:r>
      <w:r w:rsidRPr="00C2493E">
        <w:t>obligation of Seller, other than those obligations specifically addressed in this Section 16.1 (</w:t>
      </w:r>
      <w:r w:rsidRPr="00C2493E">
        <w:rPr>
          <w:i/>
        </w:rPr>
        <w:t>Default By Seller</w:t>
      </w:r>
      <w:r w:rsidRPr="00C2493E">
        <w:t xml:space="preserve">), which failure continues for a period of 30 Days after notice </w:t>
      </w:r>
      <w:r w:rsidR="00A209DC">
        <w:t>of the failure</w:t>
      </w:r>
      <w:r w:rsidRPr="00C2493E" w:rsidR="00A209DC">
        <w:t xml:space="preserve"> </w:t>
      </w:r>
      <w:r w:rsidRPr="00C2493E">
        <w:t>from GPC</w:t>
      </w:r>
      <w:r w:rsidRPr="00C2493E" w:rsidR="0051265E">
        <w:t>,</w:t>
      </w:r>
      <w:r w:rsidRPr="00C2493E">
        <w:t xml:space="preserve"> unless the cure is not capable of being effected within a 30-Day period, in which case Seller will have an additional </w:t>
      </w:r>
      <w:r w:rsidR="00486217">
        <w:t>6</w:t>
      </w:r>
      <w:r w:rsidRPr="00C2493E">
        <w:t>0-Day period in which to perform the cure</w:t>
      </w:r>
      <w:r w:rsidR="00486217">
        <w:t>, so long as the cure is diligently pursued</w:t>
      </w:r>
      <w:r w:rsidRPr="00C2493E">
        <w:t>.</w:t>
      </w:r>
    </w:p>
    <w:p w:rsidRPr="00C2493E" w:rsidR="002D54C4" w:rsidP="008759EF" w:rsidRDefault="002D54C4" w14:paraId="4543BA6D" w14:textId="7D81AE72">
      <w:pPr>
        <w:pStyle w:val="zGTC03"/>
        <w:rPr>
          <w:rFonts w:cs="Arial"/>
          <w:b/>
          <w:vanish/>
          <w:specVanish/>
        </w:rPr>
      </w:pPr>
      <w:r w:rsidRPr="00C2493E">
        <w:rPr>
          <w:rFonts w:cs="Arial"/>
          <w:b/>
        </w:rPr>
        <w:t>Failure To Comply with PPA Assignment Requirements.</w:t>
      </w:r>
    </w:p>
    <w:p w:rsidRPr="00C2493E" w:rsidR="002D54C4" w:rsidRDefault="002D54C4" w14:paraId="5253C987" w14:textId="5693ECAA">
      <w:pPr>
        <w:pStyle w:val="zGNormal"/>
      </w:pPr>
      <w:r w:rsidRPr="00C2493E">
        <w:t xml:space="preserve"> Seller violates the requirements of Part 18 (</w:t>
      </w:r>
      <w:r w:rsidRPr="00C2493E">
        <w:rPr>
          <w:i/>
        </w:rPr>
        <w:t>Assignment</w:t>
      </w:r>
      <w:r w:rsidRPr="00C2493E" w:rsidR="00B02124">
        <w:rPr>
          <w:i/>
        </w:rPr>
        <w:t xml:space="preserve">, </w:t>
      </w:r>
      <w:r w:rsidRPr="00C2493E">
        <w:rPr>
          <w:i/>
        </w:rPr>
        <w:t>Transfers</w:t>
      </w:r>
      <w:r w:rsidRPr="00C2493E" w:rsidR="00B02124">
        <w:rPr>
          <w:i/>
        </w:rPr>
        <w:t>, and Changes of Control</w:t>
      </w:r>
      <w:r w:rsidRPr="00C2493E">
        <w:t xml:space="preserve">) through an </w:t>
      </w:r>
      <w:r w:rsidR="00E66C62">
        <w:t xml:space="preserve">unpermitted </w:t>
      </w:r>
      <w:r w:rsidRPr="00C2493E">
        <w:t>assignment or transfer of this PPA or an ownership interest in the Facility or through a Change of Control Transaction.</w:t>
      </w:r>
    </w:p>
    <w:p w:rsidRPr="00C2493E" w:rsidR="002D54C4" w:rsidP="008759EF" w:rsidRDefault="002D54C4" w14:paraId="73672964" w14:textId="41ECF041">
      <w:pPr>
        <w:pStyle w:val="zGTC03"/>
        <w:rPr>
          <w:rFonts w:cs="Arial"/>
          <w:b/>
          <w:vanish/>
          <w:specVanish/>
        </w:rPr>
      </w:pPr>
      <w:r w:rsidRPr="00C2493E">
        <w:rPr>
          <w:rFonts w:cs="Arial"/>
          <w:b/>
        </w:rPr>
        <w:lastRenderedPageBreak/>
        <w:t>Failure to Pay Amounts Due to GPC.</w:t>
      </w:r>
    </w:p>
    <w:p w:rsidRPr="00C2493E" w:rsidR="005F634C" w:rsidRDefault="002D54C4" w14:paraId="38D3D5E6" w14:textId="6BEE7388">
      <w:pPr>
        <w:pStyle w:val="zGNormal"/>
      </w:pPr>
      <w:r w:rsidRPr="00C2493E">
        <w:rPr>
          <w:b/>
        </w:rPr>
        <w:t xml:space="preserve"> </w:t>
      </w:r>
      <w:r w:rsidRPr="00C2493E">
        <w:t xml:space="preserve">Seller fails, by the due date, to pay GPC any undisputed amount payable by Seller to GPC </w:t>
      </w:r>
      <w:r w:rsidR="00AF1091">
        <w:t>in accordance with</w:t>
      </w:r>
      <w:r w:rsidRPr="00C2493E" w:rsidR="00AF1091">
        <w:t xml:space="preserve"> </w:t>
      </w:r>
      <w:r w:rsidRPr="00C2493E">
        <w:t>this PPA</w:t>
      </w:r>
      <w:r w:rsidRPr="00C2493E" w:rsidR="00E279E3">
        <w:t xml:space="preserve"> and</w:t>
      </w:r>
      <w:r w:rsidRPr="00C2493E">
        <w:t xml:space="preserve"> fails to cure the failure to pay within 15 Days after receipt of written demand from GPC.</w:t>
      </w:r>
    </w:p>
    <w:p w:rsidRPr="00A04F2F" w:rsidR="000C13A4" w:rsidP="00340E1B" w:rsidRDefault="000C13A4" w14:paraId="4EE21164" w14:textId="493B6D21">
      <w:pPr>
        <w:pStyle w:val="zGTC03"/>
        <w:rPr>
          <w:b/>
          <w:vanish/>
          <w:specVanish/>
        </w:rPr>
      </w:pPr>
      <w:r w:rsidRPr="00C2493E">
        <w:rPr>
          <w:b/>
        </w:rPr>
        <w:t>Storage Performance Metric Achieved Below .</w:t>
      </w:r>
      <w:r w:rsidR="00397F06">
        <w:rPr>
          <w:b/>
        </w:rPr>
        <w:t>6</w:t>
      </w:r>
    </w:p>
    <w:p w:rsidR="000C13A4" w:rsidP="00A04F2F" w:rsidRDefault="00D968A0" w14:paraId="51C213BA" w14:textId="6CA78AC8">
      <w:pPr>
        <w:pStyle w:val="zGNormal"/>
      </w:pPr>
      <w:r w:rsidRPr="00B4237F">
        <w:rPr>
          <w:b/>
        </w:rPr>
        <w:t>.</w:t>
      </w:r>
      <w:r w:rsidRPr="00C2493E" w:rsidR="000C13A4">
        <w:t xml:space="preserve"> The Storage Performance Metric Achieved, as calculated by GPC in accordance with Exhibit C </w:t>
      </w:r>
      <w:r w:rsidRPr="00C2493E" w:rsidR="00232308">
        <w:t>(</w:t>
      </w:r>
      <w:r w:rsidRPr="00C2493E" w:rsidR="00232308">
        <w:rPr>
          <w:bCs/>
          <w:i/>
        </w:rPr>
        <w:t xml:space="preserve">Monthly Capacity Payments; Monthly Capacity Reductions; AGC Performance </w:t>
      </w:r>
      <w:r w:rsidRPr="004C6ED4" w:rsidR="00937930">
        <w:rPr>
          <w:bCs/>
          <w:i/>
        </w:rPr>
        <w:t>Metrics and</w:t>
      </w:r>
      <w:r w:rsidRPr="00C2493E" w:rsidR="00937930">
        <w:rPr>
          <w:bCs/>
          <w:i/>
        </w:rPr>
        <w:t xml:space="preserve"> </w:t>
      </w:r>
      <w:r w:rsidRPr="00C2493E" w:rsidR="00232308">
        <w:rPr>
          <w:bCs/>
          <w:i/>
        </w:rPr>
        <w:t>Requirements</w:t>
      </w:r>
      <w:r w:rsidRPr="00C2493E" w:rsidR="000C13A4">
        <w:t>), is below .</w:t>
      </w:r>
      <w:r w:rsidR="00397F06">
        <w:t>6</w:t>
      </w:r>
      <w:r w:rsidRPr="00C2493E" w:rsidR="004472B1">
        <w:t xml:space="preserve"> </w:t>
      </w:r>
      <w:r w:rsidRPr="00C2493E" w:rsidR="000C13A4">
        <w:t>for any three consecutive Months period or six Months in any 12 Month period</w:t>
      </w:r>
      <w:r w:rsidR="00397F06">
        <w:t xml:space="preserve">, with either event being a separate </w:t>
      </w:r>
      <w:r w:rsidR="00C219A0">
        <w:t>cause for a Seller Event of Default, and Seller fails to cure the applicable default as described in this Section 16.1.8</w:t>
      </w:r>
      <w:r w:rsidRPr="00C2493E" w:rsidR="000C13A4">
        <w:t xml:space="preserve">. </w:t>
      </w:r>
    </w:p>
    <w:p w:rsidR="00111795" w:rsidP="00A04F2F" w:rsidRDefault="00111795" w14:paraId="7C843991" w14:textId="77777777">
      <w:pPr>
        <w:pStyle w:val="zGNormal"/>
      </w:pPr>
    </w:p>
    <w:p w:rsidRPr="00500275" w:rsidR="00500275" w:rsidP="00D94D93" w:rsidRDefault="00500275" w14:paraId="47A6AE38" w14:textId="6518997E">
      <w:pPr>
        <w:numPr>
          <w:ilvl w:val="3"/>
          <w:numId w:val="44"/>
        </w:numPr>
        <w:spacing w:before="120" w:after="0" w:line="240" w:lineRule="auto"/>
        <w:jc w:val="both"/>
        <w:rPr>
          <w:rFonts w:ascii="Arial" w:hAnsi="Arial" w:eastAsia="Times New Roman" w:cs="Times New Roman"/>
          <w:kern w:val="14"/>
          <w:sz w:val="20"/>
          <w:szCs w:val="24"/>
        </w:rPr>
      </w:pPr>
      <w:r w:rsidRPr="00500275">
        <w:rPr>
          <w:rFonts w:ascii="Arial" w:hAnsi="Arial" w:eastAsia="Times New Roman" w:cs="Times New Roman"/>
          <w:kern w:val="14"/>
          <w:sz w:val="20"/>
          <w:szCs w:val="24"/>
        </w:rPr>
        <w:t xml:space="preserve">Seller must: (a) by no later than 10 Days after the applicable default first occurs, submit to GPC a written cure plan identifying the cause of the deficiency and the plan to be implemented by Seller to cure the deficient Storage Performance Metric Achieved; and (b) cure the default within </w:t>
      </w:r>
      <w:r w:rsidR="00F43417">
        <w:rPr>
          <w:rFonts w:ascii="Arial" w:hAnsi="Arial" w:eastAsia="Times New Roman" w:cs="Times New Roman"/>
          <w:kern w:val="14"/>
          <w:sz w:val="20"/>
          <w:szCs w:val="24"/>
        </w:rPr>
        <w:t>the Cure Period</w:t>
      </w:r>
      <w:r w:rsidRPr="00500275">
        <w:rPr>
          <w:rFonts w:ascii="Arial" w:hAnsi="Arial" w:eastAsia="Times New Roman" w:cs="Times New Roman"/>
          <w:kern w:val="14"/>
          <w:sz w:val="20"/>
          <w:szCs w:val="24"/>
        </w:rPr>
        <w:t xml:space="preserve"> after the applicable default first occurs. The </w:t>
      </w:r>
      <w:r w:rsidR="00F43417">
        <w:rPr>
          <w:rFonts w:ascii="Arial" w:hAnsi="Arial" w:eastAsia="Times New Roman" w:cs="Times New Roman"/>
          <w:kern w:val="14"/>
          <w:sz w:val="20"/>
          <w:szCs w:val="24"/>
        </w:rPr>
        <w:t xml:space="preserve">Cure Period </w:t>
      </w:r>
      <w:r w:rsidRPr="00500275">
        <w:rPr>
          <w:rFonts w:ascii="Arial" w:hAnsi="Arial" w:eastAsia="Times New Roman" w:cs="Times New Roman"/>
          <w:kern w:val="14"/>
          <w:sz w:val="20"/>
          <w:szCs w:val="24"/>
        </w:rPr>
        <w:t xml:space="preserve">is subject to Seller diligently seeking </w:t>
      </w:r>
      <w:r w:rsidR="00176FE0">
        <w:rPr>
          <w:rFonts w:ascii="Arial" w:hAnsi="Arial" w:eastAsia="Times New Roman" w:cs="Times New Roman"/>
          <w:kern w:val="14"/>
          <w:sz w:val="20"/>
          <w:szCs w:val="24"/>
        </w:rPr>
        <w:t>to cure</w:t>
      </w:r>
      <w:r w:rsidRPr="00500275">
        <w:rPr>
          <w:rFonts w:ascii="Arial" w:hAnsi="Arial" w:eastAsia="Times New Roman" w:cs="Times New Roman"/>
          <w:kern w:val="14"/>
          <w:sz w:val="20"/>
          <w:szCs w:val="24"/>
        </w:rPr>
        <w:t xml:space="preserve"> the applicable default beginning with the instance that the Storage Performance Metric Achieved was below .6 (for clarity, even if the applicable default has not yet occurred).</w:t>
      </w:r>
    </w:p>
    <w:p w:rsidRPr="00500275" w:rsidR="00500275" w:rsidP="00D94D93" w:rsidRDefault="00500275" w14:paraId="60768677" w14:textId="796041A4">
      <w:pPr>
        <w:numPr>
          <w:ilvl w:val="3"/>
          <w:numId w:val="44"/>
        </w:numPr>
        <w:spacing w:before="120" w:after="0" w:line="240" w:lineRule="auto"/>
        <w:jc w:val="both"/>
        <w:rPr>
          <w:rFonts w:ascii="Arial" w:hAnsi="Arial" w:eastAsia="Times New Roman" w:cs="Times New Roman"/>
          <w:kern w:val="14"/>
          <w:sz w:val="20"/>
          <w:szCs w:val="24"/>
        </w:rPr>
      </w:pPr>
      <w:r w:rsidRPr="00500275">
        <w:rPr>
          <w:rFonts w:ascii="Arial" w:hAnsi="Arial" w:eastAsia="Times New Roman" w:cs="Times New Roman"/>
          <w:kern w:val="14"/>
          <w:sz w:val="20"/>
          <w:szCs w:val="24"/>
        </w:rPr>
        <w:t xml:space="preserve"> If Seller establishes a cure plan as described in 16.1.8(i) but requires a </w:t>
      </w:r>
      <w:r w:rsidR="00D04F9F">
        <w:rPr>
          <w:rFonts w:ascii="Arial" w:hAnsi="Arial" w:eastAsia="Times New Roman" w:cs="Times New Roman"/>
          <w:kern w:val="14"/>
          <w:sz w:val="20"/>
          <w:szCs w:val="24"/>
        </w:rPr>
        <w:t>Cure Period</w:t>
      </w:r>
      <w:r w:rsidRPr="00500275">
        <w:rPr>
          <w:rFonts w:ascii="Arial" w:hAnsi="Arial" w:eastAsia="Times New Roman" w:cs="Times New Roman"/>
          <w:kern w:val="14"/>
          <w:sz w:val="20"/>
          <w:szCs w:val="24"/>
        </w:rPr>
        <w:t xml:space="preserve"> of more than 180 Days, GPC will agree to extend the </w:t>
      </w:r>
      <w:r w:rsidR="008F1222">
        <w:rPr>
          <w:rFonts w:ascii="Arial" w:hAnsi="Arial" w:eastAsia="Times New Roman" w:cs="Times New Roman"/>
          <w:kern w:val="14"/>
          <w:sz w:val="20"/>
          <w:szCs w:val="24"/>
        </w:rPr>
        <w:t>C</w:t>
      </w:r>
      <w:r w:rsidRPr="00500275">
        <w:rPr>
          <w:rFonts w:ascii="Arial" w:hAnsi="Arial" w:eastAsia="Times New Roman" w:cs="Times New Roman"/>
          <w:kern w:val="14"/>
          <w:sz w:val="20"/>
          <w:szCs w:val="24"/>
        </w:rPr>
        <w:t xml:space="preserve">ure </w:t>
      </w:r>
      <w:r w:rsidR="008F1222">
        <w:rPr>
          <w:rFonts w:ascii="Arial" w:hAnsi="Arial" w:eastAsia="Times New Roman" w:cs="Times New Roman"/>
          <w:kern w:val="14"/>
          <w:sz w:val="20"/>
          <w:szCs w:val="24"/>
        </w:rPr>
        <w:t>P</w:t>
      </w:r>
      <w:r w:rsidRPr="00500275">
        <w:rPr>
          <w:rFonts w:ascii="Arial" w:hAnsi="Arial" w:eastAsia="Times New Roman" w:cs="Times New Roman"/>
          <w:kern w:val="14"/>
          <w:sz w:val="20"/>
          <w:szCs w:val="24"/>
        </w:rPr>
        <w:t xml:space="preserve">eriod up to an additional 180 Days for a total </w:t>
      </w:r>
      <w:r w:rsidR="009D07E7">
        <w:rPr>
          <w:rFonts w:ascii="Arial" w:hAnsi="Arial" w:eastAsia="Times New Roman" w:cs="Times New Roman"/>
          <w:kern w:val="14"/>
          <w:sz w:val="20"/>
          <w:szCs w:val="24"/>
        </w:rPr>
        <w:t>C</w:t>
      </w:r>
      <w:r w:rsidRPr="00500275">
        <w:rPr>
          <w:rFonts w:ascii="Arial" w:hAnsi="Arial" w:eastAsia="Times New Roman" w:cs="Times New Roman"/>
          <w:kern w:val="14"/>
          <w:sz w:val="20"/>
          <w:szCs w:val="24"/>
        </w:rPr>
        <w:t xml:space="preserve">ure </w:t>
      </w:r>
      <w:r w:rsidR="009D07E7">
        <w:rPr>
          <w:rFonts w:ascii="Arial" w:hAnsi="Arial" w:eastAsia="Times New Roman" w:cs="Times New Roman"/>
          <w:kern w:val="14"/>
          <w:sz w:val="20"/>
          <w:szCs w:val="24"/>
        </w:rPr>
        <w:t>P</w:t>
      </w:r>
      <w:r w:rsidRPr="00500275">
        <w:rPr>
          <w:rFonts w:ascii="Arial" w:hAnsi="Arial" w:eastAsia="Times New Roman" w:cs="Times New Roman"/>
          <w:kern w:val="14"/>
          <w:sz w:val="20"/>
          <w:szCs w:val="24"/>
        </w:rPr>
        <w:t xml:space="preserve">eriod not to exceed 360 Days so long as Seller: (a) provides a written certification to GPC before the expiration of the initial </w:t>
      </w:r>
      <w:r w:rsidR="00BC0623">
        <w:rPr>
          <w:rFonts w:ascii="Arial" w:hAnsi="Arial" w:eastAsia="Times New Roman" w:cs="Times New Roman"/>
          <w:kern w:val="14"/>
          <w:sz w:val="20"/>
          <w:szCs w:val="24"/>
        </w:rPr>
        <w:t>C</w:t>
      </w:r>
      <w:r w:rsidRPr="00500275">
        <w:rPr>
          <w:rFonts w:ascii="Arial" w:hAnsi="Arial" w:eastAsia="Times New Roman" w:cs="Times New Roman"/>
          <w:kern w:val="14"/>
          <w:sz w:val="20"/>
          <w:szCs w:val="24"/>
        </w:rPr>
        <w:t xml:space="preserve">ure </w:t>
      </w:r>
      <w:r w:rsidR="00BC0623">
        <w:rPr>
          <w:rFonts w:ascii="Arial" w:hAnsi="Arial" w:eastAsia="Times New Roman" w:cs="Times New Roman"/>
          <w:kern w:val="14"/>
          <w:sz w:val="20"/>
          <w:szCs w:val="24"/>
        </w:rPr>
        <w:t>P</w:t>
      </w:r>
      <w:r w:rsidRPr="00500275">
        <w:rPr>
          <w:rFonts w:ascii="Arial" w:hAnsi="Arial" w:eastAsia="Times New Roman" w:cs="Times New Roman"/>
          <w:kern w:val="14"/>
          <w:sz w:val="20"/>
          <w:szCs w:val="24"/>
        </w:rPr>
        <w:t xml:space="preserve">eriod demonstrating that Seller requires additional time to cure the default despite Seller’s diligent efforts; (b) provides reasonable substantiation supporting Seller’s certification, including any documentation explaining the cause of the deficiency and the plan to cure the default, including manufacturer reports, failure analyses, other relevant third-party documentation, and other documentation reasonably requested by GPC, in each case subject to Seller’s confidentiality obligations; (c) the default is capable of cure within the extended </w:t>
      </w:r>
      <w:r w:rsidR="00C071A8">
        <w:rPr>
          <w:rFonts w:ascii="Arial" w:hAnsi="Arial" w:eastAsia="Times New Roman" w:cs="Times New Roman"/>
          <w:kern w:val="14"/>
          <w:sz w:val="20"/>
          <w:szCs w:val="24"/>
        </w:rPr>
        <w:t>Cure Period</w:t>
      </w:r>
      <w:r w:rsidRPr="00500275">
        <w:rPr>
          <w:rFonts w:ascii="Arial" w:hAnsi="Arial" w:eastAsia="Times New Roman" w:cs="Times New Roman"/>
          <w:kern w:val="14"/>
          <w:sz w:val="20"/>
          <w:szCs w:val="24"/>
        </w:rPr>
        <w:t xml:space="preserve">; and (d) Seller has exercised diligent efforts to cure the default throughout the </w:t>
      </w:r>
      <w:r w:rsidR="00C071A8">
        <w:rPr>
          <w:rFonts w:ascii="Arial" w:hAnsi="Arial" w:eastAsia="Times New Roman" w:cs="Times New Roman"/>
          <w:kern w:val="14"/>
          <w:sz w:val="20"/>
          <w:szCs w:val="24"/>
        </w:rPr>
        <w:t>Cure Period</w:t>
      </w:r>
      <w:r w:rsidRPr="00500275">
        <w:rPr>
          <w:rFonts w:ascii="Arial" w:hAnsi="Arial" w:eastAsia="Times New Roman" w:cs="Times New Roman"/>
          <w:kern w:val="14"/>
          <w:sz w:val="20"/>
          <w:szCs w:val="24"/>
        </w:rPr>
        <w:t xml:space="preserve"> and continues to exercise diligent efforts to cure the default throughout the extended </w:t>
      </w:r>
      <w:r w:rsidR="00C071A8">
        <w:rPr>
          <w:rFonts w:ascii="Arial" w:hAnsi="Arial" w:eastAsia="Times New Roman" w:cs="Times New Roman"/>
          <w:kern w:val="14"/>
          <w:sz w:val="20"/>
          <w:szCs w:val="24"/>
        </w:rPr>
        <w:t>Cure Period</w:t>
      </w:r>
      <w:r w:rsidRPr="00500275">
        <w:rPr>
          <w:rFonts w:ascii="Arial" w:hAnsi="Arial" w:eastAsia="Times New Roman" w:cs="Times New Roman"/>
          <w:kern w:val="14"/>
          <w:sz w:val="20"/>
          <w:szCs w:val="24"/>
        </w:rPr>
        <w:t>.</w:t>
      </w:r>
    </w:p>
    <w:p w:rsidRPr="0097562D" w:rsidR="00500275" w:rsidP="00D94D93" w:rsidRDefault="00500275" w14:paraId="1ED42461" w14:textId="3BD9E373">
      <w:pPr>
        <w:numPr>
          <w:ilvl w:val="3"/>
          <w:numId w:val="44"/>
        </w:numPr>
        <w:spacing w:before="120" w:after="0" w:line="240" w:lineRule="auto"/>
        <w:jc w:val="both"/>
      </w:pPr>
      <w:r w:rsidRPr="00500275">
        <w:rPr>
          <w:rFonts w:ascii="Arial" w:hAnsi="Arial" w:eastAsia="Times New Roman" w:cs="Times New Roman"/>
          <w:kern w:val="14"/>
          <w:sz w:val="20"/>
          <w:szCs w:val="24"/>
        </w:rPr>
        <w:t xml:space="preserve">For the default to be cured, Seller must provide a written certification to GPC before the expiration of the applicable </w:t>
      </w:r>
      <w:r w:rsidR="00C071A8">
        <w:rPr>
          <w:rFonts w:ascii="Arial" w:hAnsi="Arial" w:eastAsia="Times New Roman" w:cs="Times New Roman"/>
          <w:kern w:val="14"/>
          <w:sz w:val="20"/>
          <w:szCs w:val="24"/>
        </w:rPr>
        <w:t>Cure Period</w:t>
      </w:r>
      <w:r w:rsidRPr="00500275">
        <w:rPr>
          <w:rFonts w:ascii="Arial" w:hAnsi="Arial" w:eastAsia="Times New Roman" w:cs="Times New Roman"/>
          <w:kern w:val="14"/>
          <w:sz w:val="20"/>
          <w:szCs w:val="24"/>
        </w:rPr>
        <w:t xml:space="preserve"> that all causes of the default have been sufficiently cured such that the Facility is capable of achieving a Storage Performance Metric Achieved of 0.6 or greater (“</w:t>
      </w:r>
      <w:r w:rsidRPr="00500275">
        <w:rPr>
          <w:rFonts w:ascii="Arial" w:hAnsi="Arial" w:eastAsia="Times New Roman" w:cs="Times New Roman"/>
          <w:b/>
          <w:bCs/>
          <w:kern w:val="14"/>
          <w:sz w:val="20"/>
          <w:szCs w:val="24"/>
        </w:rPr>
        <w:t>Cure Certification</w:t>
      </w:r>
      <w:r w:rsidRPr="00500275">
        <w:rPr>
          <w:rFonts w:ascii="Arial" w:hAnsi="Arial" w:eastAsia="Times New Roman" w:cs="Times New Roman"/>
          <w:kern w:val="14"/>
          <w:sz w:val="20"/>
          <w:szCs w:val="24"/>
        </w:rPr>
        <w:t xml:space="preserve">”) along with reasonable documentation substantiating Seller’s certification that the default was cured. Seller must provide to GPC any documentation reasonably requested by GPC concerning such certification. If the Facility achieves a Storage Performance Metric Achieved of 0.6 or greater in each of the three consecutive Months immediately following Seller’s written certification that it has cured all causes of the default, then the default will be deemed to have been cured during the </w:t>
      </w:r>
      <w:r w:rsidR="00C071A8">
        <w:rPr>
          <w:rFonts w:ascii="Arial" w:hAnsi="Arial" w:eastAsia="Times New Roman" w:cs="Times New Roman"/>
          <w:kern w:val="14"/>
          <w:sz w:val="20"/>
          <w:szCs w:val="24"/>
        </w:rPr>
        <w:t>Cure Period</w:t>
      </w:r>
      <w:r w:rsidRPr="00500275">
        <w:rPr>
          <w:rFonts w:ascii="Arial" w:hAnsi="Arial" w:eastAsia="Times New Roman" w:cs="Times New Roman"/>
          <w:kern w:val="14"/>
          <w:sz w:val="20"/>
          <w:szCs w:val="24"/>
        </w:rPr>
        <w:t>, and any Month before Seller’s written certification for which the Storage Performance Metric was below 0.6 will no longer be considered for purposes of this Section 16.1.8 (</w:t>
      </w:r>
      <w:r w:rsidRPr="00500275">
        <w:rPr>
          <w:rFonts w:ascii="Arial" w:hAnsi="Arial" w:eastAsia="Times New Roman" w:cs="Times New Roman"/>
          <w:i/>
          <w:iCs/>
          <w:kern w:val="14"/>
          <w:sz w:val="20"/>
          <w:szCs w:val="24"/>
        </w:rPr>
        <w:t>Storage Performance Metric Achieved Below .6</w:t>
      </w:r>
      <w:r w:rsidRPr="00500275">
        <w:rPr>
          <w:rFonts w:ascii="Arial" w:hAnsi="Arial" w:eastAsia="Times New Roman" w:cs="Times New Roman"/>
          <w:kern w:val="14"/>
          <w:sz w:val="20"/>
          <w:szCs w:val="24"/>
        </w:rPr>
        <w:t xml:space="preserve">). If, after Seller delivers a Cure Certification but before the expiration of applicable </w:t>
      </w:r>
      <w:r w:rsidR="00C071A8">
        <w:rPr>
          <w:rFonts w:ascii="Arial" w:hAnsi="Arial" w:eastAsia="Times New Roman" w:cs="Times New Roman"/>
          <w:kern w:val="14"/>
          <w:sz w:val="20"/>
          <w:szCs w:val="24"/>
        </w:rPr>
        <w:t>Cure Period</w:t>
      </w:r>
      <w:r w:rsidRPr="00500275">
        <w:rPr>
          <w:rFonts w:ascii="Arial" w:hAnsi="Arial" w:eastAsia="Times New Roman" w:cs="Times New Roman"/>
          <w:kern w:val="14"/>
          <w:sz w:val="20"/>
          <w:szCs w:val="24"/>
        </w:rPr>
        <w:t xml:space="preserve">, the Facility fails to achieve a Storage Performance Metric Achieved of at least 0.6, then Seller will have until the end of the </w:t>
      </w:r>
      <w:r w:rsidR="00C071A8">
        <w:rPr>
          <w:rFonts w:ascii="Arial" w:hAnsi="Arial" w:eastAsia="Times New Roman" w:cs="Times New Roman"/>
          <w:kern w:val="14"/>
          <w:sz w:val="20"/>
          <w:szCs w:val="24"/>
        </w:rPr>
        <w:t>Cure Period</w:t>
      </w:r>
      <w:r w:rsidRPr="00500275">
        <w:rPr>
          <w:rFonts w:ascii="Arial" w:hAnsi="Arial" w:eastAsia="Times New Roman" w:cs="Times New Roman"/>
          <w:kern w:val="14"/>
          <w:sz w:val="20"/>
          <w:szCs w:val="24"/>
        </w:rPr>
        <w:t xml:space="preserve">, which may be extended as appropriate, subject to the original limitations in Section 16.1.8(ii), to fully cure the underlying causes of the default and provide another Cure Certification.   </w:t>
      </w:r>
      <w:r w:rsidRPr="00261AEB">
        <w:rPr>
          <w:rFonts w:ascii="Arial" w:hAnsi="Arial"/>
          <w:kern w:val="14"/>
          <w:sz w:val="20"/>
        </w:rPr>
        <w:t xml:space="preserve"> </w:t>
      </w:r>
    </w:p>
    <w:p w:rsidRPr="00C2493E" w:rsidR="002D54C4" w:rsidP="00D94D93" w:rsidRDefault="002D54C4" w14:paraId="7A7EED7A" w14:textId="03179C2A">
      <w:pPr>
        <w:pStyle w:val="zGTC03"/>
        <w:numPr>
          <w:ilvl w:val="2"/>
          <w:numId w:val="37"/>
        </w:numPr>
        <w:rPr>
          <w:rFonts w:cs="Arial"/>
          <w:b/>
          <w:vanish/>
          <w:specVanish/>
        </w:rPr>
      </w:pPr>
      <w:r w:rsidRPr="00C2493E">
        <w:rPr>
          <w:rFonts w:cs="Arial"/>
          <w:b/>
        </w:rPr>
        <w:t xml:space="preserve">Tested Storage Capacity Below 70% </w:t>
      </w:r>
      <w:r w:rsidRPr="00C2493E" w:rsidR="001534C4">
        <w:rPr>
          <w:rFonts w:cs="Arial"/>
          <w:b/>
        </w:rPr>
        <w:t>Contracted Capacity</w:t>
      </w:r>
      <w:r w:rsidRPr="00C2493E">
        <w:rPr>
          <w:rFonts w:cs="Arial"/>
          <w:b/>
        </w:rPr>
        <w:t>; Cure; Remedies.</w:t>
      </w:r>
    </w:p>
    <w:p w:rsidRPr="00C2493E" w:rsidR="004F5312" w:rsidP="00C1276B" w:rsidRDefault="00E11EDA" w14:paraId="1A63E0D5" w14:textId="4C2D3C58">
      <w:pPr>
        <w:pStyle w:val="zGTC04"/>
        <w:numPr>
          <w:ilvl w:val="3"/>
          <w:numId w:val="13"/>
        </w:numPr>
        <w:rPr>
          <w:rFonts w:cs="Arial"/>
        </w:rPr>
      </w:pPr>
      <w:r w:rsidRPr="00C2493E">
        <w:rPr>
          <w:rFonts w:cs="Arial"/>
        </w:rPr>
        <w:t xml:space="preserve"> </w:t>
      </w:r>
      <w:r w:rsidRPr="00C2493E" w:rsidR="002D54C4">
        <w:rPr>
          <w:rFonts w:cs="Arial"/>
        </w:rPr>
        <w:t xml:space="preserve">Despite any other </w:t>
      </w:r>
      <w:r w:rsidRPr="00C2493E" w:rsidR="006F4647">
        <w:rPr>
          <w:rFonts w:cs="Arial"/>
        </w:rPr>
        <w:t xml:space="preserve">PPA </w:t>
      </w:r>
      <w:r w:rsidRPr="00C2493E" w:rsidR="002D54C4">
        <w:rPr>
          <w:rFonts w:cs="Arial"/>
        </w:rPr>
        <w:t xml:space="preserve">provision, the Tested Storage Capacity, determined in accordance with a Performance Test at any time after the Delivery Commencement Date, is below 70% of the  </w:t>
      </w:r>
      <w:r w:rsidRPr="00C2493E" w:rsidR="00857941">
        <w:rPr>
          <w:rFonts w:cs="Arial"/>
        </w:rPr>
        <w:t>Contracted</w:t>
      </w:r>
      <w:r w:rsidRPr="00C2493E" w:rsidR="009C51D7">
        <w:rPr>
          <w:rFonts w:cs="Arial"/>
        </w:rPr>
        <w:t xml:space="preserve"> </w:t>
      </w:r>
      <w:r w:rsidRPr="00C2493E" w:rsidR="002D54C4">
        <w:rPr>
          <w:rFonts w:cs="Arial"/>
        </w:rPr>
        <w:t xml:space="preserve">Capacity and Seller fails to: (i) submit to GPC, within 10 Days after determination by the Performance Test of the inadequate Tested </w:t>
      </w:r>
      <w:r w:rsidRPr="00C2493E" w:rsidR="00D610D9">
        <w:rPr>
          <w:rFonts w:cs="Arial"/>
        </w:rPr>
        <w:t xml:space="preserve">Storage </w:t>
      </w:r>
      <w:r w:rsidRPr="00C2493E" w:rsidR="002D54C4">
        <w:rPr>
          <w:rFonts w:cs="Arial"/>
        </w:rPr>
        <w:t xml:space="preserve">Capacity, a </w:t>
      </w:r>
      <w:r w:rsidRPr="00C2493E" w:rsidR="00826E35">
        <w:rPr>
          <w:rFonts w:cs="Arial"/>
        </w:rPr>
        <w:t xml:space="preserve">written </w:t>
      </w:r>
      <w:r w:rsidRPr="00C2493E" w:rsidR="002D54C4">
        <w:rPr>
          <w:rFonts w:cs="Arial"/>
        </w:rPr>
        <w:t xml:space="preserve">cure plan reasonably acceptable to GPC for the inadequate Tested Storage Capacity; and (ii) cure </w:t>
      </w:r>
      <w:r w:rsidRPr="00C2493E" w:rsidDel="00087DEB" w:rsidR="002D54C4">
        <w:rPr>
          <w:rFonts w:cs="Arial"/>
        </w:rPr>
        <w:t xml:space="preserve">the inadequate </w:t>
      </w:r>
      <w:r w:rsidRPr="00C2493E" w:rsidDel="00087DEB" w:rsidR="002D54C4">
        <w:rPr>
          <w:rFonts w:cs="Arial"/>
        </w:rPr>
        <w:lastRenderedPageBreak/>
        <w:t>Tested Capacity</w:t>
      </w:r>
      <w:r w:rsidRPr="00C2493E" w:rsidR="002D54C4">
        <w:rPr>
          <w:rFonts w:cs="Arial"/>
        </w:rPr>
        <w:t xml:space="preserve"> within the Cure Period, except that the Cure Period may be extended in accordance with Section 16.1.</w:t>
      </w:r>
      <w:r w:rsidRPr="00C2493E" w:rsidR="00C8668A">
        <w:rPr>
          <w:rFonts w:cs="Arial"/>
        </w:rPr>
        <w:t>9</w:t>
      </w:r>
      <w:r w:rsidRPr="00C2493E" w:rsidR="002D54C4">
        <w:rPr>
          <w:rFonts w:cs="Arial"/>
        </w:rPr>
        <w:t>(i) (</w:t>
      </w:r>
      <w:r w:rsidRPr="00C2493E" w:rsidR="002D54C4">
        <w:rPr>
          <w:rFonts w:cs="Arial"/>
          <w:i/>
        </w:rPr>
        <w:t>Cure Period</w:t>
      </w:r>
      <w:r w:rsidRPr="00C2493E" w:rsidR="00986AD7">
        <w:rPr>
          <w:rFonts w:cs="Arial"/>
          <w:i/>
        </w:rPr>
        <w:t xml:space="preserve"> Extension</w:t>
      </w:r>
      <w:r w:rsidRPr="00C2493E" w:rsidR="002D54C4">
        <w:rPr>
          <w:rFonts w:cs="Arial"/>
        </w:rPr>
        <w:t>). GPC will have the right to declare an Event of Default if Seller fails to: (a) establish the cure plan within the required 10-Day period or, if applicable, establish the revised cure plan within the required 15-Day period under Section</w:t>
      </w:r>
      <w:r w:rsidRPr="00C2493E" w:rsidR="005F634C">
        <w:rPr>
          <w:rFonts w:cs="Arial"/>
        </w:rPr>
        <w:t xml:space="preserve"> </w:t>
      </w:r>
      <w:r w:rsidRPr="00C2493E" w:rsidR="002D54C4">
        <w:rPr>
          <w:rFonts w:cs="Arial"/>
        </w:rPr>
        <w:t>16.1.</w:t>
      </w:r>
      <w:r w:rsidRPr="00C2493E" w:rsidR="00C8668A">
        <w:rPr>
          <w:rFonts w:cs="Arial"/>
        </w:rPr>
        <w:t>9</w:t>
      </w:r>
      <w:r w:rsidRPr="00C2493E" w:rsidR="002D54C4">
        <w:rPr>
          <w:rFonts w:cs="Arial"/>
        </w:rPr>
        <w:t>(i), or (b) diligently implement the cure plan (including implementation of such actions as GPC may reasonably request), or (c) cure the inadequate Tested Storage Capacity within the Cure Period (as the Cure Period may be extended under Section 16.1.</w:t>
      </w:r>
      <w:r w:rsidRPr="00C2493E" w:rsidR="00C8668A">
        <w:rPr>
          <w:rFonts w:cs="Arial"/>
        </w:rPr>
        <w:t>9</w:t>
      </w:r>
      <w:r w:rsidRPr="00C2493E" w:rsidR="002D54C4">
        <w:rPr>
          <w:rFonts w:cs="Arial"/>
        </w:rPr>
        <w:t>(i)) as set forth in Section 16.1.</w:t>
      </w:r>
      <w:r w:rsidRPr="00C2493E" w:rsidR="00C8668A">
        <w:rPr>
          <w:rFonts w:cs="Arial"/>
        </w:rPr>
        <w:t>9</w:t>
      </w:r>
      <w:r w:rsidRPr="00C2493E" w:rsidR="002D54C4">
        <w:rPr>
          <w:rFonts w:cs="Arial"/>
        </w:rPr>
        <w:t>(ii) (</w:t>
      </w:r>
      <w:r w:rsidRPr="00C2493E" w:rsidR="002D54C4">
        <w:rPr>
          <w:rFonts w:cs="Arial"/>
          <w:i/>
        </w:rPr>
        <w:t xml:space="preserve">Requirements to Cure Inadequate Tested </w:t>
      </w:r>
      <w:r w:rsidRPr="00C2493E" w:rsidR="006D1B71">
        <w:rPr>
          <w:rFonts w:cs="Arial"/>
          <w:i/>
        </w:rPr>
        <w:t xml:space="preserve">Storage </w:t>
      </w:r>
      <w:r w:rsidRPr="00C2493E" w:rsidR="002D54C4">
        <w:rPr>
          <w:rFonts w:cs="Arial"/>
          <w:i/>
        </w:rPr>
        <w:t>Capacity</w:t>
      </w:r>
      <w:r w:rsidRPr="00C2493E" w:rsidR="002D54C4">
        <w:rPr>
          <w:rFonts w:cs="Arial"/>
        </w:rPr>
        <w:t>).</w:t>
      </w:r>
    </w:p>
    <w:p w:rsidRPr="00C2493E" w:rsidR="002D54C4" w:rsidP="004F5312" w:rsidRDefault="002D54C4" w14:paraId="3F7AE0C0" w14:textId="62A1A5B6">
      <w:pPr>
        <w:pStyle w:val="zGTC04"/>
        <w:rPr>
          <w:rFonts w:cs="Arial"/>
        </w:rPr>
      </w:pPr>
      <w:bookmarkStart w:name="_Hlk24123717" w:id="662"/>
      <w:r w:rsidRPr="00C2493E">
        <w:rPr>
          <w:rFonts w:cs="Arial"/>
          <w:b/>
          <w:bCs/>
        </w:rPr>
        <w:t>Cure Period</w:t>
      </w:r>
      <w:r w:rsidRPr="00C2493E" w:rsidR="00986AD7">
        <w:rPr>
          <w:rFonts w:cs="Arial"/>
          <w:b/>
          <w:bCs/>
        </w:rPr>
        <w:t xml:space="preserve"> Extension</w:t>
      </w:r>
      <w:r w:rsidRPr="00C2493E">
        <w:rPr>
          <w:rFonts w:cs="Arial"/>
          <w:b/>
          <w:bCs/>
        </w:rPr>
        <w:t xml:space="preserve">. </w:t>
      </w:r>
      <w:r w:rsidRPr="00C2493E">
        <w:rPr>
          <w:rFonts w:cs="Arial"/>
        </w:rPr>
        <w:t xml:space="preserve">If Seller establishes a cure plan in accordance with </w:t>
      </w:r>
      <w:r w:rsidR="004A18C0">
        <w:rPr>
          <w:rFonts w:cs="Arial"/>
        </w:rPr>
        <w:t xml:space="preserve">this </w:t>
      </w:r>
      <w:r w:rsidRPr="00C2493E">
        <w:rPr>
          <w:rFonts w:cs="Arial"/>
        </w:rPr>
        <w:t>Section 16.1.</w:t>
      </w:r>
      <w:r w:rsidRPr="00C2493E" w:rsidR="00C8668A">
        <w:rPr>
          <w:rFonts w:cs="Arial"/>
        </w:rPr>
        <w:t>9</w:t>
      </w:r>
      <w:r w:rsidRPr="00C2493E">
        <w:rPr>
          <w:rFonts w:cs="Arial"/>
        </w:rPr>
        <w:t xml:space="preserve"> (</w:t>
      </w:r>
      <w:r w:rsidRPr="00C2493E">
        <w:rPr>
          <w:rFonts w:cs="Arial"/>
          <w:i/>
        </w:rPr>
        <w:t xml:space="preserve">Tested Storage Capacity Below 70% </w:t>
      </w:r>
      <w:r w:rsidRPr="00C2493E" w:rsidR="00E12A6E">
        <w:rPr>
          <w:rFonts w:cs="Arial"/>
          <w:i/>
        </w:rPr>
        <w:t>Contracted</w:t>
      </w:r>
      <w:r w:rsidRPr="00C2493E" w:rsidR="00E12A6E">
        <w:rPr>
          <w:rFonts w:cs="Arial"/>
          <w:i/>
          <w:iCs/>
        </w:rPr>
        <w:t xml:space="preserve"> Capacity</w:t>
      </w:r>
      <w:r w:rsidRPr="00C2493E" w:rsidR="00A044F6">
        <w:rPr>
          <w:rFonts w:cs="Arial"/>
        </w:rPr>
        <w:t xml:space="preserve">; </w:t>
      </w:r>
      <w:r w:rsidRPr="00C2493E">
        <w:rPr>
          <w:rFonts w:cs="Arial"/>
          <w:i/>
        </w:rPr>
        <w:t>Cure; Remedies</w:t>
      </w:r>
      <w:r w:rsidRPr="00C2493E">
        <w:rPr>
          <w:rFonts w:cs="Arial"/>
        </w:rPr>
        <w:t>) but requires a Cure Period of more than 1</w:t>
      </w:r>
      <w:r w:rsidR="00D85BEC">
        <w:rPr>
          <w:rFonts w:cs="Arial"/>
        </w:rPr>
        <w:t>8</w:t>
      </w:r>
      <w:r w:rsidRPr="00C2493E">
        <w:rPr>
          <w:rFonts w:cs="Arial"/>
        </w:rPr>
        <w:t xml:space="preserve">0 Days to cure the inadequate Tested Storage Capacity, then the Cure Period will be extended for a reasonable additional period of time, which extension will not in any case exceed </w:t>
      </w:r>
      <w:r w:rsidR="005F2CB6">
        <w:rPr>
          <w:rFonts w:cs="Arial"/>
        </w:rPr>
        <w:t>180</w:t>
      </w:r>
      <w:r w:rsidRPr="00C2493E" w:rsidR="00461B39">
        <w:rPr>
          <w:rFonts w:cs="Arial"/>
        </w:rPr>
        <w:t xml:space="preserve"> </w:t>
      </w:r>
      <w:r w:rsidRPr="00C2493E">
        <w:rPr>
          <w:rFonts w:cs="Arial"/>
        </w:rPr>
        <w:t>Days, so long as, by no later than 15 Days before the expiration of the 1</w:t>
      </w:r>
      <w:r w:rsidR="002A0240">
        <w:rPr>
          <w:rFonts w:cs="Arial"/>
        </w:rPr>
        <w:t>8</w:t>
      </w:r>
      <w:r w:rsidRPr="00C2493E">
        <w:rPr>
          <w:rFonts w:cs="Arial"/>
        </w:rPr>
        <w:t>0-Day Cure Period, Seller provide</w:t>
      </w:r>
      <w:r w:rsidRPr="00C2493E" w:rsidR="00572C91">
        <w:rPr>
          <w:rFonts w:cs="Arial"/>
        </w:rPr>
        <w:t>s</w:t>
      </w:r>
      <w:r w:rsidRPr="00C2493E">
        <w:rPr>
          <w:rFonts w:cs="Arial"/>
        </w:rPr>
        <w:t xml:space="preserve"> to GPC: (a) a revised cure plan setting forth a reasonable extension of the Cure Period, </w:t>
      </w:r>
      <w:r w:rsidR="00963125">
        <w:rPr>
          <w:rFonts w:cs="Arial"/>
        </w:rPr>
        <w:t xml:space="preserve">such extension </w:t>
      </w:r>
      <w:r w:rsidRPr="00C2493E">
        <w:rPr>
          <w:rFonts w:cs="Arial"/>
        </w:rPr>
        <w:t xml:space="preserve">not to exceed </w:t>
      </w:r>
      <w:r w:rsidR="002A0240">
        <w:rPr>
          <w:rFonts w:cs="Arial"/>
        </w:rPr>
        <w:t>180</w:t>
      </w:r>
      <w:r w:rsidRPr="00C2493E" w:rsidR="00461B39">
        <w:rPr>
          <w:rFonts w:cs="Arial"/>
        </w:rPr>
        <w:t xml:space="preserve"> </w:t>
      </w:r>
      <w:r w:rsidRPr="00C2493E">
        <w:rPr>
          <w:rFonts w:cs="Arial"/>
        </w:rPr>
        <w:t xml:space="preserve">Days, which revised cure plan and extension </w:t>
      </w:r>
      <w:r w:rsidRPr="00C2493E" w:rsidR="006D4B2A">
        <w:rPr>
          <w:rFonts w:cs="Arial"/>
        </w:rPr>
        <w:t>must</w:t>
      </w:r>
      <w:r w:rsidRPr="00C2493E">
        <w:rPr>
          <w:rFonts w:cs="Arial"/>
        </w:rPr>
        <w:t xml:space="preserve"> be reasonably acceptable to GPC, and (b) a written certification reasonably acceptable to GPC confirming that in order for Seller to cure the inadequate Tested Storage Capacity Seller must be afforded </w:t>
      </w:r>
      <w:r w:rsidRPr="00C2493E" w:rsidR="00B45430">
        <w:rPr>
          <w:rFonts w:cs="Arial"/>
        </w:rPr>
        <w:t>the requested</w:t>
      </w:r>
      <w:r w:rsidRPr="00C2493E">
        <w:rPr>
          <w:rFonts w:cs="Arial"/>
        </w:rPr>
        <w:t xml:space="preserve"> additional period of time</w:t>
      </w:r>
      <w:r w:rsidRPr="00C2493E" w:rsidR="00572C91">
        <w:rPr>
          <w:rFonts w:cs="Arial"/>
        </w:rPr>
        <w:t>.</w:t>
      </w:r>
      <w:r w:rsidRPr="00C2493E">
        <w:rPr>
          <w:rFonts w:cs="Arial"/>
        </w:rPr>
        <w:t xml:space="preserve"> The total duration of the Cure Period, as extended, must not exceed </w:t>
      </w:r>
      <w:r w:rsidR="002A0240">
        <w:rPr>
          <w:rFonts w:cs="Arial"/>
        </w:rPr>
        <w:t>360</w:t>
      </w:r>
      <w:r w:rsidRPr="00C2493E" w:rsidR="00B72A39">
        <w:rPr>
          <w:rFonts w:cs="Arial"/>
        </w:rPr>
        <w:t xml:space="preserve"> </w:t>
      </w:r>
      <w:r w:rsidRPr="00C2493E">
        <w:rPr>
          <w:rFonts w:cs="Arial"/>
        </w:rPr>
        <w:t>Days</w:t>
      </w:r>
      <w:bookmarkEnd w:id="662"/>
      <w:r w:rsidRPr="00C2493E">
        <w:rPr>
          <w:rFonts w:cs="Arial"/>
        </w:rPr>
        <w:t xml:space="preserve">. </w:t>
      </w:r>
    </w:p>
    <w:p w:rsidRPr="00C2493E" w:rsidR="002D54C4" w:rsidP="00D94D93" w:rsidRDefault="002D54C4" w14:paraId="680CFF83" w14:textId="5092177C">
      <w:pPr>
        <w:pStyle w:val="zGTC04"/>
        <w:numPr>
          <w:ilvl w:val="3"/>
          <w:numId w:val="15"/>
        </w:numPr>
        <w:rPr>
          <w:rFonts w:cs="Arial"/>
          <w:szCs w:val="20"/>
        </w:rPr>
      </w:pPr>
      <w:r w:rsidRPr="00C2493E">
        <w:rPr>
          <w:rFonts w:cs="Arial"/>
          <w:b/>
          <w:bCs/>
        </w:rPr>
        <w:t xml:space="preserve">Requirements to Cure Inadequate Tested </w:t>
      </w:r>
      <w:r w:rsidRPr="00C2493E" w:rsidR="00C731CE">
        <w:rPr>
          <w:rFonts w:cs="Arial"/>
          <w:b/>
          <w:bCs/>
        </w:rPr>
        <w:t xml:space="preserve">Storage </w:t>
      </w:r>
      <w:r w:rsidRPr="00C2493E">
        <w:rPr>
          <w:rFonts w:cs="Arial"/>
          <w:b/>
          <w:bCs/>
        </w:rPr>
        <w:t xml:space="preserve">Capacity. </w:t>
      </w:r>
      <w:r w:rsidRPr="00C2493E" w:rsidR="00FC4241">
        <w:rPr>
          <w:rFonts w:cs="Arial"/>
        </w:rPr>
        <w:t>An inadequate</w:t>
      </w:r>
      <w:r w:rsidRPr="00C2493E">
        <w:rPr>
          <w:rFonts w:cs="Arial"/>
        </w:rPr>
        <w:t xml:space="preserve"> Tested Storage Capacity </w:t>
      </w:r>
      <w:r w:rsidRPr="00C2493E" w:rsidR="00FC4241">
        <w:rPr>
          <w:rFonts w:cs="Arial"/>
        </w:rPr>
        <w:t>below</w:t>
      </w:r>
      <w:r w:rsidRPr="00C2493E">
        <w:rPr>
          <w:rFonts w:cs="Arial"/>
        </w:rPr>
        <w:t xml:space="preserve"> 70% of the </w:t>
      </w:r>
      <w:r w:rsidRPr="00C2493E" w:rsidR="00281558">
        <w:rPr>
          <w:rFonts w:cs="Arial"/>
        </w:rPr>
        <w:t>Contracted Capacity</w:t>
      </w:r>
      <w:r w:rsidRPr="00C2493E">
        <w:rPr>
          <w:rFonts w:cs="Arial"/>
        </w:rPr>
        <w:t xml:space="preserve">, </w:t>
      </w:r>
      <w:r w:rsidRPr="00C2493E" w:rsidR="00FC4241">
        <w:rPr>
          <w:rFonts w:cs="Arial"/>
        </w:rPr>
        <w:t>will</w:t>
      </w:r>
      <w:r w:rsidRPr="00C2493E">
        <w:rPr>
          <w:rFonts w:cs="Arial"/>
        </w:rPr>
        <w:t xml:space="preserve"> be cured under </w:t>
      </w:r>
      <w:r w:rsidR="00C86662">
        <w:rPr>
          <w:rFonts w:cs="Arial"/>
        </w:rPr>
        <w:t xml:space="preserve">this </w:t>
      </w:r>
      <w:r w:rsidRPr="00C2493E">
        <w:rPr>
          <w:rFonts w:cs="Arial"/>
        </w:rPr>
        <w:t>Section 16.1.</w:t>
      </w:r>
      <w:r w:rsidRPr="00C2493E" w:rsidR="00C8668A">
        <w:rPr>
          <w:rFonts w:cs="Arial"/>
        </w:rPr>
        <w:t>9</w:t>
      </w:r>
      <w:r w:rsidRPr="00C2493E">
        <w:rPr>
          <w:rFonts w:cs="Arial"/>
        </w:rPr>
        <w:t xml:space="preserve"> only if: (i) Seller provides GPC with a written certification reasonably acceptable to GPC confirming that the inadequate Tested Storage Capacity has been cured; and (ii) the inadequate Tested Storage Capacity is increased to a value equal to or greater than </w:t>
      </w:r>
      <w:r w:rsidRPr="00C2493E" w:rsidR="00260073">
        <w:rPr>
          <w:rFonts w:cs="Arial"/>
        </w:rPr>
        <w:t xml:space="preserve">70% of </w:t>
      </w:r>
      <w:r w:rsidRPr="00C2493E">
        <w:rPr>
          <w:rFonts w:cs="Arial"/>
        </w:rPr>
        <w:t>the</w:t>
      </w:r>
      <w:r w:rsidRPr="00C2493E" w:rsidDel="002A20CB">
        <w:rPr>
          <w:rFonts w:cs="Arial"/>
        </w:rPr>
        <w:t xml:space="preserve"> </w:t>
      </w:r>
      <w:r w:rsidRPr="00C2493E" w:rsidR="002A20CB">
        <w:rPr>
          <w:rFonts w:cs="Arial"/>
        </w:rPr>
        <w:t>Contracted</w:t>
      </w:r>
      <w:r w:rsidRPr="00C2493E" w:rsidDel="002A20CB">
        <w:rPr>
          <w:rFonts w:cs="Arial"/>
        </w:rPr>
        <w:t xml:space="preserve"> Capacity</w:t>
      </w:r>
      <w:r w:rsidRPr="00C2493E">
        <w:rPr>
          <w:rFonts w:cs="Arial"/>
        </w:rPr>
        <w:t>.</w:t>
      </w:r>
    </w:p>
    <w:p w:rsidRPr="00C2493E" w:rsidR="002D54C4" w:rsidDel="00931937" w:rsidP="00D94D93" w:rsidRDefault="00D26D8A" w14:paraId="571E4B8A" w14:textId="6FE3BBA9">
      <w:pPr>
        <w:pStyle w:val="zGTC04"/>
        <w:numPr>
          <w:ilvl w:val="3"/>
          <w:numId w:val="21"/>
        </w:numPr>
        <w:rPr>
          <w:vanish/>
          <w:specVanish/>
        </w:rPr>
      </w:pPr>
      <w:r w:rsidRPr="00C2493E">
        <w:rPr>
          <w:b/>
        </w:rPr>
        <w:t>GPC Election</w:t>
      </w:r>
      <w:r w:rsidRPr="00C2493E" w:rsidR="002D54C4">
        <w:rPr>
          <w:b/>
        </w:rPr>
        <w:t>.</w:t>
      </w:r>
    </w:p>
    <w:p w:rsidRPr="002D2A8F" w:rsidR="00675570" w:rsidP="00675570" w:rsidRDefault="00675570" w14:paraId="0B287393" w14:textId="68D40793">
      <w:pPr>
        <w:pStyle w:val="zGTC03"/>
        <w:rPr>
          <w:rFonts w:cs="Arial"/>
        </w:rPr>
      </w:pPr>
      <w:r w:rsidRPr="00C2493E">
        <w:rPr>
          <w:rFonts w:cs="Arial"/>
        </w:rPr>
        <w:t xml:space="preserve"> </w:t>
      </w:r>
      <w:r w:rsidRPr="00C2493E" w:rsidR="00D7131B">
        <w:rPr>
          <w:rFonts w:cs="Arial"/>
        </w:rPr>
        <w:t>Despite</w:t>
      </w:r>
      <w:r w:rsidRPr="00C2493E">
        <w:rPr>
          <w:rFonts w:cs="Arial"/>
        </w:rPr>
        <w:t xml:space="preserve"> </w:t>
      </w:r>
      <w:r w:rsidR="00B8035E">
        <w:rPr>
          <w:rFonts w:cs="Arial"/>
        </w:rPr>
        <w:t xml:space="preserve">the </w:t>
      </w:r>
      <w:r w:rsidRPr="74DA23CC" w:rsidR="26D7D5B4">
        <w:rPr>
          <w:rFonts w:cs="Arial"/>
        </w:rPr>
        <w:t>previous</w:t>
      </w:r>
      <w:r w:rsidR="00B8035E">
        <w:rPr>
          <w:rFonts w:cs="Arial"/>
        </w:rPr>
        <w:t xml:space="preserve"> provisions of this </w:t>
      </w:r>
      <w:r w:rsidRPr="00C2493E" w:rsidR="00500E0A">
        <w:rPr>
          <w:rFonts w:cs="Arial"/>
        </w:rPr>
        <w:t xml:space="preserve">Section </w:t>
      </w:r>
      <w:r w:rsidRPr="00C2493E" w:rsidR="00C44B5F">
        <w:rPr>
          <w:rFonts w:cs="Arial"/>
        </w:rPr>
        <w:t>16</w:t>
      </w:r>
      <w:r w:rsidRPr="00C2493E">
        <w:rPr>
          <w:rFonts w:cs="Arial"/>
        </w:rPr>
        <w:t>.1.</w:t>
      </w:r>
      <w:r w:rsidRPr="00C2493E" w:rsidR="00C8668A">
        <w:rPr>
          <w:rFonts w:cs="Arial"/>
        </w:rPr>
        <w:t>9</w:t>
      </w:r>
      <w:r w:rsidRPr="00C2493E">
        <w:rPr>
          <w:rFonts w:cs="Arial"/>
        </w:rPr>
        <w:t xml:space="preserve">, whenever </w:t>
      </w:r>
      <w:r w:rsidRPr="00C2493E" w:rsidR="00880E06">
        <w:rPr>
          <w:rFonts w:cs="Arial"/>
        </w:rPr>
        <w:t xml:space="preserve">a </w:t>
      </w:r>
      <w:r w:rsidRPr="00C2493E" w:rsidR="009463E2">
        <w:rPr>
          <w:rFonts w:cs="Arial"/>
        </w:rPr>
        <w:t>Performance Test demonstrates a</w:t>
      </w:r>
      <w:r w:rsidRPr="00C2493E">
        <w:rPr>
          <w:rFonts w:cs="Arial"/>
        </w:rPr>
        <w:t xml:space="preserve"> Tested Storage Capacity below 70% of the </w:t>
      </w:r>
      <w:r w:rsidRPr="00C2493E" w:rsidR="00CF0A14">
        <w:rPr>
          <w:rFonts w:cs="Arial"/>
        </w:rPr>
        <w:t>Contracted</w:t>
      </w:r>
      <w:r w:rsidRPr="00C2493E">
        <w:rPr>
          <w:rFonts w:cs="Arial"/>
        </w:rPr>
        <w:t xml:space="preserve"> Capacity</w:t>
      </w:r>
      <w:r w:rsidRPr="00C2493E" w:rsidR="006F5E88">
        <w:rPr>
          <w:rFonts w:cs="Arial"/>
        </w:rPr>
        <w:t xml:space="preserve"> and Seller </w:t>
      </w:r>
      <w:r w:rsidRPr="00C2493E" w:rsidR="008C74DD">
        <w:rPr>
          <w:rFonts w:cs="Arial"/>
        </w:rPr>
        <w:t>fails to cure the inadequ</w:t>
      </w:r>
      <w:r w:rsidRPr="00C2493E" w:rsidR="00876866">
        <w:rPr>
          <w:rFonts w:cs="Arial"/>
        </w:rPr>
        <w:t>ate Test</w:t>
      </w:r>
      <w:r w:rsidRPr="00C2493E" w:rsidR="00C731CE">
        <w:rPr>
          <w:rFonts w:cs="Arial"/>
        </w:rPr>
        <w:t>ed Storage</w:t>
      </w:r>
      <w:r w:rsidRPr="00C2493E" w:rsidR="00876866">
        <w:rPr>
          <w:rFonts w:cs="Arial"/>
        </w:rPr>
        <w:t xml:space="preserve"> C</w:t>
      </w:r>
      <w:r w:rsidRPr="00C2493E" w:rsidR="00C731CE">
        <w:rPr>
          <w:rFonts w:cs="Arial"/>
        </w:rPr>
        <w:t>apacity</w:t>
      </w:r>
      <w:r w:rsidRPr="00C2493E" w:rsidR="007D1C3B">
        <w:rPr>
          <w:rFonts w:cs="Arial"/>
        </w:rPr>
        <w:t xml:space="preserve"> as required by Section 16.1.</w:t>
      </w:r>
      <w:r w:rsidRPr="00C2493E" w:rsidR="00C8668A">
        <w:rPr>
          <w:rFonts w:cs="Arial"/>
        </w:rPr>
        <w:t>9</w:t>
      </w:r>
      <w:r w:rsidRPr="00C2493E" w:rsidR="007D1C3B">
        <w:rPr>
          <w:rFonts w:cs="Arial"/>
        </w:rPr>
        <w:t>(ii)</w:t>
      </w:r>
      <w:r w:rsidR="009A58DA">
        <w:rPr>
          <w:rFonts w:cs="Arial"/>
        </w:rPr>
        <w:t xml:space="preserve"> </w:t>
      </w:r>
      <w:r w:rsidRPr="009A58DA" w:rsidR="009A58DA">
        <w:rPr>
          <w:rFonts w:cs="Arial"/>
        </w:rPr>
        <w:t>(</w:t>
      </w:r>
      <w:r w:rsidRPr="009A58DA" w:rsidR="009A58DA">
        <w:rPr>
          <w:rFonts w:cs="Arial"/>
          <w:i/>
        </w:rPr>
        <w:t>Requirements to Cure Inadequate Tested Storage Capacity</w:t>
      </w:r>
      <w:r w:rsidRPr="009A58DA" w:rsidR="009A58DA">
        <w:rPr>
          <w:rFonts w:cs="Arial"/>
        </w:rPr>
        <w:t>)</w:t>
      </w:r>
      <w:r w:rsidRPr="00C2493E" w:rsidR="005C0CFA">
        <w:rPr>
          <w:rFonts w:cs="Arial"/>
        </w:rPr>
        <w:t>,</w:t>
      </w:r>
      <w:r w:rsidRPr="00C2493E">
        <w:rPr>
          <w:rFonts w:cs="Arial"/>
        </w:rPr>
        <w:t xml:space="preserve"> </w:t>
      </w:r>
      <w:r w:rsidRPr="00C2493E" w:rsidR="005C0CFA">
        <w:rPr>
          <w:rFonts w:cs="Arial"/>
        </w:rPr>
        <w:t>GPC will</w:t>
      </w:r>
      <w:r w:rsidRPr="00C2493E">
        <w:rPr>
          <w:rFonts w:cs="Arial"/>
        </w:rPr>
        <w:t xml:space="preserve"> have the unilateral right to elect </w:t>
      </w:r>
      <w:r w:rsidRPr="00C2493E" w:rsidR="004E55CA">
        <w:rPr>
          <w:rFonts w:cs="Arial"/>
        </w:rPr>
        <w:t>to require and receive buydown liquidated damages as</w:t>
      </w:r>
      <w:r w:rsidRPr="00C2493E">
        <w:rPr>
          <w:rFonts w:cs="Arial"/>
        </w:rPr>
        <w:t xml:space="preserve"> specified in </w:t>
      </w:r>
      <w:r w:rsidRPr="00C2493E" w:rsidR="00ED31D7">
        <w:rPr>
          <w:rFonts w:cs="Arial"/>
        </w:rPr>
        <w:t xml:space="preserve">Section </w:t>
      </w:r>
      <w:r w:rsidRPr="00C2493E" w:rsidR="002D3B13">
        <w:rPr>
          <w:rFonts w:cs="Arial"/>
        </w:rPr>
        <w:t>1.3.</w:t>
      </w:r>
      <w:r w:rsidRPr="00C2493E" w:rsidR="004B4F28">
        <w:rPr>
          <w:rFonts w:cs="Arial"/>
        </w:rPr>
        <w:t>4</w:t>
      </w:r>
      <w:r w:rsidRPr="00C2493E" w:rsidR="00CE26B1">
        <w:rPr>
          <w:rFonts w:cs="Arial"/>
        </w:rPr>
        <w:t xml:space="preserve"> </w:t>
      </w:r>
      <w:r w:rsidRPr="009A58DA" w:rsidR="009A58DA">
        <w:t>(</w:t>
      </w:r>
      <w:r w:rsidRPr="009A58DA" w:rsidR="009A58DA">
        <w:rPr>
          <w:i/>
          <w:iCs/>
        </w:rPr>
        <w:t>Failure to Cure Inadequate Tested Storage Capacity Above 70% Contracted Capacity; Buydown Liquidated Damages</w:t>
      </w:r>
      <w:r w:rsidRPr="009A58DA" w:rsidR="009A58DA">
        <w:t>)</w:t>
      </w:r>
      <w:r w:rsidR="009A58DA">
        <w:rPr>
          <w:b/>
          <w:bCs/>
        </w:rPr>
        <w:t xml:space="preserve"> </w:t>
      </w:r>
      <w:r w:rsidRPr="00C2493E" w:rsidR="00CE26B1">
        <w:rPr>
          <w:rFonts w:cs="Arial"/>
        </w:rPr>
        <w:t xml:space="preserve">of </w:t>
      </w:r>
      <w:r w:rsidRPr="00C2493E" w:rsidR="005C0CFA">
        <w:rPr>
          <w:rFonts w:cs="Arial"/>
        </w:rPr>
        <w:t xml:space="preserve">Exhibit </w:t>
      </w:r>
      <w:r w:rsidRPr="00C2493E" w:rsidR="00742E8B">
        <w:rPr>
          <w:rFonts w:cs="Arial"/>
        </w:rPr>
        <w:t>B</w:t>
      </w:r>
      <w:r w:rsidRPr="00C2493E" w:rsidR="005C0CFA">
        <w:rPr>
          <w:rFonts w:cs="Arial"/>
        </w:rPr>
        <w:t xml:space="preserve"> (</w:t>
      </w:r>
      <w:r w:rsidRPr="00C2493E" w:rsidR="00FF4838">
        <w:rPr>
          <w:rFonts w:cs="Arial"/>
          <w:i/>
          <w:iCs/>
        </w:rPr>
        <w:t>Capacity; Capacity Payments and Payment Reductions; Buydown</w:t>
      </w:r>
      <w:r w:rsidRPr="00C2493E" w:rsidR="005C0CFA">
        <w:rPr>
          <w:rFonts w:cs="Arial"/>
        </w:rPr>
        <w:t>)</w:t>
      </w:r>
      <w:r w:rsidRPr="00C2493E" w:rsidR="001B5B4B">
        <w:rPr>
          <w:rFonts w:cs="Arial"/>
        </w:rPr>
        <w:t xml:space="preserve"> in lieu of terminati</w:t>
      </w:r>
      <w:r w:rsidRPr="00C2493E" w:rsidR="00CE26B1">
        <w:rPr>
          <w:rFonts w:cs="Arial"/>
        </w:rPr>
        <w:t>ng</w:t>
      </w:r>
      <w:r w:rsidRPr="00C2493E" w:rsidR="00CF7B2E">
        <w:rPr>
          <w:rFonts w:cs="Arial"/>
        </w:rPr>
        <w:t xml:space="preserve"> the PPA</w:t>
      </w:r>
      <w:r w:rsidRPr="00C2493E" w:rsidR="00C152B8">
        <w:rPr>
          <w:rFonts w:cs="Arial"/>
        </w:rPr>
        <w:t>. T</w:t>
      </w:r>
      <w:r w:rsidRPr="00C2493E">
        <w:rPr>
          <w:rFonts w:cs="Arial"/>
        </w:rPr>
        <w:t xml:space="preserve">o elect </w:t>
      </w:r>
      <w:r w:rsidRPr="00C2493E" w:rsidR="008537E1">
        <w:rPr>
          <w:rFonts w:cs="Arial"/>
        </w:rPr>
        <w:t>this</w:t>
      </w:r>
      <w:r w:rsidRPr="00C2493E">
        <w:rPr>
          <w:rFonts w:cs="Arial"/>
        </w:rPr>
        <w:t xml:space="preserve"> remedy</w:t>
      </w:r>
      <w:r w:rsidRPr="00C2493E" w:rsidR="008537E1">
        <w:rPr>
          <w:rFonts w:cs="Arial"/>
        </w:rPr>
        <w:t>, GPC</w:t>
      </w:r>
      <w:r w:rsidRPr="00C2493E">
        <w:rPr>
          <w:rFonts w:cs="Arial"/>
        </w:rPr>
        <w:t xml:space="preserve"> must notify Seller in writing of this election and must waive its right to declare a Seller Event of Default under</w:t>
      </w:r>
      <w:r w:rsidR="004F6A9C">
        <w:rPr>
          <w:rFonts w:cs="Arial"/>
        </w:rPr>
        <w:t xml:space="preserve"> this</w:t>
      </w:r>
      <w:r w:rsidRPr="00C2493E">
        <w:rPr>
          <w:rFonts w:cs="Arial"/>
        </w:rPr>
        <w:t xml:space="preserve"> Section </w:t>
      </w:r>
      <w:r w:rsidRPr="00C2493E" w:rsidR="002558D0">
        <w:rPr>
          <w:rFonts w:cs="Arial"/>
        </w:rPr>
        <w:t>16</w:t>
      </w:r>
      <w:r w:rsidRPr="00C2493E">
        <w:rPr>
          <w:rFonts w:cs="Arial"/>
        </w:rPr>
        <w:t>.1.</w:t>
      </w:r>
      <w:r w:rsidRPr="00C2493E" w:rsidR="004B4F28">
        <w:rPr>
          <w:rFonts w:cs="Arial"/>
        </w:rPr>
        <w:t>9</w:t>
      </w:r>
      <w:r w:rsidRPr="00C2493E">
        <w:rPr>
          <w:rFonts w:cs="Arial"/>
        </w:rPr>
        <w:t xml:space="preserve"> with respect to </w:t>
      </w:r>
      <w:r w:rsidRPr="00C2493E" w:rsidR="00800E31">
        <w:rPr>
          <w:rFonts w:cs="Arial"/>
        </w:rPr>
        <w:t>the</w:t>
      </w:r>
      <w:r w:rsidRPr="00C2493E">
        <w:rPr>
          <w:rFonts w:cs="Arial"/>
        </w:rPr>
        <w:t xml:space="preserve"> specific event of inadequate Tested Storage Capacity.</w:t>
      </w:r>
      <w:r w:rsidRPr="00C2493E" w:rsidR="00F3341C">
        <w:rPr>
          <w:rFonts w:cs="Arial"/>
        </w:rPr>
        <w:t xml:space="preserve"> GPC’s waiver is </w:t>
      </w:r>
      <w:r w:rsidRPr="00C2493E" w:rsidR="001D3FDF">
        <w:rPr>
          <w:rFonts w:cs="Arial"/>
        </w:rPr>
        <w:t>limited</w:t>
      </w:r>
      <w:r w:rsidR="001D3FDF">
        <w:rPr>
          <w:rFonts w:cs="Arial"/>
        </w:rPr>
        <w:t xml:space="preserve"> to the specific event of</w:t>
      </w:r>
      <w:r w:rsidR="00800E31">
        <w:rPr>
          <w:rFonts w:cs="Arial"/>
        </w:rPr>
        <w:t xml:space="preserve"> </w:t>
      </w:r>
      <w:r w:rsidR="005E29F8">
        <w:rPr>
          <w:rFonts w:cs="Arial"/>
        </w:rPr>
        <w:t>inadequate Tested Storage Capacity</w:t>
      </w:r>
      <w:r w:rsidR="00800E31">
        <w:rPr>
          <w:rFonts w:cs="Arial"/>
        </w:rPr>
        <w:t xml:space="preserve"> </w:t>
      </w:r>
      <w:r w:rsidR="002E11EC">
        <w:rPr>
          <w:rFonts w:cs="Arial"/>
        </w:rPr>
        <w:t>and does</w:t>
      </w:r>
      <w:r w:rsidRPr="00675570" w:rsidR="00800E31">
        <w:rPr>
          <w:rFonts w:cs="Arial"/>
        </w:rPr>
        <w:t xml:space="preserve"> not </w:t>
      </w:r>
      <w:r w:rsidR="002E11EC">
        <w:rPr>
          <w:rFonts w:cs="Arial"/>
        </w:rPr>
        <w:t>waive</w:t>
      </w:r>
      <w:r w:rsidR="00800E31">
        <w:rPr>
          <w:rFonts w:cs="Arial"/>
        </w:rPr>
        <w:t xml:space="preserve"> </w:t>
      </w:r>
      <w:r w:rsidRPr="00675570" w:rsidR="00800E31">
        <w:rPr>
          <w:rFonts w:cs="Arial"/>
        </w:rPr>
        <w:t>any additional event</w:t>
      </w:r>
      <w:r w:rsidRPr="00675570">
        <w:rPr>
          <w:rFonts w:cs="Arial"/>
        </w:rPr>
        <w:t>.</w:t>
      </w:r>
    </w:p>
    <w:p w:rsidRPr="00D32693" w:rsidR="006A1892" w:rsidP="00D94D93" w:rsidRDefault="006A1892" w14:paraId="30244502" w14:textId="33A0E3EA">
      <w:pPr>
        <w:pStyle w:val="zGTC03"/>
        <w:numPr>
          <w:ilvl w:val="2"/>
          <w:numId w:val="38"/>
        </w:numPr>
        <w:tabs>
          <w:tab w:val="clear" w:pos="1998"/>
        </w:tabs>
        <w:ind w:left="630"/>
        <w:rPr>
          <w:rFonts w:cs="Arial"/>
        </w:rPr>
      </w:pPr>
      <w:r w:rsidRPr="00D32693">
        <w:rPr>
          <w:rFonts w:cs="Arial"/>
          <w:b/>
          <w:bCs/>
        </w:rPr>
        <w:t>Failure to Meet AGC</w:t>
      </w:r>
      <w:r w:rsidR="00AF08C2">
        <w:rPr>
          <w:rFonts w:cs="Arial"/>
          <w:b/>
          <w:bCs/>
        </w:rPr>
        <w:t xml:space="preserve"> Performance</w:t>
      </w:r>
      <w:r w:rsidRPr="00D32693">
        <w:rPr>
          <w:rFonts w:cs="Arial"/>
          <w:b/>
          <w:bCs/>
        </w:rPr>
        <w:t xml:space="preserve"> Requirements.</w:t>
      </w:r>
      <w:r w:rsidRPr="00D32693">
        <w:rPr>
          <w:rFonts w:cs="Arial"/>
        </w:rPr>
        <w:t xml:space="preserve"> </w:t>
      </w:r>
      <w:r w:rsidR="009A58DA">
        <w:rPr>
          <w:rFonts w:cs="Arial"/>
        </w:rPr>
        <w:t>The Facility</w:t>
      </w:r>
      <w:r w:rsidRPr="00D32693">
        <w:rPr>
          <w:rFonts w:cs="Arial"/>
        </w:rPr>
        <w:t xml:space="preserve"> fails to achieve the AGC Status Performance Requirement or the AGC Setpoint Response Performance Requirement</w:t>
      </w:r>
      <w:r w:rsidR="00B860E6">
        <w:rPr>
          <w:rFonts w:cs="Arial"/>
        </w:rPr>
        <w:t xml:space="preserve"> such that a </w:t>
      </w:r>
      <w:r w:rsidR="006A3874">
        <w:rPr>
          <w:rFonts w:cs="Arial"/>
        </w:rPr>
        <w:t>T</w:t>
      </w:r>
      <w:r w:rsidR="00B860E6">
        <w:rPr>
          <w:rFonts w:cs="Arial"/>
        </w:rPr>
        <w:t xml:space="preserve">riggering </w:t>
      </w:r>
      <w:r w:rsidR="006A3874">
        <w:rPr>
          <w:rFonts w:cs="Arial"/>
        </w:rPr>
        <w:t>F</w:t>
      </w:r>
      <w:r w:rsidR="00B860E6">
        <w:rPr>
          <w:rFonts w:cs="Arial"/>
        </w:rPr>
        <w:t>ailure occurs</w:t>
      </w:r>
      <w:r w:rsidR="009A58DA">
        <w:rPr>
          <w:rFonts w:cs="Arial"/>
        </w:rPr>
        <w:t>, and Seller fails to comply with the applicable cure requirements in Section 10.9 (</w:t>
      </w:r>
      <w:r w:rsidRPr="009A58DA" w:rsidR="009A58DA">
        <w:rPr>
          <w:rFonts w:cs="Arial"/>
          <w:i/>
          <w:iCs/>
        </w:rPr>
        <w:t>AGC Performance Requirements</w:t>
      </w:r>
      <w:r w:rsidR="009A58DA">
        <w:rPr>
          <w:rFonts w:cs="Arial"/>
        </w:rPr>
        <w:t>)</w:t>
      </w:r>
      <w:r w:rsidRPr="00D32693">
        <w:rPr>
          <w:rFonts w:cs="Arial"/>
        </w:rPr>
        <w:t>.</w:t>
      </w:r>
    </w:p>
    <w:p w:rsidRPr="002D2A8F" w:rsidR="002D54C4" w:rsidP="0001770F" w:rsidRDefault="002D54C4" w14:paraId="2D85E29C" w14:textId="32283FE6">
      <w:pPr>
        <w:pStyle w:val="zGTC03"/>
        <w:rPr>
          <w:rFonts w:cs="Arial"/>
          <w:b/>
          <w:vanish/>
          <w:specVanish/>
        </w:rPr>
      </w:pPr>
      <w:r w:rsidRPr="002D2A8F">
        <w:rPr>
          <w:rFonts w:cs="Arial"/>
          <w:b/>
        </w:rPr>
        <w:t>Breach of Energy Delivery Obligation.</w:t>
      </w:r>
    </w:p>
    <w:p w:rsidRPr="002D2A8F" w:rsidR="002D54C4" w:rsidRDefault="00E11EDA" w14:paraId="045334E5" w14:textId="70B0005F">
      <w:pPr>
        <w:pStyle w:val="zGNormal"/>
      </w:pPr>
      <w:r w:rsidRPr="002D2A8F">
        <w:t xml:space="preserve"> </w:t>
      </w:r>
      <w:r w:rsidRPr="002D2A8F" w:rsidR="002D54C4">
        <w:t xml:space="preserve">Seller breaches its obligation to deliver energy in accordance with GPC’s </w:t>
      </w:r>
      <w:r w:rsidRPr="002D2A8F" w:rsidR="001216E3">
        <w:t>AGC Setpoint signals</w:t>
      </w:r>
      <w:r w:rsidRPr="002D2A8F" w:rsidR="002D54C4">
        <w:t xml:space="preserve"> </w:t>
      </w:r>
      <w:r w:rsidR="00170184">
        <w:t xml:space="preserve">or </w:t>
      </w:r>
      <w:r w:rsidR="00C831E6">
        <w:t>instructions from the Dispatch Center</w:t>
      </w:r>
      <w:r w:rsidR="00170184">
        <w:t xml:space="preserve">, as applicable </w:t>
      </w:r>
      <w:r w:rsidRPr="002D2A8F" w:rsidR="002D54C4">
        <w:t xml:space="preserve">to the extent that the </w:t>
      </w:r>
      <w:r w:rsidR="008C3F74">
        <w:t>Facility</w:t>
      </w:r>
      <w:r w:rsidRPr="002D2A8F" w:rsidR="008C3F74">
        <w:t xml:space="preserve"> </w:t>
      </w:r>
      <w:r w:rsidRPr="002D2A8F" w:rsidR="002D54C4">
        <w:t xml:space="preserve">is Available, and the breach continues for more than two </w:t>
      </w:r>
      <w:r w:rsidR="00BB64E2">
        <w:t>H</w:t>
      </w:r>
      <w:r w:rsidRPr="002D2A8F" w:rsidR="002D54C4">
        <w:t>ours after GPC provides</w:t>
      </w:r>
      <w:r w:rsidR="00232AF3">
        <w:t xml:space="preserve"> </w:t>
      </w:r>
      <w:r w:rsidRPr="002D2A8F" w:rsidR="002D54C4">
        <w:t xml:space="preserve">written </w:t>
      </w:r>
      <w:r w:rsidR="00C724F5">
        <w:t xml:space="preserve">(by email) and verbal (by telephone call) </w:t>
      </w:r>
      <w:r w:rsidRPr="002D2A8F" w:rsidR="002D54C4">
        <w:t>notice of the breach</w:t>
      </w:r>
      <w:r w:rsidR="00082C94">
        <w:t xml:space="preserve"> </w:t>
      </w:r>
      <w:r w:rsidR="00232AF3">
        <w:t>to the</w:t>
      </w:r>
      <w:r w:rsidRPr="002D2A8F" w:rsidR="002D54C4">
        <w:t xml:space="preserve"> Seller</w:t>
      </w:r>
      <w:r w:rsidR="00232AF3">
        <w:t xml:space="preserve"> Representative </w:t>
      </w:r>
      <w:r w:rsidR="0016608C">
        <w:t xml:space="preserve">designated in the Operating Procedures </w:t>
      </w:r>
      <w:r w:rsidR="00A85CBC">
        <w:t>as the Person to whom GPC will provide</w:t>
      </w:r>
      <w:r w:rsidR="0016608C">
        <w:t xml:space="preserve"> notice of operational issues</w:t>
      </w:r>
      <w:r w:rsidR="00A85CBC">
        <w:t>.</w:t>
      </w:r>
      <w:r w:rsidR="00232AF3">
        <w:t xml:space="preserve"> </w:t>
      </w:r>
    </w:p>
    <w:p w:rsidRPr="002D2A8F" w:rsidR="002D54C4" w:rsidP="0001770F" w:rsidRDefault="002D54C4" w14:paraId="0720EDD7" w14:textId="3140353D">
      <w:pPr>
        <w:pStyle w:val="zGTC03"/>
        <w:rPr>
          <w:rFonts w:cs="Arial"/>
          <w:b/>
          <w:vanish/>
          <w:specVanish/>
        </w:rPr>
      </w:pPr>
      <w:r w:rsidRPr="002D2A8F">
        <w:rPr>
          <w:rFonts w:cs="Arial"/>
          <w:b/>
        </w:rPr>
        <w:t>Abandonment or Failure to Achieve RCOD.</w:t>
      </w:r>
    </w:p>
    <w:p w:rsidRPr="002D2A8F" w:rsidR="002D54C4" w:rsidRDefault="002D54C4" w14:paraId="155110DF" w14:textId="4F8A6430">
      <w:pPr>
        <w:pStyle w:val="zGNormal"/>
      </w:pPr>
      <w:r w:rsidRPr="002D2A8F">
        <w:rPr>
          <w:b/>
        </w:rPr>
        <w:t xml:space="preserve"> </w:t>
      </w:r>
      <w:r w:rsidRPr="00FD568F" w:rsidR="00FD568F">
        <w:rPr>
          <w:bCs/>
        </w:rPr>
        <w:t>(i)</w:t>
      </w:r>
      <w:r w:rsidRPr="002D2A8F">
        <w:rPr>
          <w:b/>
        </w:rPr>
        <w:t xml:space="preserve"> </w:t>
      </w:r>
      <w:r w:rsidR="00FC60AE">
        <w:t>Abandonment</w:t>
      </w:r>
      <w:r w:rsidR="00FD568F">
        <w:t>; or</w:t>
      </w:r>
      <w:r w:rsidRPr="002D2A8F">
        <w:t xml:space="preserve"> </w:t>
      </w:r>
      <w:r w:rsidR="00FD568F">
        <w:t xml:space="preserve">(ii) </w:t>
      </w:r>
      <w:r w:rsidRPr="002D2A8F">
        <w:t xml:space="preserve">Seller </w:t>
      </w:r>
      <w:r w:rsidR="00FD568F">
        <w:t>(a)</w:t>
      </w:r>
      <w:r w:rsidRPr="002D2A8F">
        <w:t xml:space="preserve"> fails to achieve Commercial Operation  by no later than nine</w:t>
      </w:r>
      <w:r w:rsidRPr="002D2A8F" w:rsidDel="00F01A42">
        <w:t xml:space="preserve"> </w:t>
      </w:r>
      <w:r w:rsidRPr="002D2A8F">
        <w:t>Months after the RCOD</w:t>
      </w:r>
      <w:r w:rsidR="00FD568F">
        <w:t>;</w:t>
      </w:r>
      <w:r w:rsidRPr="002D2A8F">
        <w:t xml:space="preserve"> </w:t>
      </w:r>
      <w:r w:rsidR="00FD568F">
        <w:t>(ii)</w:t>
      </w:r>
      <w:r w:rsidRPr="002D2A8F">
        <w:t xml:space="preserve"> notifies GPC that Seller has reasonably determined that Seller will not achieve Commercial Operation or that Commercial Operation will not be achieved by no later than nine</w:t>
      </w:r>
      <w:r w:rsidRPr="002D2A8F" w:rsidDel="00F01A42">
        <w:t xml:space="preserve"> </w:t>
      </w:r>
      <w:r w:rsidRPr="002D2A8F">
        <w:t>Months after the RCOD</w:t>
      </w:r>
      <w:r w:rsidR="00FD568F">
        <w:t xml:space="preserve">; </w:t>
      </w:r>
      <w:r w:rsidR="00FD568F">
        <w:lastRenderedPageBreak/>
        <w:t xml:space="preserve">or (iii) </w:t>
      </w:r>
      <w:r w:rsidR="001A2152">
        <w:t>terminates this PPA in accordance with Section 7.3.3 (</w:t>
      </w:r>
      <w:r w:rsidRPr="002D0B85" w:rsidR="001A2152">
        <w:rPr>
          <w:i/>
          <w:iCs/>
        </w:rPr>
        <w:t>Seller Payment of Delay Liquidated Damages; Pre-COD Termination Damages</w:t>
      </w:r>
      <w:r w:rsidR="001A2152">
        <w:t>).</w:t>
      </w:r>
      <w:r w:rsidRPr="002D2A8F">
        <w:t>.</w:t>
      </w:r>
    </w:p>
    <w:p w:rsidRPr="002D2A8F" w:rsidR="002D54C4" w:rsidP="0001770F" w:rsidRDefault="002D54C4" w14:paraId="62010497" w14:textId="041B67E6">
      <w:pPr>
        <w:pStyle w:val="zGTC03"/>
        <w:rPr>
          <w:rFonts w:cs="Arial"/>
          <w:b/>
          <w:vanish/>
          <w:specVanish/>
        </w:rPr>
      </w:pPr>
      <w:r w:rsidRPr="002D2A8F">
        <w:rPr>
          <w:rFonts w:cs="Arial"/>
          <w:b/>
        </w:rPr>
        <w:t>Renewable Resource Capacity.</w:t>
      </w:r>
    </w:p>
    <w:p w:rsidRPr="002D2A8F" w:rsidR="002D54C4" w:rsidRDefault="002D54C4" w14:paraId="5C19FCEE" w14:textId="0E851CC2">
      <w:pPr>
        <w:pStyle w:val="zGNormal"/>
      </w:pPr>
      <w:r w:rsidRPr="002D2A8F">
        <w:t xml:space="preserve"> The capacity of the Renewable Resource is not at least </w:t>
      </w:r>
      <w:r w:rsidR="00C15A8D">
        <w:t>5</w:t>
      </w:r>
      <w:r w:rsidRPr="00FF2DC5">
        <w:t>0 MW</w:t>
      </w:r>
      <w:r w:rsidRPr="002D2A8F">
        <w:t>.</w:t>
      </w:r>
    </w:p>
    <w:p w:rsidRPr="002D2A8F" w:rsidR="002D54C4" w:rsidP="0001770F" w:rsidRDefault="002D54C4" w14:paraId="6C091BC3" w14:textId="77777777">
      <w:pPr>
        <w:pStyle w:val="zGTC03"/>
        <w:rPr>
          <w:rFonts w:cs="Arial"/>
          <w:vanish/>
          <w:specVanish/>
        </w:rPr>
      </w:pPr>
      <w:r w:rsidRPr="002D2A8F">
        <w:rPr>
          <w:rFonts w:cs="Arial"/>
          <w:b/>
        </w:rPr>
        <w:t>Adjusting Meter or Interconnection Facilities without GPC’s Consent.</w:t>
      </w:r>
      <w:r w:rsidRPr="002D2A8F">
        <w:rPr>
          <w:rFonts w:cs="Arial"/>
        </w:rPr>
        <w:t xml:space="preserve"> </w:t>
      </w:r>
    </w:p>
    <w:p w:rsidRPr="002D2A8F" w:rsidR="002D54C4" w:rsidRDefault="002D54C4" w14:paraId="347AF7DC" w14:textId="572BD7D3">
      <w:pPr>
        <w:pStyle w:val="zGNormal"/>
      </w:pPr>
      <w:r w:rsidRPr="002D2A8F">
        <w:t xml:space="preserve"> Seller or any </w:t>
      </w:r>
      <w:r w:rsidR="00853836">
        <w:t>Seller R</w:t>
      </w:r>
      <w:r w:rsidRPr="002D2A8F">
        <w:t xml:space="preserve">epresentative willfully adjusts the Metering System or the Interconnection Facilities without GPC’s written consent and which adjustment has the effect of falsely increasing </w:t>
      </w:r>
      <w:r w:rsidR="0001770F">
        <w:t>any</w:t>
      </w:r>
      <w:r w:rsidRPr="002D2A8F" w:rsidR="0001770F">
        <w:t xml:space="preserve"> </w:t>
      </w:r>
      <w:r w:rsidRPr="002D2A8F">
        <w:t>amount owed by GPC under this PPA.</w:t>
      </w:r>
    </w:p>
    <w:p w:rsidRPr="002D2A8F" w:rsidR="002D54C4" w:rsidP="0001770F" w:rsidRDefault="002D54C4" w14:paraId="6C837BAD" w14:textId="0747455F">
      <w:pPr>
        <w:pStyle w:val="zGTC03"/>
        <w:rPr>
          <w:rFonts w:cs="Arial"/>
          <w:b/>
          <w:vanish/>
          <w:specVanish/>
        </w:rPr>
      </w:pPr>
      <w:r w:rsidRPr="002D2A8F">
        <w:rPr>
          <w:rFonts w:cs="Arial"/>
          <w:b/>
        </w:rPr>
        <w:t>Breach of Covenant.</w:t>
      </w:r>
    </w:p>
    <w:p w:rsidRPr="005C3D68" w:rsidR="002D54C4" w:rsidP="005C3D68" w:rsidRDefault="002D54C4" w14:paraId="737EA4EB" w14:textId="2F36B0C3">
      <w:pPr>
        <w:pStyle w:val="zGNormal"/>
      </w:pPr>
      <w:r w:rsidRPr="002D2A8F">
        <w:t xml:space="preserve"> Any failure of any covenant made by Seller in </w:t>
      </w:r>
      <w:r w:rsidRPr="00534192">
        <w:t>Section 2.1 (Seller Representations, Warranties, and Covenants)</w:t>
      </w:r>
      <w:r w:rsidRPr="002D2A8F">
        <w:t>, unless Seller promptly commences and diligently pursues action and cures the failure by no later than 30 Days after notice of the failure has been given to Seller by GPC (unless the cure is not capable of being effected within the 30-Day period in which case Seller must submit a cure plan before the end of the 30-Day period outlining steps to assure GPC that the failure will be cured, which cure plan will be subject to GPC’s approval, the approval not to be unreasonably withheld by GPC, but in no event will the total cure period exceed 180 Days) and the cure removes any adverse effect on GPC of the failure of such covenant</w:t>
      </w:r>
      <w:r w:rsidRPr="002D2A8F">
        <w:rPr>
          <w:rStyle w:val="DeltaViewInsertion"/>
          <w:color w:val="auto"/>
          <w:u w:val="none"/>
        </w:rPr>
        <w:t xml:space="preserve">. However, no Event of Default by Seller </w:t>
      </w:r>
      <w:r w:rsidRPr="002D2A8F">
        <w:t>will</w:t>
      </w:r>
      <w:r w:rsidRPr="002D2A8F">
        <w:rPr>
          <w:rStyle w:val="DeltaViewInsertion"/>
          <w:color w:val="auto"/>
          <w:u w:val="none"/>
        </w:rPr>
        <w:t xml:space="preserve"> occur </w:t>
      </w:r>
      <w:r w:rsidRPr="002D2A8F">
        <w:t>in accordance with</w:t>
      </w:r>
      <w:r w:rsidRPr="002D2A8F">
        <w:rPr>
          <w:rStyle w:val="DeltaViewInsertion"/>
          <w:color w:val="auto"/>
          <w:u w:val="none"/>
        </w:rPr>
        <w:t xml:space="preserve"> this </w:t>
      </w:r>
      <w:r w:rsidRPr="00534192">
        <w:rPr>
          <w:rStyle w:val="DeltaViewInsertion"/>
          <w:color w:val="auto"/>
          <w:u w:val="none"/>
        </w:rPr>
        <w:t>Section 16.1.1</w:t>
      </w:r>
      <w:r w:rsidRPr="00534192" w:rsidR="00845FF7">
        <w:rPr>
          <w:rStyle w:val="DeltaViewInsertion"/>
          <w:color w:val="auto"/>
          <w:u w:val="none"/>
        </w:rPr>
        <w:t>5</w:t>
      </w:r>
      <w:r w:rsidRPr="002D2A8F">
        <w:rPr>
          <w:rStyle w:val="DeltaViewInsertion"/>
          <w:color w:val="auto"/>
          <w:u w:val="none"/>
        </w:rPr>
        <w:t xml:space="preserve"> unless </w:t>
      </w:r>
      <w:r w:rsidRPr="002D2A8F">
        <w:t>GPC</w:t>
      </w:r>
      <w:r w:rsidRPr="002D2A8F">
        <w:rPr>
          <w:rStyle w:val="DeltaViewInsertion"/>
          <w:color w:val="auto"/>
          <w:u w:val="none"/>
        </w:rPr>
        <w:t xml:space="preserve"> cooperates with Seller during the cure period and</w:t>
      </w:r>
      <w:r w:rsidR="00370E25">
        <w:rPr>
          <w:rStyle w:val="DeltaViewInsertion"/>
          <w:color w:val="auto"/>
          <w:u w:val="none"/>
        </w:rPr>
        <w:t>, if applicable,</w:t>
      </w:r>
      <w:r w:rsidRPr="002D2A8F">
        <w:rPr>
          <w:rStyle w:val="DeltaViewInsertion"/>
          <w:color w:val="auto"/>
          <w:u w:val="none"/>
        </w:rPr>
        <w:t xml:space="preserve"> takes commercially reasonable actions (without causing a material adverse effect on </w:t>
      </w:r>
      <w:r w:rsidRPr="002D2A8F">
        <w:t>GPC</w:t>
      </w:r>
      <w:r w:rsidRPr="002D2A8F">
        <w:rPr>
          <w:rStyle w:val="DeltaViewInsertion"/>
          <w:color w:val="auto"/>
          <w:u w:val="none"/>
        </w:rPr>
        <w:t xml:space="preserve">) necessary to bring about a determination by </w:t>
      </w:r>
      <w:r w:rsidRPr="002D2A8F">
        <w:t>GPC</w:t>
      </w:r>
      <w:r w:rsidRPr="002D2A8F">
        <w:rPr>
          <w:rStyle w:val="DeltaViewInsertion"/>
          <w:color w:val="auto"/>
          <w:u w:val="none"/>
        </w:rPr>
        <w:t xml:space="preserve"> and its independent auditor that Seller does not constitute a VIE as because of this PPA</w:t>
      </w:r>
      <w:r w:rsidRPr="002D2A8F">
        <w:t>.</w:t>
      </w:r>
    </w:p>
    <w:p w:rsidRPr="002D2A8F" w:rsidR="002D54C4" w:rsidP="0001770F" w:rsidRDefault="002D54C4" w14:paraId="5C89B28C" w14:textId="217F849F">
      <w:pPr>
        <w:pStyle w:val="zGTC03"/>
        <w:rPr>
          <w:rFonts w:cs="Arial"/>
          <w:b/>
          <w:vanish/>
          <w:specVanish/>
        </w:rPr>
      </w:pPr>
      <w:r w:rsidRPr="002D2A8F">
        <w:rPr>
          <w:rFonts w:cs="Arial"/>
          <w:b/>
        </w:rPr>
        <w:t>Applicable Law Violation.</w:t>
      </w:r>
    </w:p>
    <w:p w:rsidR="002D54C4" w:rsidRDefault="002D54C4" w14:paraId="29938358" w14:textId="1FCF3F92">
      <w:pPr>
        <w:pStyle w:val="zGNormal"/>
      </w:pPr>
      <w:r w:rsidRPr="002D2A8F">
        <w:t xml:space="preserve"> Seller violates any applicable law and the violation would have a material adverse effect on Seller’s ability to perform under this PPA and such violation is not cured within 30 </w:t>
      </w:r>
      <w:r w:rsidR="00FC7590">
        <w:t>D</w:t>
      </w:r>
      <w:r w:rsidRPr="002D2A8F">
        <w:t xml:space="preserve">ays after notice from GPC unless the cure is not capable of being effected within the 30-Day period, in which case Seller will have an additional </w:t>
      </w:r>
      <w:r w:rsidR="00A11D1A">
        <w:t>6</w:t>
      </w:r>
      <w:r w:rsidRPr="002D2A8F">
        <w:t xml:space="preserve">0-Day period in which to commence the cure </w:t>
      </w:r>
      <w:r w:rsidR="00D700CA">
        <w:t>so long as Seller</w:t>
      </w:r>
      <w:r w:rsidRPr="002D2A8F">
        <w:t xml:space="preserve"> diligently pursues the cure and completes the cure within </w:t>
      </w:r>
      <w:r w:rsidR="00CE1C23">
        <w:t>9</w:t>
      </w:r>
      <w:r w:rsidRPr="002D2A8F">
        <w:t xml:space="preserve">0 Days and the cure removes any material adverse effect on Seller’s ability to perform under this PPA. Seller will be deemed not to have committed an Event of Default </w:t>
      </w:r>
      <w:r w:rsidR="00D700CA">
        <w:t>under this Section 16.1.6 (</w:t>
      </w:r>
      <w:r w:rsidRPr="00D700CA" w:rsidR="00D700CA">
        <w:rPr>
          <w:i/>
          <w:iCs/>
        </w:rPr>
        <w:t>Applicable Law Violation</w:t>
      </w:r>
      <w:r w:rsidR="00D700CA">
        <w:t>)</w:t>
      </w:r>
      <w:r w:rsidRPr="002D2A8F" w:rsidR="00D700CA">
        <w:t xml:space="preserve"> </w:t>
      </w:r>
      <w:r w:rsidRPr="002D2A8F">
        <w:t>if Seller has validly contested the alleged violation, the matter remains pending before the applicable Governmental Authorities, and any cease and desist order or other enforcement action due to an alleged violation of the applicable laws has been stayed.</w:t>
      </w:r>
    </w:p>
    <w:p w:rsidR="00630DA5" w:rsidP="00630DA5" w:rsidRDefault="00FA1275" w14:paraId="6DD0FD55" w14:textId="06A32749">
      <w:pPr>
        <w:pStyle w:val="zGTC03"/>
      </w:pPr>
      <w:r>
        <w:rPr>
          <w:b/>
          <w:bCs/>
        </w:rPr>
        <w:t>IA Termination</w:t>
      </w:r>
      <w:r w:rsidRPr="0058297B" w:rsidR="00F61D3B">
        <w:rPr>
          <w:b/>
          <w:bCs/>
        </w:rPr>
        <w:t>.</w:t>
      </w:r>
      <w:r w:rsidR="00F61D3B">
        <w:t xml:space="preserve"> </w:t>
      </w:r>
      <w:r>
        <w:t>Termination of the IA due to a</w:t>
      </w:r>
      <w:r w:rsidR="0086136A">
        <w:t xml:space="preserve"> </w:t>
      </w:r>
      <w:r w:rsidR="00F61D3B">
        <w:t xml:space="preserve">Seller event of default under the </w:t>
      </w:r>
      <w:r w:rsidR="00A04673">
        <w:t>IA</w:t>
      </w:r>
      <w:r w:rsidR="00F61D3B">
        <w:t>.</w:t>
      </w:r>
      <w:r w:rsidRPr="002D2A8F" w:rsidR="00E808EC">
        <w:t xml:space="preserve"> </w:t>
      </w:r>
    </w:p>
    <w:p w:rsidRPr="002D2A8F" w:rsidR="002D54C4" w:rsidRDefault="002D54C4" w14:paraId="1B22A2AF" w14:textId="77777777">
      <w:pPr>
        <w:pStyle w:val="zGTC02"/>
        <w:rPr>
          <w:rFonts w:ascii="Arial" w:hAnsi="Arial" w:cs="Arial"/>
          <w:vanish/>
          <w:specVanish/>
        </w:rPr>
      </w:pPr>
      <w:bookmarkStart w:name="_Toc169778662" w:id="663"/>
      <w:bookmarkStart w:name="_Toc227451426" w:id="664"/>
      <w:r w:rsidRPr="002D2A8F">
        <w:rPr>
          <w:rFonts w:ascii="Arial" w:hAnsi="Arial" w:cs="Arial"/>
        </w:rPr>
        <w:t>Default by GPC.</w:t>
      </w:r>
      <w:bookmarkStart w:name="_Toc158593264" w:id="665"/>
      <w:bookmarkStart w:name="_Toc158597543" w:id="666"/>
      <w:bookmarkStart w:name="_Toc158720167" w:id="667"/>
      <w:bookmarkStart w:name="_Toc158722921" w:id="668"/>
      <w:bookmarkStart w:name="_Toc158929453" w:id="669"/>
      <w:bookmarkEnd w:id="663"/>
      <w:bookmarkEnd w:id="664"/>
      <w:bookmarkEnd w:id="665"/>
      <w:bookmarkEnd w:id="666"/>
      <w:bookmarkEnd w:id="667"/>
      <w:bookmarkEnd w:id="668"/>
      <w:bookmarkEnd w:id="669"/>
    </w:p>
    <w:p w:rsidRPr="002D2A8F" w:rsidR="002D54C4" w:rsidRDefault="002D54C4" w14:paraId="1AC7D3A4" w14:textId="77777777">
      <w:pPr>
        <w:pStyle w:val="zGNormal"/>
      </w:pPr>
      <w:r w:rsidRPr="002D2A8F">
        <w:t xml:space="preserve"> The occurrence of any of the following events will</w:t>
      </w:r>
      <w:r w:rsidRPr="002D2A8F" w:rsidDel="001057EA">
        <w:t xml:space="preserve"> </w:t>
      </w:r>
      <w:r w:rsidRPr="002D2A8F">
        <w:t>constitute a GPC Event of Default:</w:t>
      </w:r>
    </w:p>
    <w:p w:rsidRPr="002D2A8F" w:rsidR="002D54C4" w:rsidP="008759EF" w:rsidRDefault="002D54C4" w14:paraId="7F0EF9AA" w14:textId="668612EA">
      <w:pPr>
        <w:pStyle w:val="zGTC03"/>
        <w:rPr>
          <w:rFonts w:cs="Arial"/>
          <w:b/>
          <w:vanish/>
          <w:specVanish/>
        </w:rPr>
      </w:pPr>
      <w:r w:rsidRPr="002D2A8F">
        <w:rPr>
          <w:rFonts w:cs="Arial"/>
          <w:b/>
        </w:rPr>
        <w:t>GPC Payment Default.</w:t>
      </w:r>
    </w:p>
    <w:p w:rsidRPr="002D2A8F" w:rsidR="002D54C4" w:rsidRDefault="002D54C4" w14:paraId="7C8CECB5" w14:textId="5771230E">
      <w:pPr>
        <w:pStyle w:val="zGNormal"/>
      </w:pPr>
      <w:r w:rsidRPr="002D2A8F">
        <w:t xml:space="preserve"> GPC fails</w:t>
      </w:r>
      <w:r w:rsidR="00FE0EDF">
        <w:t>, by the due date,</w:t>
      </w:r>
      <w:r w:rsidRPr="002D2A8F">
        <w:t xml:space="preserve"> to pay Seller any undisputed amount payable by GPC to Seller in accordance with this PPA and fails to cure the failure to pay within </w:t>
      </w:r>
      <w:r w:rsidR="00CD6AE6">
        <w:t>15</w:t>
      </w:r>
      <w:r w:rsidRPr="002D2A8F" w:rsidR="00CD6AE6">
        <w:t xml:space="preserve"> </w:t>
      </w:r>
      <w:r w:rsidRPr="002D2A8F">
        <w:t xml:space="preserve">Days after </w:t>
      </w:r>
      <w:r w:rsidR="005A43F4">
        <w:t>receipt of written demand from Seller</w:t>
      </w:r>
      <w:r w:rsidRPr="002D2A8F">
        <w:t>.</w:t>
      </w:r>
    </w:p>
    <w:p w:rsidRPr="002D2A8F" w:rsidR="002D54C4" w:rsidP="008759EF" w:rsidRDefault="002D54C4" w14:paraId="4561E8FE" w14:textId="292E6921">
      <w:pPr>
        <w:pStyle w:val="zGTC03"/>
        <w:rPr>
          <w:rFonts w:cs="Arial"/>
          <w:b/>
          <w:vanish/>
          <w:specVanish/>
        </w:rPr>
      </w:pPr>
      <w:r w:rsidRPr="002D2A8F">
        <w:rPr>
          <w:rFonts w:cs="Arial"/>
          <w:b/>
        </w:rPr>
        <w:t>Failure to Comply with Other Material PPA Terms.</w:t>
      </w:r>
    </w:p>
    <w:p w:rsidRPr="002D2A8F" w:rsidR="002D54C4" w:rsidRDefault="002D54C4" w14:paraId="5834413F" w14:textId="74FEC634">
      <w:pPr>
        <w:pStyle w:val="zGNormal"/>
      </w:pPr>
      <w:r w:rsidRPr="002D2A8F">
        <w:rPr>
          <w:b/>
        </w:rPr>
        <w:t xml:space="preserve"> </w:t>
      </w:r>
      <w:r w:rsidRPr="002D2A8F">
        <w:t>GPC</w:t>
      </w:r>
      <w:r w:rsidRPr="002D2A8F" w:rsidDel="00F43E28">
        <w:t xml:space="preserve"> </w:t>
      </w:r>
      <w:r w:rsidRPr="002D2A8F">
        <w:t>fails to perform or observe any material obligation of GPC</w:t>
      </w:r>
      <w:r w:rsidRPr="002D2A8F" w:rsidDel="00F43E28">
        <w:t xml:space="preserve"> </w:t>
      </w:r>
      <w:r w:rsidRPr="002D2A8F">
        <w:t xml:space="preserve">under this PPA, other than those obligations included in this </w:t>
      </w:r>
      <w:r w:rsidRPr="00534192">
        <w:t>Section 16.2 (</w:t>
      </w:r>
      <w:r w:rsidRPr="00534192">
        <w:rPr>
          <w:i/>
        </w:rPr>
        <w:t>Default by GPC</w:t>
      </w:r>
      <w:r w:rsidRPr="00534192">
        <w:t>)</w:t>
      </w:r>
      <w:r w:rsidRPr="002D2A8F">
        <w:t>, which failure materially and adversely affects the ability of Seller or GPC</w:t>
      </w:r>
      <w:r w:rsidRPr="002D2A8F" w:rsidDel="00F43E28">
        <w:t xml:space="preserve"> </w:t>
      </w:r>
      <w:r w:rsidRPr="002D2A8F">
        <w:t xml:space="preserve">to perform their respective obligations under this PPA and continues for a period of 30 Days after notice </w:t>
      </w:r>
      <w:r w:rsidR="00114A28">
        <w:t>of the failure</w:t>
      </w:r>
      <w:r w:rsidRPr="002D2A8F" w:rsidR="00114A28">
        <w:t xml:space="preserve"> </w:t>
      </w:r>
      <w:r w:rsidRPr="002D2A8F">
        <w:t>from Seller (unless the cure is not capable of being effected within the 30-Day period, in which case GPC</w:t>
      </w:r>
      <w:r w:rsidRPr="002D2A8F" w:rsidDel="00F43E28">
        <w:t xml:space="preserve"> </w:t>
      </w:r>
      <w:r w:rsidRPr="002D2A8F">
        <w:t>will</w:t>
      </w:r>
      <w:r w:rsidRPr="002D2A8F" w:rsidDel="001057EA">
        <w:t xml:space="preserve"> </w:t>
      </w:r>
      <w:r w:rsidRPr="002D2A8F">
        <w:t>have an additional 30-Day period in which to perform the cure).</w:t>
      </w:r>
    </w:p>
    <w:p w:rsidRPr="002D2A8F" w:rsidR="002D54C4" w:rsidP="008759EF" w:rsidRDefault="002D54C4" w14:paraId="67B7FA15" w14:textId="491F10DA">
      <w:pPr>
        <w:pStyle w:val="zGTC03"/>
        <w:rPr>
          <w:rFonts w:cs="Arial"/>
          <w:b/>
          <w:vanish/>
          <w:specVanish/>
        </w:rPr>
      </w:pPr>
      <w:r w:rsidRPr="002D2A8F">
        <w:rPr>
          <w:rFonts w:cs="Arial"/>
          <w:b/>
        </w:rPr>
        <w:t>Incorrect Representation</w:t>
      </w:r>
      <w:r w:rsidR="0001770F">
        <w:rPr>
          <w:rFonts w:cs="Arial"/>
          <w:b/>
        </w:rPr>
        <w:t xml:space="preserve"> or</w:t>
      </w:r>
      <w:r w:rsidRPr="002D2A8F">
        <w:rPr>
          <w:rFonts w:cs="Arial"/>
          <w:b/>
        </w:rPr>
        <w:t xml:space="preserve"> Warranty.</w:t>
      </w:r>
    </w:p>
    <w:p w:rsidRPr="002D2A8F" w:rsidR="002D54C4" w:rsidRDefault="002D54C4" w14:paraId="1801DC8F" w14:textId="3A6B3194">
      <w:pPr>
        <w:pStyle w:val="zGNormal"/>
      </w:pPr>
      <w:r w:rsidRPr="002D2A8F">
        <w:t xml:space="preserve"> Any representation or warranty made by GPC in this PPA or in any certificate or other document delivered to Seller in accordance with this PPA proves to be incorrect in any material respect when made, unless GPC promptly commences and diligently pursues action to cause the representation or warranty to become true in all material respects and does so within 30 Days after Seller has given GPC notice</w:t>
      </w:r>
      <w:r w:rsidRPr="002D2A8F" w:rsidDel="008613DC">
        <w:t xml:space="preserve"> </w:t>
      </w:r>
      <w:r w:rsidRPr="002D2A8F">
        <w:t>(unless</w:t>
      </w:r>
      <w:r w:rsidRPr="002D2A8F" w:rsidDel="008613DC">
        <w:t xml:space="preserve"> </w:t>
      </w:r>
      <w:r w:rsidRPr="002D2A8F">
        <w:t xml:space="preserve">the cure is not capable of being effected within such 30-Day period in which case GPC will have </w:t>
      </w:r>
      <w:r w:rsidRPr="002D2A8F">
        <w:lastRenderedPageBreak/>
        <w:t xml:space="preserve">an additional 30-Day period in which to perform the cure) and the cure removes any material adverse effect on Seller because of the representation or warranty having been incorrect. </w:t>
      </w:r>
    </w:p>
    <w:p w:rsidRPr="002D2A8F" w:rsidR="002D54C4" w:rsidP="008759EF" w:rsidRDefault="002D54C4" w14:paraId="1A772721" w14:textId="18CAEFEC">
      <w:pPr>
        <w:pStyle w:val="zGTC03"/>
        <w:rPr>
          <w:rFonts w:cs="Arial"/>
          <w:b/>
          <w:vanish/>
          <w:specVanish/>
        </w:rPr>
      </w:pPr>
      <w:r w:rsidRPr="002D2A8F">
        <w:rPr>
          <w:rFonts w:cs="Arial"/>
          <w:b/>
        </w:rPr>
        <w:t>Involuntary Bankruptcy, Insolvency, or Reorganization.</w:t>
      </w:r>
    </w:p>
    <w:p w:rsidRPr="002D2A8F" w:rsidR="002D54C4" w:rsidRDefault="002D54C4" w14:paraId="6824D3E9" w14:textId="77777777">
      <w:pPr>
        <w:pStyle w:val="zGNormal"/>
      </w:pPr>
      <w:r w:rsidRPr="002D2A8F">
        <w:t xml:space="preserve"> A court having jurisdiction</w:t>
      </w:r>
      <w:r w:rsidRPr="002D2A8F" w:rsidDel="001057EA">
        <w:t xml:space="preserve"> </w:t>
      </w:r>
      <w:r w:rsidRPr="002D2A8F">
        <w:t>enters: (i) a decree or order for relief in respect of GPC</w:t>
      </w:r>
      <w:r w:rsidRPr="002D2A8F" w:rsidDel="00F43E28">
        <w:t xml:space="preserve"> </w:t>
      </w:r>
      <w:r w:rsidRPr="002D2A8F">
        <w:t>in an involuntary case or proceeding under any applicable Federal or state bankruptcy, insolvency, reorganization or other similar law; or (ii) a decree or order adjudicating GPC</w:t>
      </w:r>
      <w:r w:rsidRPr="002D2A8F" w:rsidDel="00F43E28">
        <w:t xml:space="preserve"> </w:t>
      </w:r>
      <w:r w:rsidRPr="002D2A8F">
        <w:t>bankrupt or insolvent, or approving as properly filed a petition seeking reorganization, arrangement, adjustment or composition of or regarding GPC</w:t>
      </w:r>
      <w:r w:rsidRPr="002D2A8F" w:rsidDel="00F43E28">
        <w:t xml:space="preserve"> </w:t>
      </w:r>
      <w:r w:rsidRPr="002D2A8F">
        <w:t>under any applicable Federal or state law, or appointing a custodian, receiver, liquidator, assignee, trustee, sequestrator, or other similar official of GPC</w:t>
      </w:r>
      <w:r w:rsidRPr="002D2A8F" w:rsidDel="00F43E28">
        <w:t xml:space="preserve"> </w:t>
      </w:r>
      <w:r w:rsidRPr="002D2A8F">
        <w:t>or of any substantial part of its affairs.</w:t>
      </w:r>
    </w:p>
    <w:p w:rsidRPr="002D2A8F" w:rsidR="002D54C4" w:rsidP="008759EF" w:rsidRDefault="002D54C4" w14:paraId="67E270F4" w14:textId="699A7482">
      <w:pPr>
        <w:pStyle w:val="zGTC03"/>
        <w:rPr>
          <w:rFonts w:cs="Arial"/>
          <w:b/>
          <w:vanish/>
          <w:specVanish/>
        </w:rPr>
      </w:pPr>
      <w:r w:rsidRPr="002D2A8F">
        <w:rPr>
          <w:rFonts w:cs="Arial"/>
          <w:b/>
        </w:rPr>
        <w:t>Voluntary Bankruptcy, Insolvency, or Reorganization.</w:t>
      </w:r>
    </w:p>
    <w:p w:rsidRPr="002D2A8F" w:rsidR="002D54C4" w:rsidRDefault="002D54C4" w14:paraId="75141C46" w14:textId="77777777">
      <w:pPr>
        <w:pStyle w:val="zGNormal"/>
      </w:pPr>
      <w:r w:rsidRPr="002D2A8F">
        <w:rPr>
          <w:b/>
        </w:rPr>
        <w:t xml:space="preserve"> </w:t>
      </w:r>
      <w:r w:rsidRPr="002D2A8F">
        <w:t>GPC: (i) commences a voluntary case or proceeding under any applicable Federal or state bankruptcy, insolvency, reorganization, or other similar law or any other case or proceeding to be adjudicated bankrupt or insolvent; (ii) consents to the entry of a decree or order for relief in respect of GPC</w:t>
      </w:r>
      <w:r w:rsidRPr="002D2A8F" w:rsidDel="00F43E28">
        <w:t xml:space="preserve"> </w:t>
      </w:r>
      <w:r w:rsidRPr="002D2A8F">
        <w:t>in any involuntary case or proceeding under any applicable Federal or state bankruptcy, insolvency, reorganization, or other similar law, or to the commencement of any bankruptcy or insolvency case or proceeding against it; (iii) files any petition, answer, or consent seeking reorganization or similar relief under any applicable Federal or state law, which, if granted would have the effect of relieving GPC</w:t>
      </w:r>
      <w:r w:rsidRPr="002D2A8F" w:rsidDel="00F43E28">
        <w:t xml:space="preserve"> </w:t>
      </w:r>
      <w:r w:rsidRPr="002D2A8F">
        <w:t>of any of its obligations; (iv) consents to the filing of any petition or to the appointment of or taking possession by a custodian, receiver, liquidator, assignee, trustee, sequestrator, or similar official of GPC</w:t>
      </w:r>
      <w:r w:rsidRPr="002D2A8F" w:rsidDel="00F43E28">
        <w:t xml:space="preserve"> </w:t>
      </w:r>
      <w:r w:rsidRPr="002D2A8F">
        <w:t>or of any substantial part of its property; (v) makes an assignment for the benefit of creditors; (vi) admits in writing its inability to generally pay its debts as they become due; or (vii) takes any action in furtherance of any of the foregoing.</w:t>
      </w:r>
    </w:p>
    <w:p w:rsidRPr="002D2A8F" w:rsidR="002D54C4" w:rsidP="008759EF" w:rsidRDefault="002D54C4" w14:paraId="1F8DAF41" w14:textId="3C449937">
      <w:pPr>
        <w:pStyle w:val="zGTC03"/>
        <w:rPr>
          <w:rFonts w:cs="Arial"/>
          <w:b/>
          <w:vanish/>
          <w:specVanish/>
        </w:rPr>
      </w:pPr>
      <w:r w:rsidRPr="002D2A8F">
        <w:rPr>
          <w:rFonts w:cs="Arial"/>
          <w:b/>
        </w:rPr>
        <w:t>Failure to Comply with PPA Assignment Requirements.</w:t>
      </w:r>
    </w:p>
    <w:p w:rsidRPr="002D2A8F" w:rsidR="002D54C4" w:rsidRDefault="002D54C4" w14:paraId="198913FA" w14:textId="0E305F59">
      <w:pPr>
        <w:pStyle w:val="zGNormal"/>
      </w:pPr>
      <w:r w:rsidRPr="002D2A8F">
        <w:t xml:space="preserve"> GPC</w:t>
      </w:r>
      <w:r w:rsidRPr="002D2A8F" w:rsidDel="00F43E28">
        <w:t xml:space="preserve"> </w:t>
      </w:r>
      <w:r w:rsidRPr="002D2A8F">
        <w:t xml:space="preserve">violates the requirements of </w:t>
      </w:r>
      <w:r w:rsidRPr="00534192">
        <w:t>Part 18 (</w:t>
      </w:r>
      <w:r w:rsidRPr="00534192">
        <w:rPr>
          <w:i/>
        </w:rPr>
        <w:t>Assignment</w:t>
      </w:r>
      <w:r w:rsidRPr="00534192" w:rsidR="00843D86">
        <w:rPr>
          <w:i/>
        </w:rPr>
        <w:t xml:space="preserve">, </w:t>
      </w:r>
      <w:r w:rsidRPr="00534192">
        <w:rPr>
          <w:i/>
        </w:rPr>
        <w:t>Transfers</w:t>
      </w:r>
      <w:r w:rsidRPr="00534192" w:rsidR="00D02CBB">
        <w:rPr>
          <w:i/>
        </w:rPr>
        <w:t xml:space="preserve">, </w:t>
      </w:r>
      <w:r w:rsidR="005A425F">
        <w:rPr>
          <w:i/>
        </w:rPr>
        <w:t xml:space="preserve">and </w:t>
      </w:r>
      <w:r w:rsidRPr="00534192" w:rsidR="00D02CBB">
        <w:rPr>
          <w:i/>
        </w:rPr>
        <w:t>Changes of Control</w:t>
      </w:r>
      <w:r w:rsidRPr="00534192">
        <w:t>)</w:t>
      </w:r>
      <w:r w:rsidRPr="002D2A8F">
        <w:t xml:space="preserve"> through an </w:t>
      </w:r>
      <w:r w:rsidR="00132ABE">
        <w:t xml:space="preserve">unpermitted </w:t>
      </w:r>
      <w:r w:rsidRPr="002D2A8F">
        <w:t>assignment or transfer of this PPA.</w:t>
      </w:r>
    </w:p>
    <w:p w:rsidRPr="002D2A8F" w:rsidR="002D54C4" w:rsidP="008759EF" w:rsidRDefault="002D54C4" w14:paraId="3AD01C9C" w14:textId="3A39D1BA">
      <w:pPr>
        <w:pStyle w:val="zGTC03"/>
        <w:rPr>
          <w:rFonts w:cs="Arial"/>
          <w:b/>
          <w:vanish/>
          <w:specVanish/>
        </w:rPr>
      </w:pPr>
      <w:r w:rsidRPr="002D2A8F">
        <w:rPr>
          <w:rFonts w:cs="Arial"/>
          <w:b/>
        </w:rPr>
        <w:t>Material Violation of Applicable Law.</w:t>
      </w:r>
    </w:p>
    <w:p w:rsidRPr="002D2A8F" w:rsidR="002D54C4" w:rsidRDefault="002D54C4" w14:paraId="5CE66EC0" w14:textId="6D06B592">
      <w:pPr>
        <w:pStyle w:val="zGNormal"/>
      </w:pPr>
      <w:r w:rsidRPr="002D2A8F">
        <w:rPr>
          <w:b/>
        </w:rPr>
        <w:t xml:space="preserve"> </w:t>
      </w:r>
      <w:r w:rsidRPr="002D2A8F">
        <w:t>GPC</w:t>
      </w:r>
      <w:r w:rsidRPr="002D2A8F" w:rsidDel="00F43E28">
        <w:t xml:space="preserve"> </w:t>
      </w:r>
      <w:r w:rsidRPr="002D2A8F">
        <w:t>violates an applicable law and the violation would have a material adverse effect on GPC’s ability to perform under this PPA and the violation is not cured within 30 Days after GPC receives Seller’s notice. If the cure is not capable of being effected within the 30-Day period, GPC</w:t>
      </w:r>
      <w:r w:rsidRPr="002D2A8F" w:rsidDel="00F43E28">
        <w:t xml:space="preserve"> </w:t>
      </w:r>
      <w:r w:rsidRPr="002D2A8F">
        <w:t>will</w:t>
      </w:r>
      <w:r w:rsidRPr="002D2A8F" w:rsidDel="001057EA">
        <w:t xml:space="preserve"> </w:t>
      </w:r>
      <w:r w:rsidRPr="002D2A8F">
        <w:t>have an additional 30-Day period in which to commence the cure and after commencing the cure GPC will diligently pursue the cure and complete the cure within 60 Days. The cure must remove</w:t>
      </w:r>
      <w:r w:rsidRPr="002D2A8F" w:rsidDel="008B76C0">
        <w:t xml:space="preserve"> </w:t>
      </w:r>
      <w:r w:rsidRPr="002D2A8F">
        <w:t>the material adverse effect(s) on GPC’s ability to perform under this PPA. GPC</w:t>
      </w:r>
      <w:r w:rsidRPr="002D2A8F" w:rsidDel="00F43E28">
        <w:t xml:space="preserve"> </w:t>
      </w:r>
      <w:r w:rsidRPr="002D2A8F">
        <w:t>will</w:t>
      </w:r>
      <w:r w:rsidRPr="002D2A8F" w:rsidDel="001057EA">
        <w:t xml:space="preserve"> </w:t>
      </w:r>
      <w:r w:rsidRPr="002D2A8F">
        <w:t>be deemed not to have committed an Event of Default under this PPA if GPC</w:t>
      </w:r>
      <w:r w:rsidRPr="002D2A8F" w:rsidDel="00F43E28">
        <w:t xml:space="preserve"> </w:t>
      </w:r>
      <w:r w:rsidRPr="002D2A8F">
        <w:t>has validly contested the alleged violation, the matter remains pending before the applicable Governmental Authorities, and the cease and desist order or other enforcement action due to an alleged violation of the applicable laws has been stayed.</w:t>
      </w:r>
    </w:p>
    <w:p w:rsidRPr="002D2A8F" w:rsidR="002D54C4" w:rsidRDefault="002D54C4" w14:paraId="33870A77" w14:textId="77777777">
      <w:pPr>
        <w:pStyle w:val="zGTC02"/>
        <w:rPr>
          <w:rFonts w:ascii="Arial" w:hAnsi="Arial" w:cs="Arial"/>
          <w:specVanish/>
        </w:rPr>
      </w:pPr>
      <w:bookmarkStart w:name="_Toc169778663" w:id="670"/>
      <w:bookmarkStart w:name="_Toc227451427" w:id="671"/>
      <w:r w:rsidRPr="002D2A8F">
        <w:rPr>
          <w:rFonts w:ascii="Arial" w:hAnsi="Arial" w:cs="Arial"/>
        </w:rPr>
        <w:t>Remedies.</w:t>
      </w:r>
      <w:bookmarkStart w:name="_Toc158593265" w:id="672"/>
      <w:bookmarkStart w:name="_Toc158597544" w:id="673"/>
      <w:bookmarkStart w:name="_Toc158720168" w:id="674"/>
      <w:bookmarkStart w:name="_Toc158722922" w:id="675"/>
      <w:bookmarkStart w:name="_Toc158929454" w:id="676"/>
      <w:bookmarkEnd w:id="670"/>
      <w:bookmarkEnd w:id="671"/>
      <w:bookmarkEnd w:id="672"/>
      <w:bookmarkEnd w:id="673"/>
      <w:bookmarkEnd w:id="674"/>
      <w:bookmarkEnd w:id="675"/>
      <w:bookmarkEnd w:id="676"/>
    </w:p>
    <w:p w:rsidRPr="002D2A8F" w:rsidR="002D54C4" w:rsidP="008759EF" w:rsidRDefault="002D54C4" w14:paraId="1DEBCFFE" w14:textId="5E7F07FD">
      <w:pPr>
        <w:pStyle w:val="zGTC03"/>
        <w:rPr>
          <w:rFonts w:cs="Arial"/>
          <w:b/>
          <w:vanish/>
          <w:specVanish/>
        </w:rPr>
      </w:pPr>
      <w:r w:rsidRPr="002D2A8F">
        <w:rPr>
          <w:rFonts w:cs="Arial"/>
          <w:b/>
        </w:rPr>
        <w:t xml:space="preserve">Remedies for Event of Default. </w:t>
      </w:r>
    </w:p>
    <w:p w:rsidRPr="002D2A8F" w:rsidR="002D54C4" w:rsidRDefault="002D54C4" w14:paraId="7A970C07" w14:textId="35708578">
      <w:pPr>
        <w:pStyle w:val="zGNormal"/>
      </w:pPr>
      <w:r w:rsidRPr="002D2A8F">
        <w:rPr>
          <w:b/>
        </w:rPr>
        <w:t xml:space="preserve"> </w:t>
      </w:r>
      <w:r w:rsidRPr="002D2A8F">
        <w:t>If an Event of Default occurs at any time during the Term, the Party not in default under this PPA (“</w:t>
      </w:r>
      <w:r w:rsidRPr="003416F4">
        <w:rPr>
          <w:b/>
        </w:rPr>
        <w:t>Non-Defaulting Party</w:t>
      </w:r>
      <w:r w:rsidRPr="002D2A8F">
        <w:t xml:space="preserve">”) may, for so long as the Event of Default is continuing, subject to </w:t>
      </w:r>
      <w:r w:rsidRPr="00534192">
        <w:t>Part 19 (</w:t>
      </w:r>
      <w:r w:rsidRPr="00534192">
        <w:rPr>
          <w:i/>
        </w:rPr>
        <w:t>Dispute Resolution</w:t>
      </w:r>
      <w:r w:rsidRPr="00534192">
        <w:t>)</w:t>
      </w:r>
      <w:r w:rsidRPr="002D2A8F">
        <w:t>, take one or more of the following actions: (i) establish a date, no</w:t>
      </w:r>
      <w:r w:rsidRPr="002D2A8F" w:rsidDel="00AA2BA4">
        <w:t xml:space="preserve"> </w:t>
      </w:r>
      <w:r w:rsidRPr="002D2A8F">
        <w:t>later than 10 Business Days after the Non-Defaulting Party delivers to the Party in default under this PPA (“</w:t>
      </w:r>
      <w:r w:rsidRPr="00BE6963">
        <w:rPr>
          <w:b/>
        </w:rPr>
        <w:t>Defaulting Party</w:t>
      </w:r>
      <w:r w:rsidRPr="002D2A8F">
        <w:t>”) notice of the date, on which this PPA will</w:t>
      </w:r>
      <w:r w:rsidRPr="002D2A8F" w:rsidDel="001057EA">
        <w:t xml:space="preserve"> </w:t>
      </w:r>
      <w:r w:rsidRPr="002D2A8F">
        <w:t>terminate (“</w:t>
      </w:r>
      <w:r w:rsidRPr="00BE6963">
        <w:rPr>
          <w:b/>
        </w:rPr>
        <w:t>Early Termination Date</w:t>
      </w:r>
      <w:r w:rsidRPr="002D2A8F">
        <w:t xml:space="preserve">”); (ii) proceed by appropriate proceedings in accordance with this PPA at law, in equity, or otherwise, to protect and enforce: (a) Non-Defaulting Party’s right to </w:t>
      </w:r>
      <w:r w:rsidR="00BB1555">
        <w:t xml:space="preserve">recover </w:t>
      </w:r>
      <w:r w:rsidRPr="002D2A8F">
        <w:t>actual or liquidated damages; or (b) where the Event of Default is one other than the failure to pay money, equitable relief, including specific performance; and (iii) immediately stop performance or withhold any payments, or both, due under this PPA.</w:t>
      </w:r>
    </w:p>
    <w:p w:rsidRPr="002D2A8F" w:rsidR="002D54C4" w:rsidP="008759EF" w:rsidRDefault="003F5F70" w14:paraId="0FB550B2" w14:textId="32FA9551">
      <w:pPr>
        <w:pStyle w:val="zGTC03"/>
        <w:rPr>
          <w:rFonts w:cs="Arial"/>
          <w:vanish/>
          <w:specVanish/>
        </w:rPr>
      </w:pPr>
      <w:r>
        <w:rPr>
          <w:rFonts w:cs="Arial"/>
          <w:b/>
        </w:rPr>
        <w:t>Termination Payment</w:t>
      </w:r>
      <w:r w:rsidRPr="002D2A8F" w:rsidR="002D54C4">
        <w:rPr>
          <w:rFonts w:cs="Arial"/>
          <w:b/>
        </w:rPr>
        <w:t>.</w:t>
      </w:r>
    </w:p>
    <w:p w:rsidRPr="002D2A8F" w:rsidR="002D54C4" w:rsidRDefault="002D54C4" w14:paraId="39E582B9" w14:textId="38BD27EF">
      <w:pPr>
        <w:pStyle w:val="zGNormal"/>
      </w:pPr>
      <w:r w:rsidRPr="002D2A8F">
        <w:t xml:space="preserve"> If an Early Termination Date has been established and</w:t>
      </w:r>
      <w:r w:rsidRPr="002D2A8F" w:rsidDel="008D6942">
        <w:t xml:space="preserve"> </w:t>
      </w:r>
      <w:r w:rsidRPr="002D2A8F">
        <w:t xml:space="preserve">Non-Defaulting Party has not successfully pursued an action for specific performance, Non-Defaulting Party will in good faith calculate its Gains, Losses, or Costs resulting from the PPA termination, aggregate into a single net amount Gains, Losses, or Costs, and then notify </w:t>
      </w:r>
      <w:r w:rsidRPr="002D2A8F">
        <w:lastRenderedPageBreak/>
        <w:t>Defaulting Party. If</w:t>
      </w:r>
      <w:r w:rsidRPr="002D2A8F" w:rsidDel="008D6942">
        <w:t xml:space="preserve"> </w:t>
      </w:r>
      <w:r w:rsidRPr="002D2A8F">
        <w:t xml:space="preserve">Non-Defaulting Party’s aggregate Losses and Costs exceed Non-Defaulting Party’s aggregate Gains, Defaulting Party will, unless Defaulting Party disagrees with the calculation, within 15 Business Days </w:t>
      </w:r>
      <w:r w:rsidR="008B1884">
        <w:t>after</w:t>
      </w:r>
      <w:r w:rsidRPr="002D2A8F">
        <w:t xml:space="preserve"> receipt of such notice, pay to Non-Defaulting Party the net amount (“</w:t>
      </w:r>
      <w:r w:rsidRPr="002D2A8F">
        <w:rPr>
          <w:b/>
        </w:rPr>
        <w:t>Termination Payment</w:t>
      </w:r>
      <w:r w:rsidRPr="002D2A8F">
        <w:t>”). The Termination Payment</w:t>
      </w:r>
      <w:r w:rsidRPr="002D2A8F" w:rsidDel="00D01A56">
        <w:t xml:space="preserve"> </w:t>
      </w:r>
      <w:r w:rsidRPr="002D2A8F">
        <w:t xml:space="preserve">will bear interest at the Interest Rate from the Early Termination Date until paid to Non-Defaulting </w:t>
      </w:r>
      <w:r w:rsidR="001D3A8B">
        <w:t>P</w:t>
      </w:r>
      <w:r w:rsidRPr="002D2A8F">
        <w:t>arty. If</w:t>
      </w:r>
      <w:r w:rsidRPr="002D2A8F" w:rsidDel="0073608D">
        <w:t xml:space="preserve"> </w:t>
      </w:r>
      <w:r w:rsidRPr="002D2A8F">
        <w:t>Non-Defaulting Party’s aggregate Gains exceed aggregate Losses and Costs, if any, resulting from the PPA termination, Non-Defaulting Party may retain the Gains. If</w:t>
      </w:r>
      <w:r w:rsidRPr="002D2A8F" w:rsidDel="000D292E">
        <w:t xml:space="preserve"> </w:t>
      </w:r>
      <w:r w:rsidRPr="002D2A8F">
        <w:t xml:space="preserve">Defaulting Party disagrees with the calculation of the Termination Payment, the issue will be resolved in accordance with </w:t>
      </w:r>
      <w:r w:rsidRPr="00534192">
        <w:t>Part 19 (</w:t>
      </w:r>
      <w:r w:rsidRPr="00534192">
        <w:rPr>
          <w:i/>
        </w:rPr>
        <w:t>Dispute Resolution</w:t>
      </w:r>
      <w:r w:rsidRPr="00534192">
        <w:t>)</w:t>
      </w:r>
      <w:r w:rsidRPr="002D2A8F">
        <w:t xml:space="preserve"> provisions applicable to Termination Payment disputes, and the resulting Termination Payment will be due by no later than three Business Days after the award. Despite any provision in this PPA, for any GPC PPA termination for a Seller Event of Default </w:t>
      </w:r>
      <w:r w:rsidR="000F4407">
        <w:t>that occurs before the Facility achieves Commercial Operation</w:t>
      </w:r>
      <w:r w:rsidRPr="002D2A8F">
        <w:t xml:space="preserve">, rather than the application of a calculation of Gains, Losses, or Costs resulting from the PPA termination, the </w:t>
      </w:r>
      <w:r w:rsidR="00DE65ED">
        <w:t xml:space="preserve">Termination Payment </w:t>
      </w:r>
      <w:r w:rsidR="00C11673">
        <w:t xml:space="preserve">will be liquidated damages </w:t>
      </w:r>
      <w:r w:rsidR="002869D8">
        <w:t xml:space="preserve">in an amount </w:t>
      </w:r>
      <w:r w:rsidR="00C11673">
        <w:t>equal to the</w:t>
      </w:r>
      <w:r w:rsidR="00C44428">
        <w:t xml:space="preserve"> full amount of the then-</w:t>
      </w:r>
      <w:r w:rsidR="00655716">
        <w:t xml:space="preserve">required </w:t>
      </w:r>
      <w:r w:rsidR="00C44428">
        <w:t>Performance Security</w:t>
      </w:r>
      <w:r w:rsidR="00C11673">
        <w:t xml:space="preserve"> amount shown in </w:t>
      </w:r>
      <w:r w:rsidR="00572D0A">
        <w:t>Part 1 (</w:t>
      </w:r>
      <w:r w:rsidRPr="00572D0A" w:rsidR="00572D0A">
        <w:rPr>
          <w:i/>
          <w:iCs/>
        </w:rPr>
        <w:t>Performance Security</w:t>
      </w:r>
      <w:r w:rsidR="00572D0A">
        <w:t xml:space="preserve">) of </w:t>
      </w:r>
      <w:r w:rsidRPr="00534192" w:rsidR="00C11673">
        <w:t xml:space="preserve">Exhibit </w:t>
      </w:r>
      <w:r w:rsidRPr="00534192" w:rsidR="00845FF7">
        <w:t>A-2</w:t>
      </w:r>
      <w:r w:rsidRPr="00534192" w:rsidR="004B4A19">
        <w:t xml:space="preserve"> (</w:t>
      </w:r>
      <w:r w:rsidRPr="00534192" w:rsidR="004B4A19">
        <w:rPr>
          <w:i/>
        </w:rPr>
        <w:t>Performance Security</w:t>
      </w:r>
      <w:r w:rsidRPr="00534192" w:rsidR="00D56333">
        <w:rPr>
          <w:i/>
        </w:rPr>
        <w:t xml:space="preserve"> and Liquidated Damages</w:t>
      </w:r>
      <w:r w:rsidRPr="00534192" w:rsidR="004B4A19">
        <w:t>)</w:t>
      </w:r>
      <w:r w:rsidR="006C1A51">
        <w:t>.</w:t>
      </w:r>
      <w:r w:rsidR="00FB2555">
        <w:t xml:space="preserve"> </w:t>
      </w:r>
      <w:r w:rsidR="006C1A51">
        <w:t xml:space="preserve">In each case, </w:t>
      </w:r>
      <w:r w:rsidRPr="002D2A8F">
        <w:t xml:space="preserve">Seller must </w:t>
      </w:r>
      <w:r w:rsidR="00BE39C5">
        <w:t xml:space="preserve">also </w:t>
      </w:r>
      <w:r w:rsidRPr="002D2A8F">
        <w:t xml:space="preserve">pay to GPC </w:t>
      </w:r>
      <w:r w:rsidRPr="002D2A8F" w:rsidR="00E72A7B">
        <w:t>a</w:t>
      </w:r>
      <w:r w:rsidR="0026725B">
        <w:t>ll</w:t>
      </w:r>
      <w:r w:rsidRPr="002D2A8F" w:rsidR="00E72A7B">
        <w:t xml:space="preserve"> </w:t>
      </w:r>
      <w:r w:rsidR="00845FF7">
        <w:t xml:space="preserve">other </w:t>
      </w:r>
      <w:r w:rsidRPr="002D2A8F">
        <w:t xml:space="preserve">damages </w:t>
      </w:r>
      <w:r w:rsidR="003E5278">
        <w:t xml:space="preserve">owed to GPC under this PPA, including any applicable amount </w:t>
      </w:r>
      <w:r w:rsidRPr="002D2A8F">
        <w:t xml:space="preserve">specified in </w:t>
      </w:r>
      <w:r w:rsidRPr="00534192">
        <w:t>Section 7.3</w:t>
      </w:r>
      <w:r w:rsidRPr="00534192" w:rsidR="005A0E4F">
        <w:t xml:space="preserve"> </w:t>
      </w:r>
      <w:r w:rsidRPr="00534192">
        <w:t>(</w:t>
      </w:r>
      <w:r w:rsidRPr="00534192" w:rsidR="0064302D">
        <w:rPr>
          <w:i/>
        </w:rPr>
        <w:t>Failure to Achieve Commercial Operation by RCOD</w:t>
      </w:r>
      <w:r w:rsidRPr="00534192">
        <w:t>)</w:t>
      </w:r>
      <w:r w:rsidRPr="002D2A8F">
        <w:t>.</w:t>
      </w:r>
    </w:p>
    <w:p w:rsidRPr="002D2A8F" w:rsidR="002D54C4" w:rsidP="008759EF" w:rsidRDefault="002D54C4" w14:paraId="34D4C6AE" w14:textId="672964D6">
      <w:pPr>
        <w:pStyle w:val="zGTC03"/>
        <w:rPr>
          <w:rFonts w:cs="Arial"/>
          <w:b/>
          <w:vanish/>
          <w:specVanish/>
        </w:rPr>
      </w:pPr>
      <w:r w:rsidRPr="002D2A8F">
        <w:rPr>
          <w:rFonts w:cs="Arial"/>
          <w:b/>
        </w:rPr>
        <w:t>Determining Gains, Losses, and Costs.</w:t>
      </w:r>
    </w:p>
    <w:p w:rsidRPr="002D2A8F" w:rsidR="002D54C4" w:rsidRDefault="002D54C4" w14:paraId="61D6C206" w14:textId="27F1700C">
      <w:pPr>
        <w:pStyle w:val="zGNormal"/>
      </w:pPr>
      <w:r w:rsidRPr="002D2A8F">
        <w:rPr>
          <w:b/>
        </w:rPr>
        <w:t xml:space="preserve"> </w:t>
      </w:r>
      <w:r w:rsidRPr="002D2A8F">
        <w:t xml:space="preserve">Gains, Losses, or Costs will be determined by comparing the cost of the capacity and energy that would be available for the remainder of the Term had this PPA not been terminated to the market price of capacity and energy of equivalent reliability and </w:t>
      </w:r>
      <w:r w:rsidR="00965074">
        <w:t>dispatch</w:t>
      </w:r>
      <w:r w:rsidRPr="002D2A8F" w:rsidR="00965074">
        <w:t xml:space="preserve"> </w:t>
      </w:r>
      <w:r w:rsidRPr="002D2A8F">
        <w:t xml:space="preserve">flexibility for the remaining Term (had this PPA not been terminated). Nothing in </w:t>
      </w:r>
      <w:r w:rsidRPr="00534192">
        <w:t>Part 6 (</w:t>
      </w:r>
      <w:r w:rsidRPr="00534192">
        <w:rPr>
          <w:i/>
        </w:rPr>
        <w:t>Performance Security</w:t>
      </w:r>
      <w:r w:rsidRPr="00534192">
        <w:t>)</w:t>
      </w:r>
      <w:r w:rsidRPr="002D2A8F">
        <w:t xml:space="preserve"> is intended to limit liability under this </w:t>
      </w:r>
      <w:r w:rsidRPr="00534192">
        <w:t>Section 16.3 (</w:t>
      </w:r>
      <w:r w:rsidRPr="00534192">
        <w:rPr>
          <w:i/>
        </w:rPr>
        <w:t>Remedies</w:t>
      </w:r>
      <w:r w:rsidRPr="00534192">
        <w:t>)</w:t>
      </w:r>
      <w:r w:rsidRPr="002D2A8F">
        <w:t>. To ascertain the market price,</w:t>
      </w:r>
      <w:r w:rsidRPr="002D2A8F" w:rsidDel="000816BF">
        <w:t xml:space="preserve"> </w:t>
      </w:r>
      <w:r w:rsidRPr="002D2A8F">
        <w:t xml:space="preserve">Non-Defaulting Party may consider, among other evidence, the settlement prices of NYMEX energy futures contracts, quotations from leading dealers in energy and gas swap contracts, offers for replacement capacity and energy, or bids to purchase the </w:t>
      </w:r>
      <w:r w:rsidRPr="002D2A8F">
        <w:rPr>
          <w:rStyle w:val="DeltaViewInsertion"/>
          <w:color w:val="auto"/>
          <w:u w:val="none"/>
        </w:rPr>
        <w:t>remaining</w:t>
      </w:r>
      <w:r w:rsidRPr="002D2A8F">
        <w:t xml:space="preserve"> capacity and energy that was to be sold in accordance with this PPA, in either case made by bona fide third-parties (including offers Non-Defaulting Party received in response to any request for proposals for capacity and energy contracts), all adjusted for the length of the remaining Term (as of the PPA termination date) and differences in locational basis (including costs of transmission investments and transmission service), reliability, </w:t>
      </w:r>
      <w:r w:rsidR="00965074">
        <w:t>dispatch</w:t>
      </w:r>
      <w:r w:rsidRPr="002D2A8F" w:rsidR="00965074">
        <w:t xml:space="preserve"> </w:t>
      </w:r>
      <w:r w:rsidRPr="002D2A8F">
        <w:t xml:space="preserve">flexibility, and any other considerations affecting value. Neither Party will be required to enter into replacement transactions to determine the Termination Payment. As used in this </w:t>
      </w:r>
      <w:r w:rsidRPr="0086696C">
        <w:t>Section</w:t>
      </w:r>
      <w:r w:rsidR="00600BF6">
        <w:t xml:space="preserve"> 16.3 (</w:t>
      </w:r>
      <w:r w:rsidRPr="00600BF6" w:rsidR="00600BF6">
        <w:rPr>
          <w:i/>
          <w:iCs/>
        </w:rPr>
        <w:t>Remedies</w:t>
      </w:r>
      <w:r w:rsidR="00600BF6">
        <w:t>)</w:t>
      </w:r>
      <w:r w:rsidRPr="002D2A8F">
        <w:t>: (i) “</w:t>
      </w:r>
      <w:r w:rsidRPr="005061A9">
        <w:rPr>
          <w:b/>
          <w:bCs/>
        </w:rPr>
        <w:t>Costs</w:t>
      </w:r>
      <w:r w:rsidRPr="002D2A8F">
        <w:t>” means: Brokerage fees, commissions, and other similar transaction costs and expenses reasonably incurred by a Party either in terminating any agreement it has entered into to fulfill its obligations under this PPA or entering into new agreements which replace this PPA, and attorneys’ fees, if any, incurred enforcing its rights under this PPA; (ii) “</w:t>
      </w:r>
      <w:r w:rsidRPr="005061A9">
        <w:rPr>
          <w:b/>
          <w:bCs/>
        </w:rPr>
        <w:t>Gains</w:t>
      </w:r>
      <w:r w:rsidRPr="002D2A8F">
        <w:t xml:space="preserve">” means: An amount equal to the economic benefit determined on a mark to market basis (exclusive of Costs), if any, to </w:t>
      </w:r>
      <w:r w:rsidRPr="002D2A8F">
        <w:rPr>
          <w:w w:val="0"/>
        </w:rPr>
        <w:t xml:space="preserve">the Non-Defaulting Party </w:t>
      </w:r>
      <w:r w:rsidRPr="002D2A8F">
        <w:t>resulting from the termination of this PPA; and (iii) “</w:t>
      </w:r>
      <w:r w:rsidRPr="005061A9">
        <w:rPr>
          <w:b/>
          <w:bCs/>
        </w:rPr>
        <w:t>Losses</w:t>
      </w:r>
      <w:r w:rsidRPr="002D2A8F">
        <w:t xml:space="preserve">” means: An amount equal to the economic loss determined on a mark to market basis (exclusive of Costs), if any, to </w:t>
      </w:r>
      <w:r w:rsidRPr="002D2A8F">
        <w:rPr>
          <w:w w:val="0"/>
        </w:rPr>
        <w:t>the Non-Defaulting Party</w:t>
      </w:r>
      <w:r w:rsidRPr="002D2A8F">
        <w:t xml:space="preserve"> resulting from the termination of this PPA.</w:t>
      </w:r>
    </w:p>
    <w:p w:rsidRPr="002D2A8F" w:rsidR="002D54C4" w:rsidRDefault="002D54C4" w14:paraId="06DE3E98" w14:textId="77777777">
      <w:pPr>
        <w:pStyle w:val="zGTC02"/>
        <w:rPr>
          <w:rFonts w:ascii="Arial" w:hAnsi="Arial" w:cs="Arial"/>
          <w:vanish/>
          <w:specVanish/>
        </w:rPr>
      </w:pPr>
      <w:bookmarkStart w:name="_Toc169778664" w:id="677"/>
      <w:bookmarkStart w:name="_Toc227451428" w:id="678"/>
      <w:r w:rsidRPr="002D2A8F">
        <w:rPr>
          <w:rFonts w:ascii="Arial" w:hAnsi="Arial" w:cs="Arial"/>
        </w:rPr>
        <w:t>Rights of Specific Performance.</w:t>
      </w:r>
      <w:bookmarkStart w:name="_Toc158593266" w:id="679"/>
      <w:bookmarkStart w:name="_Toc158597545" w:id="680"/>
      <w:bookmarkStart w:name="_Toc158720169" w:id="681"/>
      <w:bookmarkStart w:name="_Toc158722923" w:id="682"/>
      <w:bookmarkStart w:name="_Toc158929455" w:id="683"/>
      <w:bookmarkEnd w:id="677"/>
      <w:bookmarkEnd w:id="678"/>
      <w:bookmarkEnd w:id="679"/>
      <w:bookmarkEnd w:id="680"/>
      <w:bookmarkEnd w:id="681"/>
      <w:bookmarkEnd w:id="682"/>
      <w:bookmarkEnd w:id="683"/>
    </w:p>
    <w:p w:rsidRPr="002D2A8F" w:rsidR="002D54C4" w:rsidRDefault="002D54C4" w14:paraId="1713FB9A" w14:textId="1A5C93EA">
      <w:pPr>
        <w:pStyle w:val="zGNormal"/>
      </w:pPr>
      <w:r w:rsidRPr="002D2A8F" w:rsidDel="001A1D6F">
        <w:t xml:space="preserve"> </w:t>
      </w:r>
      <w:r w:rsidRPr="002D2A8F">
        <w:t>For an Event of Default, the Parties recognize that a remedy at law may be inadequate because this PPA is unique or because the actual damages of the Non-Defaulting Party may exceed any guaranty or other collateral</w:t>
      </w:r>
      <w:r w:rsidRPr="002D2A8F">
        <w:rPr>
          <w:b/>
          <w:bCs/>
          <w:i/>
          <w:iCs/>
        </w:rPr>
        <w:t xml:space="preserve"> </w:t>
      </w:r>
      <w:r w:rsidRPr="002D2A8F">
        <w:t>available to the Non-Defaulting Party. The Parties agree that in an Event of Default</w:t>
      </w:r>
      <w:r w:rsidRPr="00467966" w:rsidR="00467966">
        <w:t xml:space="preserve"> </w:t>
      </w:r>
      <w:r w:rsidR="00467966">
        <w:t>for which this PPA has not prescribed a specific remedy</w:t>
      </w:r>
      <w:r w:rsidRPr="002D2A8F">
        <w:t>, Non-Defaulting Party will be entitled to pursue an action for specific performance, and Defaulting Party waives Defaulting Party’s rights to assert as a defense to a specific performance action that the Non-Defaulting Party’s remedy at law is adequate. The Non-Defaulting Party will not be entitled to receive both specific performance and a Termination Payment from the Defaulting Party.</w:t>
      </w:r>
    </w:p>
    <w:p w:rsidRPr="002D2A8F" w:rsidR="002D54C4" w:rsidRDefault="002D54C4" w14:paraId="74A80721" w14:textId="77777777">
      <w:pPr>
        <w:pStyle w:val="zGTC02"/>
        <w:rPr>
          <w:rFonts w:ascii="Arial" w:hAnsi="Arial" w:cs="Arial"/>
          <w:vanish/>
          <w:specVanish/>
        </w:rPr>
      </w:pPr>
      <w:bookmarkStart w:name="_Toc169778665" w:id="684"/>
      <w:bookmarkStart w:name="_Toc227451429" w:id="685"/>
      <w:r w:rsidRPr="002D2A8F">
        <w:rPr>
          <w:rFonts w:ascii="Arial" w:hAnsi="Arial" w:cs="Arial"/>
        </w:rPr>
        <w:t>Limitation of Remedies, Liability, and Damages.</w:t>
      </w:r>
      <w:bookmarkStart w:name="_Toc158593267" w:id="686"/>
      <w:bookmarkStart w:name="_Toc158597546" w:id="687"/>
      <w:bookmarkStart w:name="_Toc158720170" w:id="688"/>
      <w:bookmarkStart w:name="_Toc158722924" w:id="689"/>
      <w:bookmarkStart w:name="_Toc158929456" w:id="690"/>
      <w:bookmarkEnd w:id="684"/>
      <w:bookmarkEnd w:id="685"/>
      <w:bookmarkEnd w:id="686"/>
      <w:bookmarkEnd w:id="687"/>
      <w:bookmarkEnd w:id="688"/>
      <w:bookmarkEnd w:id="689"/>
      <w:bookmarkEnd w:id="690"/>
    </w:p>
    <w:p w:rsidRPr="002D2A8F" w:rsidR="002D54C4" w:rsidRDefault="002D54C4" w14:paraId="6D266210" w14:textId="56CEB402">
      <w:pPr>
        <w:pStyle w:val="zGNormal"/>
        <w:rPr>
          <w:b/>
          <w:bCs/>
          <w:u w:val="single"/>
        </w:rPr>
      </w:pPr>
      <w:r w:rsidRPr="002D2A8F">
        <w:t xml:space="preserve"> </w:t>
      </w:r>
      <w:r w:rsidRPr="002D2A8F">
        <w:rPr>
          <w:b/>
          <w:bCs/>
          <w:u w:val="single"/>
        </w:rPr>
        <w:t>Each</w:t>
      </w:r>
      <w:r w:rsidRPr="002D2A8F" w:rsidDel="00F14821">
        <w:rPr>
          <w:b/>
          <w:bCs/>
          <w:u w:val="single"/>
        </w:rPr>
        <w:t xml:space="preserve"> </w:t>
      </w:r>
      <w:r w:rsidRPr="002D2A8F">
        <w:rPr>
          <w:b/>
          <w:bCs/>
          <w:u w:val="single"/>
        </w:rPr>
        <w:t>Party confirms that the express remedies and measures of damages provided in this PPA satisfy the essential purpose</w:t>
      </w:r>
      <w:r w:rsidRPr="002D2A8F" w:rsidDel="00C246A9">
        <w:rPr>
          <w:b/>
          <w:bCs/>
          <w:u w:val="single"/>
        </w:rPr>
        <w:t xml:space="preserve"> </w:t>
      </w:r>
      <w:r w:rsidRPr="002D2A8F">
        <w:rPr>
          <w:b/>
          <w:bCs/>
          <w:u w:val="single"/>
        </w:rPr>
        <w:t xml:space="preserve">of this PPA for breach of any provision for which an express remedy or measure of damages is provided, </w:t>
      </w:r>
      <w:r w:rsidR="006532B5">
        <w:rPr>
          <w:b/>
          <w:bCs/>
          <w:u w:val="single"/>
        </w:rPr>
        <w:t xml:space="preserve">in which event </w:t>
      </w:r>
      <w:r w:rsidRPr="002D2A8F">
        <w:rPr>
          <w:b/>
          <w:bCs/>
          <w:u w:val="single"/>
        </w:rPr>
        <w:t>the express remedy or measure of damages will be the exclusive remedy</w:t>
      </w:r>
      <w:r w:rsidRPr="002D2A8F" w:rsidDel="0056757F">
        <w:rPr>
          <w:b/>
          <w:bCs/>
          <w:u w:val="single"/>
        </w:rPr>
        <w:t xml:space="preserve">, </w:t>
      </w:r>
      <w:r w:rsidRPr="002D2A8F">
        <w:rPr>
          <w:b/>
          <w:bCs/>
          <w:u w:val="single"/>
        </w:rPr>
        <w:t xml:space="preserve">subject to </w:t>
      </w:r>
      <w:r w:rsidRPr="00534192">
        <w:rPr>
          <w:b/>
          <w:u w:val="single"/>
        </w:rPr>
        <w:lastRenderedPageBreak/>
        <w:t>Section 19.6 (</w:t>
      </w:r>
      <w:r w:rsidRPr="00534192">
        <w:rPr>
          <w:b/>
          <w:i/>
          <w:u w:val="single"/>
        </w:rPr>
        <w:t>Injunctive Relief</w:t>
      </w:r>
      <w:r w:rsidRPr="00534192">
        <w:rPr>
          <w:b/>
          <w:u w:val="single"/>
        </w:rPr>
        <w:t>)</w:t>
      </w:r>
      <w:r w:rsidRPr="002D2A8F">
        <w:rPr>
          <w:b/>
          <w:bCs/>
          <w:u w:val="single"/>
        </w:rPr>
        <w:t xml:space="preserve"> regarding injunctive relief. Except to the extent expressly provided in </w:t>
      </w:r>
      <w:r w:rsidRPr="00534192">
        <w:rPr>
          <w:b/>
          <w:u w:val="single"/>
        </w:rPr>
        <w:t>Section 7.3 (</w:t>
      </w:r>
      <w:r w:rsidRPr="00534192">
        <w:rPr>
          <w:b/>
          <w:i/>
          <w:u w:val="single"/>
        </w:rPr>
        <w:t>Failure to Achieve Commercial Operation by RCOD</w:t>
      </w:r>
      <w:r w:rsidRPr="00534192">
        <w:rPr>
          <w:b/>
          <w:u w:val="single"/>
        </w:rPr>
        <w:t>)</w:t>
      </w:r>
      <w:r w:rsidRPr="002D2A8F">
        <w:rPr>
          <w:b/>
          <w:bCs/>
          <w:u w:val="single"/>
        </w:rPr>
        <w:t xml:space="preserve">, where an express remedy or measure of damage is provided, the Party’s liability will be limited as set forth in the provision and all other remedies or damages at law or in equity are waived. However, if no remedy or measure of damages is expressly provided in this </w:t>
      </w:r>
      <w:r w:rsidRPr="002D2A8F">
        <w:rPr>
          <w:b/>
          <w:u w:val="single"/>
        </w:rPr>
        <w:t>PPA</w:t>
      </w:r>
      <w:r w:rsidRPr="002D2A8F">
        <w:rPr>
          <w:b/>
          <w:bCs/>
          <w:u w:val="single"/>
        </w:rPr>
        <w:t xml:space="preserve">, and subject to </w:t>
      </w:r>
      <w:r w:rsidRPr="00534192">
        <w:rPr>
          <w:b/>
          <w:u w:val="single"/>
        </w:rPr>
        <w:t>Section 19.6</w:t>
      </w:r>
      <w:r w:rsidRPr="002D2A8F">
        <w:rPr>
          <w:b/>
          <w:bCs/>
          <w:u w:val="single"/>
        </w:rPr>
        <w:t>, a</w:t>
      </w:r>
      <w:r w:rsidRPr="002D2A8F" w:rsidDel="00AB0458">
        <w:rPr>
          <w:b/>
          <w:bCs/>
          <w:u w:val="single"/>
        </w:rPr>
        <w:t xml:space="preserve"> </w:t>
      </w:r>
      <w:r w:rsidRPr="002D2A8F">
        <w:rPr>
          <w:b/>
          <w:bCs/>
          <w:u w:val="single"/>
        </w:rPr>
        <w:t>Party’s liability will be limited to direct actual damages only.</w:t>
      </w:r>
      <w:r w:rsidRPr="002D2A8F" w:rsidDel="00AD6342">
        <w:rPr>
          <w:b/>
          <w:bCs/>
          <w:u w:val="single"/>
        </w:rPr>
        <w:t xml:space="preserve"> </w:t>
      </w:r>
      <w:r w:rsidRPr="002D2A8F">
        <w:rPr>
          <w:b/>
          <w:bCs/>
          <w:u w:val="single"/>
        </w:rPr>
        <w:t xml:space="preserve">The direct actual damages will be the exclusive remedy and all other remedies or damages at law or in equity are waived. The Parties explicitly agree and intend that </w:t>
      </w:r>
      <w:r w:rsidRPr="00534192">
        <w:rPr>
          <w:b/>
          <w:u w:val="single"/>
        </w:rPr>
        <w:t>Section 7.3.1 (</w:t>
      </w:r>
      <w:r w:rsidRPr="00534192">
        <w:rPr>
          <w:b/>
          <w:i/>
          <w:u w:val="single"/>
        </w:rPr>
        <w:t>Delay Liquidated Damages</w:t>
      </w:r>
      <w:r w:rsidRPr="00534192" w:rsidR="006B44DC">
        <w:rPr>
          <w:b/>
          <w:u w:val="single"/>
        </w:rPr>
        <w:t>)</w:t>
      </w:r>
      <w:r w:rsidRPr="00534192" w:rsidR="001F4B3C">
        <w:rPr>
          <w:b/>
          <w:u w:val="single"/>
        </w:rPr>
        <w:t xml:space="preserve">, </w:t>
      </w:r>
      <w:r w:rsidR="0092005C">
        <w:rPr>
          <w:b/>
          <w:u w:val="single"/>
        </w:rPr>
        <w:t>Section 16.3.2 (</w:t>
      </w:r>
      <w:r w:rsidRPr="0092005C" w:rsidR="0092005C">
        <w:rPr>
          <w:b/>
          <w:i/>
          <w:iCs/>
          <w:u w:val="single"/>
        </w:rPr>
        <w:t>Termination Payment</w:t>
      </w:r>
      <w:r w:rsidR="0092005C">
        <w:rPr>
          <w:b/>
          <w:u w:val="single"/>
        </w:rPr>
        <w:t xml:space="preserve">), </w:t>
      </w:r>
      <w:r w:rsidRPr="00534192" w:rsidR="001F4B3C">
        <w:rPr>
          <w:b/>
          <w:u w:val="single"/>
        </w:rPr>
        <w:t>Exhibit B (</w:t>
      </w:r>
      <w:r w:rsidRPr="00534192" w:rsidR="001F4B3C">
        <w:rPr>
          <w:b/>
          <w:i/>
          <w:u w:val="single"/>
        </w:rPr>
        <w:t>Capacity; Capacity Payments and Payment Reductions; Buydown</w:t>
      </w:r>
      <w:r w:rsidRPr="00534192" w:rsidR="001F4B3C">
        <w:rPr>
          <w:b/>
          <w:u w:val="single"/>
        </w:rPr>
        <w:t xml:space="preserve">), </w:t>
      </w:r>
      <w:r w:rsidRPr="00534192" w:rsidR="006B44DC">
        <w:rPr>
          <w:b/>
          <w:u w:val="single"/>
        </w:rPr>
        <w:t>and Exhibit C (</w:t>
      </w:r>
      <w:r w:rsidRPr="00534192" w:rsidR="00034349">
        <w:rPr>
          <w:b/>
          <w:i/>
          <w:u w:val="single"/>
        </w:rPr>
        <w:t xml:space="preserve">Monthly Capacity Payments; Monthly Capacity Reductions; AGC Performance </w:t>
      </w:r>
      <w:r w:rsidRPr="00A52930" w:rsidR="00937930">
        <w:rPr>
          <w:b/>
          <w:i/>
          <w:u w:val="single"/>
        </w:rPr>
        <w:t>Metrics and</w:t>
      </w:r>
      <w:r w:rsidRPr="00534192" w:rsidR="00937930">
        <w:rPr>
          <w:b/>
          <w:i/>
          <w:u w:val="single"/>
        </w:rPr>
        <w:t xml:space="preserve"> </w:t>
      </w:r>
      <w:r w:rsidRPr="00534192" w:rsidR="00034349">
        <w:rPr>
          <w:b/>
          <w:i/>
          <w:u w:val="single"/>
        </w:rPr>
        <w:t>Requirements</w:t>
      </w:r>
      <w:r w:rsidRPr="00534192">
        <w:rPr>
          <w:b/>
          <w:u w:val="single"/>
        </w:rPr>
        <w:t>)</w:t>
      </w:r>
      <w:r w:rsidRPr="002D2A8F">
        <w:rPr>
          <w:b/>
          <w:bCs/>
          <w:u w:val="single"/>
        </w:rPr>
        <w:t xml:space="preserve"> will be fully enforceable by any court exercising jurisdiction over any dispute between the Parties arising under this PPA. Each Party irrevocably waives any defense available to it under applicable law or equity relating to the enforceability of the liquidated damages provisions set forth in </w:t>
      </w:r>
      <w:r w:rsidRPr="00534192">
        <w:rPr>
          <w:b/>
          <w:u w:val="single"/>
        </w:rPr>
        <w:t>Section 7.3.1</w:t>
      </w:r>
      <w:r w:rsidRPr="00534192" w:rsidR="001F4B3C">
        <w:rPr>
          <w:b/>
          <w:u w:val="single"/>
        </w:rPr>
        <w:t>, Exhibit B,</w:t>
      </w:r>
      <w:r w:rsidRPr="00534192" w:rsidR="00DE47FC">
        <w:rPr>
          <w:b/>
          <w:u w:val="single"/>
        </w:rPr>
        <w:t xml:space="preserve"> </w:t>
      </w:r>
      <w:r w:rsidRPr="00534192">
        <w:rPr>
          <w:b/>
          <w:u w:val="single"/>
        </w:rPr>
        <w:t xml:space="preserve">and </w:t>
      </w:r>
      <w:r w:rsidRPr="00534192" w:rsidR="006B44DC">
        <w:rPr>
          <w:b/>
          <w:u w:val="single"/>
        </w:rPr>
        <w:t>Exhibit C</w:t>
      </w:r>
      <w:r w:rsidRPr="00937930">
        <w:rPr>
          <w:b/>
          <w:bCs/>
          <w:u w:val="single"/>
        </w:rPr>
        <w:t>.</w:t>
      </w:r>
    </w:p>
    <w:p w:rsidRPr="003647AE" w:rsidR="007C615B" w:rsidP="007C615B" w:rsidRDefault="007C615B" w14:paraId="3982FE35" w14:textId="77777777">
      <w:pPr>
        <w:pStyle w:val="zGTC02"/>
        <w:rPr>
          <w:vanish/>
          <w:specVanish/>
        </w:rPr>
      </w:pPr>
      <w:bookmarkStart w:name="_Toc160749179" w:id="691"/>
      <w:bookmarkStart w:name="_Toc160749456" w:id="692"/>
      <w:bookmarkStart w:name="_Toc169778666" w:id="693"/>
      <w:bookmarkStart w:name="_Toc227451430" w:id="694"/>
      <w:r w:rsidRPr="003647AE">
        <w:t>Waiver of Consequential Damages.</w:t>
      </w:r>
      <w:bookmarkEnd w:id="691"/>
      <w:bookmarkEnd w:id="692"/>
      <w:bookmarkEnd w:id="693"/>
      <w:bookmarkEnd w:id="694"/>
      <w:r w:rsidRPr="003647AE">
        <w:t xml:space="preserve">  </w:t>
      </w:r>
    </w:p>
    <w:p w:rsidRPr="003647AE" w:rsidR="007C615B" w:rsidDel="00370F6C" w:rsidP="007C615B" w:rsidRDefault="007C615B" w14:paraId="715EFE6F" w14:textId="75A22178">
      <w:pPr>
        <w:pStyle w:val="zGNormal"/>
        <w:rPr>
          <w:b/>
          <w:u w:val="single"/>
        </w:rPr>
      </w:pPr>
      <w:r w:rsidRPr="003647AE">
        <w:rPr>
          <w:b/>
          <w:u w:val="single"/>
        </w:rPr>
        <w:t xml:space="preserve">Unless expressly provided in this PPA, neither </w:t>
      </w:r>
      <w:r>
        <w:rPr>
          <w:b/>
          <w:u w:val="single"/>
        </w:rPr>
        <w:t>P</w:t>
      </w:r>
      <w:r w:rsidRPr="003647AE">
        <w:rPr>
          <w:b/>
          <w:u w:val="single"/>
        </w:rPr>
        <w:t xml:space="preserve">arty nor </w:t>
      </w:r>
      <w:r>
        <w:rPr>
          <w:b/>
          <w:u w:val="single"/>
        </w:rPr>
        <w:t>its</w:t>
      </w:r>
      <w:r w:rsidRPr="003647AE">
        <w:rPr>
          <w:b/>
          <w:u w:val="single"/>
        </w:rPr>
        <w:t xml:space="preserve"> Affiliates will be liable for</w:t>
      </w:r>
      <w:r>
        <w:rPr>
          <w:b/>
          <w:u w:val="single"/>
        </w:rPr>
        <w:t>: (i)</w:t>
      </w:r>
      <w:r w:rsidRPr="003647AE">
        <w:rPr>
          <w:b/>
          <w:u w:val="single"/>
        </w:rPr>
        <w:t xml:space="preserve"> consequential, incidental, </w:t>
      </w:r>
      <w:r>
        <w:rPr>
          <w:b/>
          <w:u w:val="single"/>
        </w:rPr>
        <w:t xml:space="preserve">special, </w:t>
      </w:r>
      <w:r w:rsidRPr="003647AE">
        <w:rPr>
          <w:b/>
          <w:u w:val="single"/>
        </w:rPr>
        <w:t>punitive, exemplary</w:t>
      </w:r>
      <w:r>
        <w:rPr>
          <w:b/>
          <w:u w:val="single"/>
        </w:rPr>
        <w:t>,</w:t>
      </w:r>
      <w:r w:rsidRPr="003647AE">
        <w:rPr>
          <w:b/>
          <w:u w:val="single"/>
        </w:rPr>
        <w:t xml:space="preserve"> </w:t>
      </w:r>
      <w:r>
        <w:rPr>
          <w:b/>
          <w:u w:val="single"/>
        </w:rPr>
        <w:t xml:space="preserve">treble, </w:t>
      </w:r>
      <w:r w:rsidRPr="003647AE">
        <w:rPr>
          <w:b/>
          <w:u w:val="single"/>
        </w:rPr>
        <w:t>or indirect damages</w:t>
      </w:r>
      <w:r>
        <w:rPr>
          <w:b/>
          <w:u w:val="single"/>
        </w:rPr>
        <w:t xml:space="preserve"> (including</w:t>
      </w:r>
      <w:r w:rsidRPr="003647AE">
        <w:rPr>
          <w:b/>
          <w:u w:val="single"/>
        </w:rPr>
        <w:t xml:space="preserve"> lost profits</w:t>
      </w:r>
      <w:r>
        <w:rPr>
          <w:b/>
          <w:u w:val="single"/>
        </w:rPr>
        <w:t>;</w:t>
      </w:r>
      <w:r w:rsidRPr="003647AE">
        <w:rPr>
          <w:b/>
          <w:u w:val="single"/>
        </w:rPr>
        <w:t xml:space="preserve"> </w:t>
      </w:r>
      <w:r>
        <w:rPr>
          <w:b/>
          <w:u w:val="single"/>
        </w:rPr>
        <w:t xml:space="preserve">loss of use, income tax benefit, data, business opportunity or anticipated savings; idled equipment costs; or increased overhead, financing, or operating costs); </w:t>
      </w:r>
      <w:r w:rsidRPr="003647AE">
        <w:rPr>
          <w:b/>
          <w:u w:val="single"/>
        </w:rPr>
        <w:t xml:space="preserve">or </w:t>
      </w:r>
      <w:r>
        <w:rPr>
          <w:b/>
          <w:u w:val="single"/>
        </w:rPr>
        <w:t xml:space="preserve">(ii) </w:t>
      </w:r>
      <w:r w:rsidRPr="003647AE">
        <w:rPr>
          <w:b/>
          <w:u w:val="single"/>
        </w:rPr>
        <w:t>other business interruption damages</w:t>
      </w:r>
      <w:r>
        <w:rPr>
          <w:b/>
          <w:u w:val="single"/>
        </w:rPr>
        <w:t xml:space="preserve"> arising out of this PPA, any damage or delay in connection with this PPA, a Party’s act or failure to act, or a Party’s performance or non-performance under this PPA</w:t>
      </w:r>
      <w:r w:rsidRPr="003647AE">
        <w:rPr>
          <w:b/>
          <w:u w:val="single"/>
        </w:rPr>
        <w:t xml:space="preserve">, whether </w:t>
      </w:r>
      <w:r>
        <w:rPr>
          <w:b/>
          <w:u w:val="single"/>
        </w:rPr>
        <w:t>or not reasonable,</w:t>
      </w:r>
      <w:r w:rsidRPr="003647AE">
        <w:rPr>
          <w:b/>
          <w:u w:val="single"/>
        </w:rPr>
        <w:t xml:space="preserve"> foreseeable,</w:t>
      </w:r>
      <w:r>
        <w:rPr>
          <w:b/>
          <w:u w:val="single"/>
        </w:rPr>
        <w:t xml:space="preserve"> contemplated, or avoidable and whether</w:t>
      </w:r>
      <w:r w:rsidRPr="003647AE">
        <w:rPr>
          <w:b/>
          <w:u w:val="single"/>
        </w:rPr>
        <w:t xml:space="preserve"> by statute, in tort or contract, under any indemnity provision, or otherwise. The preceding sentence will not apply: (</w:t>
      </w:r>
      <w:r>
        <w:rPr>
          <w:b/>
          <w:u w:val="single"/>
        </w:rPr>
        <w:t>a</w:t>
      </w:r>
      <w:r w:rsidRPr="003647AE">
        <w:rPr>
          <w:b/>
          <w:u w:val="single"/>
        </w:rPr>
        <w:t xml:space="preserve">) for amounts owed to </w:t>
      </w:r>
      <w:r>
        <w:rPr>
          <w:b/>
          <w:u w:val="single"/>
        </w:rPr>
        <w:t xml:space="preserve">a </w:t>
      </w:r>
      <w:r w:rsidRPr="003647AE">
        <w:rPr>
          <w:b/>
          <w:u w:val="single"/>
        </w:rPr>
        <w:t>third</w:t>
      </w:r>
      <w:r>
        <w:rPr>
          <w:b/>
          <w:u w:val="single"/>
        </w:rPr>
        <w:t xml:space="preserve"> party</w:t>
      </w:r>
      <w:r w:rsidRPr="003647AE">
        <w:rPr>
          <w:b/>
          <w:u w:val="single"/>
        </w:rPr>
        <w:t xml:space="preserve"> for which </w:t>
      </w:r>
      <w:r>
        <w:rPr>
          <w:b/>
          <w:u w:val="single"/>
        </w:rPr>
        <w:t xml:space="preserve">this PPA requires </w:t>
      </w:r>
      <w:r w:rsidRPr="003647AE">
        <w:rPr>
          <w:b/>
          <w:u w:val="single"/>
        </w:rPr>
        <w:t>indemnification; (</w:t>
      </w:r>
      <w:r>
        <w:rPr>
          <w:b/>
          <w:u w:val="single"/>
        </w:rPr>
        <w:t>b</w:t>
      </w:r>
      <w:r w:rsidRPr="003647AE">
        <w:rPr>
          <w:b/>
          <w:u w:val="single"/>
        </w:rPr>
        <w:t>) to limit the liability of Seller for liquidated damages specified in this PPA; (</w:t>
      </w:r>
      <w:r>
        <w:rPr>
          <w:b/>
          <w:u w:val="single"/>
        </w:rPr>
        <w:t>c</w:t>
      </w:r>
      <w:r w:rsidRPr="003647AE">
        <w:rPr>
          <w:b/>
          <w:u w:val="single"/>
        </w:rPr>
        <w:t>) to limit the liability of a Person whose actions giving rise to the liability constitute gross negligence or willful misconduct</w:t>
      </w:r>
      <w:r>
        <w:rPr>
          <w:b/>
          <w:u w:val="single"/>
        </w:rPr>
        <w:t xml:space="preserve">; </w:t>
      </w:r>
      <w:r w:rsidR="006C6E5E">
        <w:rPr>
          <w:b/>
          <w:u w:val="single"/>
        </w:rPr>
        <w:t>or (</w:t>
      </w:r>
      <w:r w:rsidR="009B6266">
        <w:rPr>
          <w:b/>
          <w:u w:val="single"/>
        </w:rPr>
        <w:t>d</w:t>
      </w:r>
      <w:r w:rsidR="006C6E5E">
        <w:rPr>
          <w:b/>
          <w:u w:val="single"/>
        </w:rPr>
        <w:t xml:space="preserve">) </w:t>
      </w:r>
      <w:r>
        <w:rPr>
          <w:b/>
          <w:u w:val="single"/>
        </w:rPr>
        <w:t>to limit or reduce the amounts owed by a defaulting Party under Section 16.3 (</w:t>
      </w:r>
      <w:r w:rsidRPr="00E54DB4">
        <w:rPr>
          <w:b/>
          <w:i/>
          <w:iCs/>
          <w:u w:val="single"/>
        </w:rPr>
        <w:t>Remedies</w:t>
      </w:r>
      <w:r>
        <w:rPr>
          <w:b/>
          <w:u w:val="single"/>
        </w:rPr>
        <w:t>)</w:t>
      </w:r>
      <w:r w:rsidRPr="003647AE">
        <w:rPr>
          <w:b/>
          <w:u w:val="single"/>
        </w:rPr>
        <w:t xml:space="preserve">, </w:t>
      </w:r>
      <w:r>
        <w:rPr>
          <w:b/>
          <w:u w:val="single"/>
        </w:rPr>
        <w:t xml:space="preserve">it being expressly agreed that no portion of any amount owed under Section 16.3 will be considered consequential damages and </w:t>
      </w:r>
      <w:r w:rsidRPr="003647AE">
        <w:rPr>
          <w:b/>
          <w:u w:val="single"/>
        </w:rPr>
        <w:t xml:space="preserve"> it </w:t>
      </w:r>
      <w:r>
        <w:rPr>
          <w:b/>
          <w:u w:val="single"/>
        </w:rPr>
        <w:t xml:space="preserve">being </w:t>
      </w:r>
      <w:r w:rsidRPr="003647AE">
        <w:rPr>
          <w:b/>
          <w:u w:val="single"/>
        </w:rPr>
        <w:t>expressly agreed that the lost value of any investment tax credit (ITC), production tax credit (PTC), or any other similar Tax credit or benefit will be considered consequential damages. To the extent any damages required to be paid under this PPA are liquidated, the Parties acknowledge that: (</w:t>
      </w:r>
      <w:r>
        <w:rPr>
          <w:b/>
          <w:u w:val="single"/>
        </w:rPr>
        <w:t>I</w:t>
      </w:r>
      <w:r w:rsidRPr="003647AE">
        <w:rPr>
          <w:b/>
          <w:u w:val="single"/>
        </w:rPr>
        <w:t xml:space="preserve">) the actual damages </w:t>
      </w:r>
      <w:r>
        <w:rPr>
          <w:b/>
          <w:u w:val="single"/>
        </w:rPr>
        <w:t xml:space="preserve">likely to be incurred </w:t>
      </w:r>
      <w:r w:rsidRPr="003647AE">
        <w:rPr>
          <w:b/>
          <w:u w:val="single"/>
        </w:rPr>
        <w:t>are difficult or impossible to determine; (</w:t>
      </w:r>
      <w:r>
        <w:rPr>
          <w:b/>
          <w:u w:val="single"/>
        </w:rPr>
        <w:t>II</w:t>
      </w:r>
      <w:r w:rsidRPr="003647AE">
        <w:rPr>
          <w:b/>
          <w:u w:val="single"/>
        </w:rPr>
        <w:t>) otherwise obtaining an adequate remedy is inconvenient; and (</w:t>
      </w:r>
      <w:r>
        <w:rPr>
          <w:b/>
          <w:u w:val="single"/>
        </w:rPr>
        <w:t>III</w:t>
      </w:r>
      <w:r w:rsidRPr="003647AE">
        <w:rPr>
          <w:b/>
          <w:u w:val="single"/>
        </w:rPr>
        <w:t>) the liquidated damages do not constitute a penalty and are a reasonable approximation of the</w:t>
      </w:r>
      <w:r>
        <w:rPr>
          <w:b/>
          <w:u w:val="single"/>
        </w:rPr>
        <w:t xml:space="preserve"> actual</w:t>
      </w:r>
      <w:r w:rsidRPr="003647AE">
        <w:rPr>
          <w:b/>
          <w:u w:val="single"/>
        </w:rPr>
        <w:t xml:space="preserve"> harm or loss. Despite any other provision in this PPA, in no event will GPC’s liability to Seller for a termination payment under this PPA exceed an amount equal to the sum of any amounts then owed by GPC under this PPA plus the total of all remaining monthly capacity payments following termination that would have been payable to Seller under this PPA had the PPA remained in effect through the end of the Term. The limitations in </w:t>
      </w:r>
      <w:r w:rsidRPr="00534192">
        <w:rPr>
          <w:b/>
          <w:u w:val="single"/>
        </w:rPr>
        <w:t>Section 16.5 (</w:t>
      </w:r>
      <w:r w:rsidRPr="00534192">
        <w:rPr>
          <w:b/>
          <w:i/>
          <w:u w:val="single"/>
        </w:rPr>
        <w:t>Limitation of Remedies, Liability, and Damages</w:t>
      </w:r>
      <w:r w:rsidRPr="00534192">
        <w:rPr>
          <w:b/>
          <w:u w:val="single"/>
        </w:rPr>
        <w:t>)</w:t>
      </w:r>
      <w:r w:rsidRPr="003647AE">
        <w:rPr>
          <w:b/>
          <w:u w:val="single"/>
        </w:rPr>
        <w:t xml:space="preserve"> and this </w:t>
      </w:r>
      <w:r w:rsidRPr="00534192">
        <w:rPr>
          <w:b/>
          <w:u w:val="single"/>
        </w:rPr>
        <w:t>Section 16.6</w:t>
      </w:r>
      <w:r w:rsidRPr="003647AE">
        <w:rPr>
          <w:b/>
          <w:u w:val="single"/>
        </w:rPr>
        <w:t xml:space="preserve"> apply regardless of fault and will survive PPA termination, cancellation, suspension, completion, or expiration. </w:t>
      </w:r>
    </w:p>
    <w:p w:rsidRPr="009E0B5F" w:rsidR="002D54C4" w:rsidRDefault="002D54C4" w14:paraId="497ED5FE" w14:textId="77777777">
      <w:pPr>
        <w:pStyle w:val="zGTC02"/>
        <w:rPr>
          <w:vanish/>
          <w:specVanish/>
        </w:rPr>
      </w:pPr>
      <w:bookmarkStart w:name="_Toc169778667" w:id="695"/>
      <w:bookmarkStart w:name="_Toc227451431" w:id="696"/>
      <w:r w:rsidRPr="009E0B5F">
        <w:t>Disclaimer of Warranties.</w:t>
      </w:r>
      <w:bookmarkStart w:name="_Toc158593269" w:id="697"/>
      <w:bookmarkStart w:name="_Toc158597548" w:id="698"/>
      <w:bookmarkStart w:name="_Toc158720172" w:id="699"/>
      <w:bookmarkStart w:name="_Toc158722926" w:id="700"/>
      <w:bookmarkStart w:name="_Toc158929458" w:id="701"/>
      <w:bookmarkEnd w:id="695"/>
      <w:bookmarkEnd w:id="696"/>
      <w:bookmarkEnd w:id="697"/>
      <w:bookmarkEnd w:id="698"/>
      <w:bookmarkEnd w:id="699"/>
      <w:bookmarkEnd w:id="700"/>
      <w:bookmarkEnd w:id="701"/>
    </w:p>
    <w:p w:rsidRPr="002D2A8F" w:rsidR="002D54C4" w:rsidRDefault="009E0B5F" w14:paraId="21E44917" w14:textId="16A58F13">
      <w:pPr>
        <w:pStyle w:val="zGNormal"/>
        <w:rPr>
          <w:b/>
          <w:bCs/>
          <w:u w:val="single"/>
        </w:rPr>
      </w:pPr>
      <w:r>
        <w:t xml:space="preserve"> </w:t>
      </w:r>
      <w:r w:rsidRPr="002D2A8F" w:rsidR="002D54C4">
        <w:rPr>
          <w:b/>
          <w:bCs/>
          <w:u w:val="single"/>
        </w:rPr>
        <w:t xml:space="preserve">There are no warranties under this </w:t>
      </w:r>
      <w:r w:rsidRPr="002D2A8F" w:rsidR="002D54C4">
        <w:rPr>
          <w:b/>
          <w:u w:val="single"/>
        </w:rPr>
        <w:t xml:space="preserve">PPA </w:t>
      </w:r>
      <w:r w:rsidRPr="002D2A8F" w:rsidR="002D54C4">
        <w:rPr>
          <w:b/>
          <w:bCs/>
          <w:u w:val="single"/>
        </w:rPr>
        <w:t xml:space="preserve">except to the extent specifically set forth in </w:t>
      </w:r>
      <w:r w:rsidRPr="002D2A8F" w:rsidR="002D54C4">
        <w:rPr>
          <w:b/>
          <w:u w:val="single"/>
        </w:rPr>
        <w:t>this PPA.</w:t>
      </w:r>
      <w:r w:rsidRPr="002D2A8F" w:rsidR="002D54C4">
        <w:rPr>
          <w:b/>
          <w:bCs/>
          <w:u w:val="single"/>
        </w:rPr>
        <w:t xml:space="preserve"> The Parties specifically disclaim and exclude all implied warranties, including the implied warranties of merchantability and of fitness for a particular purpose.</w:t>
      </w:r>
    </w:p>
    <w:p w:rsidRPr="009E0B5F" w:rsidR="002D54C4" w:rsidRDefault="002D54C4" w14:paraId="4DD4CCB3" w14:textId="77777777">
      <w:pPr>
        <w:pStyle w:val="zGTC02"/>
        <w:rPr>
          <w:vanish/>
          <w:specVanish/>
        </w:rPr>
      </w:pPr>
      <w:bookmarkStart w:name="_Toc169778668" w:id="702"/>
      <w:bookmarkStart w:name="_Toc227451432" w:id="703"/>
      <w:r w:rsidRPr="009E0B5F">
        <w:t>No Interruption.</w:t>
      </w:r>
      <w:bookmarkStart w:name="_Toc158593270" w:id="704"/>
      <w:bookmarkStart w:name="_Toc158597549" w:id="705"/>
      <w:bookmarkStart w:name="_Toc158720173" w:id="706"/>
      <w:bookmarkStart w:name="_Toc158722927" w:id="707"/>
      <w:bookmarkStart w:name="_Toc158929459" w:id="708"/>
      <w:bookmarkEnd w:id="702"/>
      <w:bookmarkEnd w:id="703"/>
      <w:bookmarkEnd w:id="704"/>
      <w:bookmarkEnd w:id="705"/>
      <w:bookmarkEnd w:id="706"/>
      <w:bookmarkEnd w:id="707"/>
      <w:bookmarkEnd w:id="708"/>
    </w:p>
    <w:p w:rsidRPr="002D2A8F" w:rsidR="002D54C4" w:rsidRDefault="009E0B5F" w14:paraId="77BDC498" w14:textId="7225A1BB">
      <w:pPr>
        <w:pStyle w:val="zGNormal"/>
      </w:pPr>
      <w:r>
        <w:t xml:space="preserve"> </w:t>
      </w:r>
      <w:r w:rsidRPr="002D2A8F" w:rsidR="002D54C4">
        <w:t>Except as otherwise provided in this PPA, unless this PPA has been terminated, neither Party will, because of any breach or alleged breach by the other Party: (i) refuse to deliver, or suspend or delay any delivery of, capacity or associated energy to be provided under this PPA; (ii) refuse to take energy to the extent required under this PPA; or (iii) suspend, delay, or refuse to make any of the payments required under this PPA.</w:t>
      </w:r>
    </w:p>
    <w:p w:rsidRPr="009E0B5F" w:rsidR="002D54C4" w:rsidRDefault="002D54C4" w14:paraId="462BE5B1" w14:textId="77777777">
      <w:pPr>
        <w:pStyle w:val="zGTC02"/>
        <w:rPr>
          <w:vanish/>
          <w:specVanish/>
        </w:rPr>
      </w:pPr>
      <w:bookmarkStart w:name="_Toc169778669" w:id="709"/>
      <w:bookmarkStart w:name="_Toc227451433" w:id="710"/>
      <w:r w:rsidRPr="009E0B5F">
        <w:t>Duty to Mitigate.</w:t>
      </w:r>
      <w:bookmarkStart w:name="_Toc158593271" w:id="711"/>
      <w:bookmarkStart w:name="_Toc158597550" w:id="712"/>
      <w:bookmarkStart w:name="_Toc158720174" w:id="713"/>
      <w:bookmarkStart w:name="_Toc158722928" w:id="714"/>
      <w:bookmarkStart w:name="_Toc158929460" w:id="715"/>
      <w:bookmarkEnd w:id="709"/>
      <w:bookmarkEnd w:id="710"/>
      <w:bookmarkEnd w:id="711"/>
      <w:bookmarkEnd w:id="712"/>
      <w:bookmarkEnd w:id="713"/>
      <w:bookmarkEnd w:id="714"/>
      <w:bookmarkEnd w:id="715"/>
    </w:p>
    <w:p w:rsidRPr="002D2A8F" w:rsidR="002D54C4" w:rsidRDefault="009E0B5F" w14:paraId="1D17957D" w14:textId="2B5A30A3">
      <w:pPr>
        <w:pStyle w:val="zGNormal"/>
      </w:pPr>
      <w:r>
        <w:t xml:space="preserve"> </w:t>
      </w:r>
      <w:r w:rsidRPr="002D2A8F" w:rsidR="002D54C4">
        <w:t>Despite any other provision of this PPA, each Party must: (i) mitigate damages; and (ii) use commercially reasonable efforts to minimize any damages it may incur because of the other Party’s performance or non-performance.</w:t>
      </w:r>
    </w:p>
    <w:p w:rsidRPr="002D2A8F" w:rsidR="002D54C4" w:rsidP="00ED6839" w:rsidRDefault="002D54C4" w14:paraId="2CCE9C40" w14:textId="77777777">
      <w:pPr>
        <w:pStyle w:val="zGTC01"/>
        <w:rPr>
          <w:rFonts w:ascii="Arial" w:hAnsi="Arial"/>
          <w:szCs w:val="20"/>
        </w:rPr>
      </w:pPr>
      <w:bookmarkStart w:name="_Toc169778670" w:id="716"/>
      <w:bookmarkStart w:name="_Toc227451434" w:id="717"/>
      <w:r w:rsidRPr="002D2A8F">
        <w:rPr>
          <w:rFonts w:ascii="Arial" w:hAnsi="Arial"/>
        </w:rPr>
        <w:lastRenderedPageBreak/>
        <w:t>Compliance with Laws</w:t>
      </w:r>
      <w:bookmarkEnd w:id="716"/>
      <w:bookmarkEnd w:id="717"/>
    </w:p>
    <w:p w:rsidRPr="002D2A8F" w:rsidR="002D54C4" w:rsidRDefault="002D54C4" w14:paraId="0D4D13CD" w14:textId="77777777">
      <w:pPr>
        <w:pStyle w:val="zGTC02"/>
        <w:rPr>
          <w:rFonts w:ascii="Arial" w:hAnsi="Arial" w:cs="Arial"/>
          <w:vanish/>
          <w:specVanish/>
        </w:rPr>
      </w:pPr>
      <w:bookmarkStart w:name="_Toc169778671" w:id="718"/>
      <w:bookmarkStart w:name="_Toc227451435" w:id="719"/>
      <w:r w:rsidRPr="002D2A8F">
        <w:rPr>
          <w:rFonts w:ascii="Arial" w:hAnsi="Arial" w:cs="Arial"/>
        </w:rPr>
        <w:t>Change of Law.</w:t>
      </w:r>
      <w:bookmarkStart w:name="_Toc158593273" w:id="720"/>
      <w:bookmarkStart w:name="_Toc158597552" w:id="721"/>
      <w:bookmarkStart w:name="_Toc158720176" w:id="722"/>
      <w:bookmarkStart w:name="_Toc158722930" w:id="723"/>
      <w:bookmarkStart w:name="_Toc158929462" w:id="724"/>
      <w:bookmarkEnd w:id="718"/>
      <w:bookmarkEnd w:id="719"/>
      <w:bookmarkEnd w:id="720"/>
      <w:bookmarkEnd w:id="721"/>
      <w:bookmarkEnd w:id="722"/>
      <w:bookmarkEnd w:id="723"/>
      <w:bookmarkEnd w:id="724"/>
    </w:p>
    <w:p w:rsidRPr="002D2A8F" w:rsidR="002D54C4" w:rsidP="00BB7345" w:rsidRDefault="002D54C4" w14:paraId="60FD5D10" w14:textId="3E45B575">
      <w:pPr>
        <w:pStyle w:val="zGTC03"/>
        <w:rPr>
          <w:rFonts w:cs="Arial"/>
          <w:vanish/>
          <w:specVanish/>
        </w:rPr>
      </w:pPr>
    </w:p>
    <w:p w:rsidRPr="00540449" w:rsidR="002D54C4" w:rsidRDefault="00E11EDA" w14:paraId="72E8147D" w14:textId="3C0FD7B7">
      <w:pPr>
        <w:pStyle w:val="zGNormal"/>
      </w:pPr>
      <w:r>
        <w:t xml:space="preserve"> </w:t>
      </w:r>
      <w:r w:rsidRPr="00F9044B" w:rsidR="004A7F06">
        <w:t>If a Change of Law occurs, Seller may request to recover Excess Expenditures as described in this Section 17.</w:t>
      </w:r>
      <w:r w:rsidR="00381606">
        <w:t>1</w:t>
      </w:r>
      <w:r w:rsidRPr="00F9044B" w:rsidR="004A7F06">
        <w:t xml:space="preserve"> (</w:t>
      </w:r>
      <w:r w:rsidRPr="00F9044B" w:rsidR="004A7F06">
        <w:rPr>
          <w:i/>
          <w:iCs/>
        </w:rPr>
        <w:t>Change of Law</w:t>
      </w:r>
      <w:r w:rsidRPr="00F9044B" w:rsidR="004A7F06">
        <w:t>).</w:t>
      </w:r>
      <w:r w:rsidR="00453737">
        <w:t xml:space="preserve"> </w:t>
      </w:r>
      <w:r w:rsidRPr="00341121" w:rsidR="001E75F9">
        <w:t xml:space="preserve">Except as described in this </w:t>
      </w:r>
      <w:r w:rsidRPr="00C04CA7" w:rsidR="001E75F9">
        <w:t>Section 17.1</w:t>
      </w:r>
      <w:r w:rsidRPr="00C04CA7" w:rsidR="0073215A">
        <w:t xml:space="preserve"> (</w:t>
      </w:r>
      <w:r w:rsidRPr="00C04CA7" w:rsidR="0073215A">
        <w:rPr>
          <w:i/>
          <w:iCs/>
        </w:rPr>
        <w:t>Change of Law</w:t>
      </w:r>
      <w:r w:rsidRPr="00C04CA7" w:rsidR="0073215A">
        <w:t>)</w:t>
      </w:r>
      <w:r w:rsidRPr="00C04CA7" w:rsidR="001E75F9">
        <w:t>,</w:t>
      </w:r>
      <w:r w:rsidRPr="00341121" w:rsidR="001E75F9">
        <w:t xml:space="preserve"> Seller is not entitled to any PPA modification due to any Change of Law.</w:t>
      </w:r>
      <w:r w:rsidR="002D54C4">
        <w:t xml:space="preserve"> </w:t>
      </w:r>
      <w:r w:rsidRPr="00321E4B" w:rsidR="004E6CC2">
        <w:t>For the avoidance of doubt, no Change of Law relieves Seller of its obligations to comply with this PPA and applicable law</w:t>
      </w:r>
      <w:r w:rsidR="004E6CC2">
        <w:t>, and</w:t>
      </w:r>
      <w:r w:rsidRPr="00321E4B" w:rsidR="004E6CC2">
        <w:t xml:space="preserve"> Seller’s sole relief, if any, is limited to the remedies expressly set forth in this Section 17.1.</w:t>
      </w:r>
    </w:p>
    <w:p w:rsidRPr="00540449" w:rsidR="002D54C4" w:rsidP="00B34225" w:rsidRDefault="002D54C4" w14:paraId="2374FDB9" w14:textId="18414ABE">
      <w:pPr>
        <w:pStyle w:val="zGTC03"/>
        <w:numPr>
          <w:ilvl w:val="2"/>
          <w:numId w:val="39"/>
        </w:numPr>
      </w:pPr>
      <w:r w:rsidRPr="00557126">
        <w:rPr>
          <w:rFonts w:cs="Arial"/>
          <w:b/>
        </w:rPr>
        <w:t>Notice and Periodic Updates.</w:t>
      </w:r>
      <w:r w:rsidRPr="00540449">
        <w:t xml:space="preserve"> </w:t>
      </w:r>
      <w:r w:rsidRPr="00341121" w:rsidR="005D02EE">
        <w:rPr>
          <w:rFonts w:eastAsiaTheme="minorEastAsia"/>
        </w:rPr>
        <w:t>If Seller expects, or should reasonably expect, to incur any Change of Law Expenditures (including amounts less than the Threshold Amount), Seller must</w:t>
      </w:r>
      <w:r w:rsidRPr="00341121" w:rsidDel="00D74A7B" w:rsidR="005D02EE">
        <w:rPr>
          <w:rFonts w:eastAsiaTheme="minorEastAsia"/>
        </w:rPr>
        <w:t xml:space="preserve"> </w:t>
      </w:r>
      <w:r w:rsidRPr="00341121" w:rsidR="005D02EE">
        <w:rPr>
          <w:rFonts w:eastAsiaTheme="minorEastAsia"/>
        </w:rPr>
        <w:t xml:space="preserve">notify GPC through a Change of Law Notice by no later than </w:t>
      </w:r>
      <w:r w:rsidRPr="001A0A92" w:rsidR="005D02EE">
        <w:rPr>
          <w:rFonts w:eastAsiaTheme="minorEastAsia"/>
        </w:rPr>
        <w:t>45</w:t>
      </w:r>
      <w:r w:rsidRPr="00341121" w:rsidR="005D02EE">
        <w:rPr>
          <w:rFonts w:eastAsiaTheme="minorEastAsia"/>
        </w:rPr>
        <w:t xml:space="preserve"> Days after the enactment of the applicable Change of Law. The Change of Law Notice must include: (i) a description of Change of Law; (ii) Seller’s preliminary plan to comply with the Change of Law (including any additional or different Facility equipment or other modification of the Facility required to comply with the Change of Law); (iii) identification of the categories of costs or losses Seller will incur because of the Change of Law; and (iv) a good faith preliminary estimate of Change </w:t>
      </w:r>
      <w:r w:rsidR="00AD45F1">
        <w:rPr>
          <w:rFonts w:eastAsiaTheme="minorEastAsia"/>
        </w:rPr>
        <w:t>of</w:t>
      </w:r>
      <w:r w:rsidRPr="00341121" w:rsidR="005D02EE">
        <w:rPr>
          <w:rFonts w:eastAsiaTheme="minorEastAsia"/>
        </w:rPr>
        <w:t xml:space="preserve"> Law Expenditures with supporting documentation.</w:t>
      </w:r>
      <w:r w:rsidRPr="00341121" w:rsidDel="00484EA7" w:rsidR="005D02EE">
        <w:rPr>
          <w:rFonts w:eastAsiaTheme="minorEastAsia"/>
        </w:rPr>
        <w:t xml:space="preserve"> </w:t>
      </w:r>
      <w:r w:rsidRPr="00341121" w:rsidR="005D02EE">
        <w:rPr>
          <w:rFonts w:eastAsiaTheme="minorEastAsia"/>
        </w:rPr>
        <w:t>Seller must provide GPC with periodic updates regarding Seller’s compliance plan and Change of Law Expenditures and any other information GPC reasonably requests</w:t>
      </w:r>
      <w:r w:rsidRPr="00540449">
        <w:t>.</w:t>
      </w:r>
    </w:p>
    <w:p w:rsidRPr="00207775" w:rsidR="00207775" w:rsidP="00B34225" w:rsidRDefault="008A6556" w14:paraId="12A75352" w14:textId="025FAAF4">
      <w:pPr>
        <w:pStyle w:val="zGTC03"/>
      </w:pPr>
      <w:r>
        <w:rPr>
          <w:rFonts w:cs="Arial"/>
          <w:b/>
        </w:rPr>
        <w:t>Thre</w:t>
      </w:r>
      <w:r w:rsidR="00740170">
        <w:rPr>
          <w:rFonts w:cs="Arial"/>
          <w:b/>
        </w:rPr>
        <w:t>shold Amount; Excess Expenditures Notice</w:t>
      </w:r>
      <w:r w:rsidRPr="00557126" w:rsidR="002D54C4">
        <w:rPr>
          <w:rFonts w:cs="Arial"/>
          <w:b/>
        </w:rPr>
        <w:t>.</w:t>
      </w:r>
      <w:r w:rsidRPr="00D47773" w:rsidR="00D47773">
        <w:rPr>
          <w:rFonts w:eastAsiaTheme="minorEastAsia"/>
        </w:rPr>
        <w:t xml:space="preserve"> </w:t>
      </w:r>
      <w:r w:rsidRPr="00341121" w:rsidR="00D47773">
        <w:rPr>
          <w:rFonts w:eastAsiaTheme="minorEastAsia"/>
        </w:rPr>
        <w:t xml:space="preserve">The Threshold Amount applies to each Change of Law and will not be aggregated if one of more Changes of Law occur during the Term. Seller is not entitled to any PPA modification unless Seller will incur Excess Expenditures for the applicable Change of Law, which must be substantiated in accordance with this </w:t>
      </w:r>
      <w:r w:rsidRPr="00C04CA7" w:rsidR="00D47773">
        <w:rPr>
          <w:rFonts w:eastAsiaTheme="minorEastAsia"/>
        </w:rPr>
        <w:t>Section 17.1 (</w:t>
      </w:r>
      <w:r w:rsidRPr="00C04CA7" w:rsidR="00D47773">
        <w:rPr>
          <w:rFonts w:eastAsiaTheme="minorEastAsia"/>
          <w:i/>
          <w:iCs/>
        </w:rPr>
        <w:t>Change of Law</w:t>
      </w:r>
      <w:r w:rsidRPr="00C04CA7" w:rsidR="00D47773">
        <w:rPr>
          <w:rFonts w:eastAsiaTheme="minorEastAsia"/>
        </w:rPr>
        <w:t>).</w:t>
      </w:r>
      <w:r w:rsidRPr="00341121" w:rsidR="00D47773">
        <w:rPr>
          <w:rFonts w:eastAsiaTheme="minorEastAsia"/>
        </w:rPr>
        <w:t xml:space="preserve"> If a Change </w:t>
      </w:r>
      <w:r w:rsidR="00AD45F1">
        <w:rPr>
          <w:rFonts w:eastAsiaTheme="minorEastAsia"/>
        </w:rPr>
        <w:t>of</w:t>
      </w:r>
      <w:r w:rsidRPr="00341121" w:rsidR="00D47773">
        <w:rPr>
          <w:rFonts w:eastAsiaTheme="minorEastAsia"/>
        </w:rPr>
        <w:t xml:space="preserve"> Law will cause Seller to incur Excess Expenditures, and Seller provided a Change of Law Notice in accordance with </w:t>
      </w:r>
      <w:r w:rsidRPr="00C04CA7" w:rsidR="00D47773">
        <w:rPr>
          <w:rFonts w:eastAsiaTheme="minorEastAsia"/>
        </w:rPr>
        <w:t>Section 17.1.1 (</w:t>
      </w:r>
      <w:r w:rsidRPr="00C04CA7" w:rsidR="00D47773">
        <w:rPr>
          <w:rFonts w:eastAsiaTheme="minorEastAsia"/>
          <w:i/>
          <w:iCs/>
        </w:rPr>
        <w:t>Notice and Periodic Updates</w:t>
      </w:r>
      <w:r w:rsidRPr="00C04CA7" w:rsidR="00D47773">
        <w:rPr>
          <w:rFonts w:eastAsiaTheme="minorEastAsia"/>
        </w:rPr>
        <w:t>),</w:t>
      </w:r>
      <w:r w:rsidRPr="00341121" w:rsidR="00D47773">
        <w:rPr>
          <w:rFonts w:eastAsiaTheme="minorEastAsia"/>
        </w:rPr>
        <w:t xml:space="preserve"> Seller may request recovery of Excess Expenditures by delivering an Excess Expenditures Notice to GPC by no later than</w:t>
      </w:r>
      <w:r w:rsidRPr="00C04CA7" w:rsidR="00D47773">
        <w:rPr>
          <w:rFonts w:eastAsiaTheme="minorEastAsia"/>
        </w:rPr>
        <w:t xml:space="preserve"> 90</w:t>
      </w:r>
      <w:r w:rsidRPr="00341121" w:rsidR="00D47773">
        <w:rPr>
          <w:rFonts w:eastAsiaTheme="minorEastAsia"/>
        </w:rPr>
        <w:t xml:space="preserve"> Days after the enactment of the Change of Law. </w:t>
      </w:r>
      <w:r w:rsidRPr="00B50BA8" w:rsidR="00FD7082">
        <w:rPr>
          <w:rFonts w:eastAsiaTheme="minorEastAsia"/>
        </w:rPr>
        <w:t xml:space="preserve">If Seller reasonably determines that additional time is required to prepare an Excess Expenditures Notice, Seller may request an extension by notice to </w:t>
      </w:r>
      <w:r w:rsidR="00FD7082">
        <w:rPr>
          <w:rFonts w:eastAsiaTheme="minorEastAsia"/>
        </w:rPr>
        <w:t>GPC</w:t>
      </w:r>
      <w:r w:rsidRPr="00B50BA8" w:rsidR="00FD7082">
        <w:rPr>
          <w:rFonts w:eastAsiaTheme="minorEastAsia"/>
        </w:rPr>
        <w:t xml:space="preserve"> delivered before expiration of </w:t>
      </w:r>
      <w:r w:rsidR="00FD7082">
        <w:rPr>
          <w:rFonts w:eastAsiaTheme="minorEastAsia"/>
        </w:rPr>
        <w:t>the</w:t>
      </w:r>
      <w:r w:rsidRPr="00B50BA8" w:rsidR="00FD7082">
        <w:rPr>
          <w:rFonts w:eastAsiaTheme="minorEastAsia"/>
        </w:rPr>
        <w:t xml:space="preserve"> deadline. The </w:t>
      </w:r>
      <w:r w:rsidR="00FD7082">
        <w:rPr>
          <w:rFonts w:eastAsiaTheme="minorEastAsia"/>
        </w:rPr>
        <w:t xml:space="preserve">extension </w:t>
      </w:r>
      <w:r w:rsidRPr="00B50BA8" w:rsidR="00FD7082">
        <w:rPr>
          <w:rFonts w:eastAsiaTheme="minorEastAsia"/>
        </w:rPr>
        <w:t xml:space="preserve">request must describe in reasonable detail the basis for the request and the additional time reasonably needed. If </w:t>
      </w:r>
      <w:r w:rsidR="00FD7082">
        <w:rPr>
          <w:rFonts w:eastAsiaTheme="minorEastAsia"/>
        </w:rPr>
        <w:t>GPC</w:t>
      </w:r>
      <w:r w:rsidRPr="00B50BA8" w:rsidR="00FD7082">
        <w:rPr>
          <w:rFonts w:eastAsiaTheme="minorEastAsia"/>
        </w:rPr>
        <w:t xml:space="preserve"> approves the request, the deadline will be extended for the period approved by </w:t>
      </w:r>
      <w:r w:rsidR="00FD7082">
        <w:rPr>
          <w:rFonts w:eastAsiaTheme="minorEastAsia"/>
        </w:rPr>
        <w:t>GPC</w:t>
      </w:r>
      <w:r w:rsidRPr="00B50BA8" w:rsidR="00FD7082">
        <w:rPr>
          <w:rFonts w:eastAsiaTheme="minorEastAsia"/>
        </w:rPr>
        <w:t>.</w:t>
      </w:r>
      <w:r w:rsidR="00FD7082">
        <w:rPr>
          <w:rFonts w:eastAsiaTheme="minorEastAsia"/>
        </w:rPr>
        <w:t xml:space="preserve"> </w:t>
      </w:r>
      <w:r w:rsidRPr="00341121" w:rsidR="00D47773">
        <w:rPr>
          <w:rFonts w:eastAsiaTheme="minorEastAsia"/>
        </w:rPr>
        <w:t>Seller may also propose Operational Alternatives</w:t>
      </w:r>
      <w:r w:rsidR="00D57678">
        <w:rPr>
          <w:rFonts w:eastAsiaTheme="minorEastAsia"/>
        </w:rPr>
        <w:t xml:space="preserve"> in its Excess Expenditures Notice</w:t>
      </w:r>
      <w:r w:rsidRPr="00341121" w:rsidR="00D47773">
        <w:rPr>
          <w:rFonts w:eastAsiaTheme="minorEastAsia"/>
        </w:rPr>
        <w:t xml:space="preserve">. The Excess Expenditures Notice must include all information and documentation necessary for GPC to validate Change of Law Expenditures or Operational Alternatives, including: (i) evidence that the Change of Law applies to the Facility and will cause Seller to incur Change of Law Expenditures that Seller would not have incurred but for the Change of Law; (ii) Seller’s final plan to comply with the Change of Law (including any additional or different Facility equipment or other modification of the Facility required to comply with the Change of Law); (ii) identification of the categories of costs or losses Seller will incur because of the Change of Law; (iv) a reasonable and good faith estimate of Change </w:t>
      </w:r>
      <w:r w:rsidR="00AD45F1">
        <w:rPr>
          <w:rFonts w:eastAsiaTheme="minorEastAsia"/>
        </w:rPr>
        <w:t>of</w:t>
      </w:r>
      <w:r w:rsidRPr="00341121" w:rsidR="00D47773">
        <w:rPr>
          <w:rFonts w:eastAsiaTheme="minorEastAsia"/>
        </w:rPr>
        <w:t xml:space="preserve"> Law Expenditures with detail and supporting documentation; and (v) Seller’s proposed adjustment to the Annual Capacity Price, with supporting calculations. Seller’s Excess Expenditures Notice must also include the following information, as applicable:</w:t>
      </w:r>
    </w:p>
    <w:p w:rsidR="00207775" w:rsidP="00207775" w:rsidRDefault="0004141B" w14:paraId="05B1478D" w14:textId="126E5427">
      <w:pPr>
        <w:pStyle w:val="zGTC04"/>
      </w:pPr>
      <w:r w:rsidRPr="00341121">
        <w:t>Any Initial Capital Expenditures Notice must include: (A) a detailed description of the addition, modification, or other capital work required to comply with the Change of Law, including the scope of work and the key technical and operational assumptions; (B) an itemized list of the capital expenditures and the expected in-service date(s), including supporting documentation (e.g., vendor quotes, invoices, purchase orders, construction contracts, and change orders); (C) identification and substantiation of Seller’s baseline assumptions and costs before the Change of Law and a calculation of the incremental capital expenditures attributable to the Change of Law; and (D) a schedule for engineering, procurement, and construction (including any material milestones) and identification of any material project risks that could affect cost or timing.</w:t>
      </w:r>
      <w:r w:rsidR="00207775">
        <w:t xml:space="preserve"> </w:t>
      </w:r>
    </w:p>
    <w:p w:rsidR="00207775" w:rsidP="00207775" w:rsidRDefault="001B5AE2" w14:paraId="020E9778" w14:textId="55D08E9C">
      <w:pPr>
        <w:pStyle w:val="zGTC04"/>
      </w:pPr>
      <w:r w:rsidRPr="00341121">
        <w:t xml:space="preserve">Any Initial Tariff Notice must: (A) identify the applicable </w:t>
      </w:r>
      <w:r w:rsidR="008D0A48">
        <w:t>Tariff</w:t>
      </w:r>
      <w:r w:rsidRPr="00341121">
        <w:t xml:space="preserve">; (B) provide evidence that the </w:t>
      </w:r>
      <w:r w:rsidR="008D0A48">
        <w:t>Tariff</w:t>
      </w:r>
      <w:r w:rsidRPr="00341121">
        <w:t xml:space="preserve"> applies to the Facility; (C) identify the incremental cost to Seller, including </w:t>
      </w:r>
      <w:r w:rsidRPr="00341121">
        <w:lastRenderedPageBreak/>
        <w:t>identification and substantiation of Seller’s baseline cost before the Change of Law; and (D) include applicable vendor and governmental authority documentation.</w:t>
      </w:r>
      <w:r w:rsidR="00207775">
        <w:t xml:space="preserve"> </w:t>
      </w:r>
    </w:p>
    <w:p w:rsidR="00BE2F21" w:rsidP="00207775" w:rsidRDefault="00AB0332" w14:paraId="24F3DB78" w14:textId="3CFBE976">
      <w:pPr>
        <w:pStyle w:val="zGTC04"/>
      </w:pPr>
      <w:r w:rsidRPr="00341121">
        <w:t>For any Excess Expenditures resulting from changes in applicable Taxes, the Excess Expenditures Notice must: (A) identify the applicable Tax; (B) evidence that the change in Taxes apply directly to the Facility; (C) identify the incremental increase in Taxes, including identification and substantiation of Seller’s baseline Taxes assumptions before the Change of Law; and (D) include a written certification from an independent accounting firm certifying that the claimed loss is accurate.</w:t>
      </w:r>
      <w:r w:rsidR="00BE2F21">
        <w:t xml:space="preserve"> </w:t>
      </w:r>
    </w:p>
    <w:p w:rsidRPr="00540449" w:rsidR="002D54C4" w:rsidP="00207775" w:rsidRDefault="002D54C4" w14:paraId="72E37C56" w14:textId="27383833">
      <w:pPr>
        <w:pStyle w:val="zGTC04"/>
      </w:pPr>
      <w:r w:rsidRPr="00540449">
        <w:t xml:space="preserve"> </w:t>
      </w:r>
      <w:r w:rsidRPr="00341121" w:rsidR="0060356B">
        <w:t>For any Excess Expenditures comprised of additional Facility operating costs, the Excess Expenditures Notice must: (A) include a detailed explanation of the Change of Law’s impact on Facility operations and operating assumptions; (B) identify the incremental operating costs Seller will incur; (D) include any applicable contracts, invoices, and other documentation; and (E) include supporting calculations.</w:t>
      </w:r>
    </w:p>
    <w:p w:rsidR="0067771D" w:rsidP="0067771D" w:rsidRDefault="00C424CC" w14:paraId="7821A336" w14:textId="734A32BB">
      <w:pPr>
        <w:pStyle w:val="zGTC03"/>
      </w:pPr>
      <w:r w:rsidRPr="00341121">
        <w:t xml:space="preserve">The Excess Expenditures Notice must demonstrate that: (a) Seller’s proposed plan for complying with the Change of Law is reasonable and conforms with Prudent Industry Practices; and (b) all Excess Expenditures are reasonable, consistent with Prudent Industry Practices, required for compliance with the Change of Law, and otherwise comply with this </w:t>
      </w:r>
      <w:r w:rsidRPr="00C04CA7">
        <w:t>Section 17.1 (</w:t>
      </w:r>
      <w:r w:rsidRPr="00C04CA7">
        <w:rPr>
          <w:i/>
          <w:iCs/>
        </w:rPr>
        <w:t>Change of Law</w:t>
      </w:r>
      <w:r w:rsidRPr="00C04CA7">
        <w:t>).</w:t>
      </w:r>
      <w:r w:rsidRPr="00341121">
        <w:t xml:space="preserve"> In response to any Excess Expenditures Notice, GPC may request, and Seller must provide, any additional information or documentation reasonably necessary for GPC to evaluate and validate Excess Expenditures. </w:t>
      </w:r>
      <w:r w:rsidRPr="00B31D9F">
        <w:t xml:space="preserve">If Seller fails to timely deliver any required notice, supporting information, certification, or other substantiation required under this </w:t>
      </w:r>
      <w:r w:rsidRPr="00C04CA7">
        <w:t>Section 17.1,</w:t>
      </w:r>
      <w:r w:rsidRPr="00B31D9F">
        <w:t xml:space="preserve"> Seller will be deemed to have waived and released any claim to recover the applicable Excess Expenditures and any related right or entitlement arising from the applicable Change </w:t>
      </w:r>
      <w:r w:rsidR="00AD45F1">
        <w:t>of</w:t>
      </w:r>
      <w:r w:rsidRPr="00B31D9F">
        <w:t xml:space="preserve"> Law. </w:t>
      </w:r>
      <w:r>
        <w:t>GPC</w:t>
      </w:r>
      <w:r w:rsidRPr="00B31D9F">
        <w:t xml:space="preserve"> will have no obligation to consider, approve, or pay any untimely or unsupported claim.</w:t>
      </w:r>
      <w:r>
        <w:t xml:space="preserve"> </w:t>
      </w:r>
      <w:r w:rsidR="00E82FF9">
        <w:t xml:space="preserve"> </w:t>
      </w:r>
      <w:r w:rsidRPr="00341121" w:rsidR="003C2F3A">
        <w:rPr>
          <w:b/>
          <w:bCs/>
        </w:rPr>
        <w:t>GPC Review; ACP Adjustment</w:t>
      </w:r>
      <w:r w:rsidRPr="00341121" w:rsidR="003C2F3A">
        <w:t>. After receiving a timely and fully substantiated Excess Expenditures Notice, GPC will review the notice and evaluate Seller’s proposed ACP Adjustment. If Seller is entitled to recover Excess Expenditures, the Annual Capacity Price will be increased by a fixed amount ($/kW-year) to recover the approved Excess Expenditures (“</w:t>
      </w:r>
      <w:r w:rsidRPr="00341121" w:rsidR="003C2F3A">
        <w:rPr>
          <w:b/>
          <w:bCs/>
        </w:rPr>
        <w:t>ACP Adjustment</w:t>
      </w:r>
      <w:r w:rsidRPr="00341121" w:rsidR="003C2F3A">
        <w:t xml:space="preserve">”). The ACP Adjustment will begin in the Annual Period in which Seller first incurs Excess Expenditures and will be prorated for the remainder of the Term, subject to any applicable not-to-exceed amount and reconciliation. If the Parties are unable to agree on the ACP Adjustment (including the methodology or inputs) by a date that allows GPC to timely deliver the Election Notice in accordance with </w:t>
      </w:r>
      <w:r w:rsidRPr="00D229DC" w:rsidR="003C2F3A">
        <w:t xml:space="preserve">Section </w:t>
      </w:r>
      <w:r w:rsidRPr="00D229DC" w:rsidR="00CF2F68">
        <w:t>17.1.5</w:t>
      </w:r>
      <w:r w:rsidRPr="00D229DC" w:rsidR="00231D50">
        <w:t xml:space="preserve"> (</w:t>
      </w:r>
      <w:r w:rsidRPr="00D229DC" w:rsidR="00231D50">
        <w:rPr>
          <w:i/>
          <w:iCs/>
        </w:rPr>
        <w:t>GPC Election; Objection Period</w:t>
      </w:r>
      <w:r w:rsidRPr="00D229DC" w:rsidR="00231D50">
        <w:t>)</w:t>
      </w:r>
      <w:r w:rsidRPr="00D229DC" w:rsidR="003C2F3A">
        <w:t>,</w:t>
      </w:r>
      <w:r w:rsidRPr="00341121" w:rsidR="003C2F3A">
        <w:t xml:space="preserve"> then GPC may, for purposes of meeting the GPC Election Deadline, deliver an Election Notice that (a) accepts Seller’s request subject to the Parties’ subsequent agreement on the ACP Adjustment, or (b) rejects Seller’s request, in each case without waiver of either Party’s rights under this </w:t>
      </w:r>
      <w:r w:rsidRPr="00D229DC" w:rsidR="003C2F3A">
        <w:t>Part 17</w:t>
      </w:r>
      <w:r w:rsidRPr="00D229DC" w:rsidR="00C178FE">
        <w:t xml:space="preserve"> (</w:t>
      </w:r>
      <w:r w:rsidRPr="00D229DC" w:rsidR="00C178FE">
        <w:rPr>
          <w:i/>
          <w:iCs/>
        </w:rPr>
        <w:t>Compliance with Laws</w:t>
      </w:r>
      <w:r w:rsidRPr="00D229DC" w:rsidR="00C178FE">
        <w:t>)</w:t>
      </w:r>
      <w:r w:rsidRPr="00D229DC" w:rsidR="003C2F3A">
        <w:t>.</w:t>
      </w:r>
      <w:r w:rsidRPr="00341121" w:rsidR="003C2F3A">
        <w:t xml:space="preserve"> Subject to </w:t>
      </w:r>
      <w:r w:rsidRPr="00D229DC" w:rsidR="003C2F3A">
        <w:t xml:space="preserve">Section </w:t>
      </w:r>
      <w:r w:rsidRPr="00D229DC" w:rsidR="00CF2F68">
        <w:t>17.1.5</w:t>
      </w:r>
      <w:r w:rsidRPr="00D229DC" w:rsidR="003C2F3A">
        <w:t>,</w:t>
      </w:r>
      <w:r w:rsidRPr="00341121" w:rsidR="003C2F3A">
        <w:t xml:space="preserve"> the ACP Adjustment will be calculated as follows:</w:t>
      </w:r>
    </w:p>
    <w:p w:rsidR="003A2744" w:rsidP="003A2744" w:rsidRDefault="00ED3782" w14:paraId="08B3127C" w14:textId="42044D9D">
      <w:pPr>
        <w:pStyle w:val="zGTC04"/>
      </w:pPr>
      <w:r w:rsidRPr="00341121">
        <w:t xml:space="preserve">For Excess Expenditures comprised of capital expenditures, the ACP Adjustment will be based on substantiated capital expenditures required to comply with the Change of Law. Substantiated Excess Expenditures will be converted into a per-kW amount by dividing the amount by the Contracted Capacity (kW) and then annualized over the remaining Term using a fixed charge rate consistent with generally accepted project finance methodologies and otherwise reasonably acceptable to GPC. GPC will include in its Election Notice a fixed not-to-exceed ACP Adjustment, which will be final and may not be rescinded except to the extent (a) Seller fails to fully substantiate its Initial Capital Expenditures Notice as described in </w:t>
      </w:r>
      <w:r w:rsidRPr="00D229DC">
        <w:t xml:space="preserve">Section </w:t>
      </w:r>
      <w:r w:rsidRPr="00D229DC" w:rsidR="0074615F">
        <w:t>17.1.3</w:t>
      </w:r>
      <w:r w:rsidRPr="00D229DC">
        <w:t>(iii)</w:t>
      </w:r>
      <w:r w:rsidRPr="00D229DC" w:rsidR="0074615F">
        <w:t xml:space="preserve"> (</w:t>
      </w:r>
      <w:r w:rsidRPr="00D229DC" w:rsidR="0074615F">
        <w:rPr>
          <w:i/>
          <w:iCs/>
        </w:rPr>
        <w:t>GPC Review; ACP Adjustment</w:t>
      </w:r>
      <w:r w:rsidRPr="00D229DC" w:rsidR="0074615F">
        <w:t>)</w:t>
      </w:r>
      <w:r w:rsidRPr="00D229DC">
        <w:t>;</w:t>
      </w:r>
      <w:r w:rsidRPr="00341121">
        <w:t xml:space="preserve"> or (b) Commission approval is withheld or denied, if required by </w:t>
      </w:r>
      <w:r w:rsidRPr="00D229DC" w:rsidR="00AE0626">
        <w:t>S</w:t>
      </w:r>
      <w:r w:rsidRPr="00D229DC" w:rsidR="000D6B61">
        <w:t>ection 17.1.7 (</w:t>
      </w:r>
      <w:r w:rsidRPr="00D229DC" w:rsidR="000D6B61">
        <w:rPr>
          <w:i/>
          <w:iCs/>
        </w:rPr>
        <w:t>Exclusive Relief; Commission Approval</w:t>
      </w:r>
      <w:r w:rsidRPr="00D229DC" w:rsidR="000D6B61">
        <w:t>)</w:t>
      </w:r>
      <w:r w:rsidRPr="00D229DC">
        <w:t>.</w:t>
      </w:r>
      <w:r w:rsidRPr="00341121">
        <w:t xml:space="preserve"> The not-to-exceed ACP Adjustment will represent the maximum and exclusive amount recoverable by Seller with respect to the Change of Law described in Seller’s Initial Capital Expenditures Notice, and Seller will not be entitled to recover any additional amount regardless of Seller’s actual incurred costs. By no later than 30 Days after the capital project described in the Initial Capital Expenditures Notice is complete, Seller must deliver to GPC a Final Capital Expenditures Notice substantiating the actual Excess Expenditures </w:t>
      </w:r>
      <w:r w:rsidRPr="00341121">
        <w:lastRenderedPageBreak/>
        <w:t>incurred by Seller. By no later than 60 Days after receipt of the Final Capital Expenditures Notice, GPC will deliver a final notice to Seller either: (a) confirming the not-to-exceed ACP Adjustment; or (b) proposing a reduced ACP Adjustment if GPC reasonably determines, based on its review of Seller’s Final Capital Expenditures Notice, that a lower adjustment is appropriate. If GPC provides notice that a reduced adjustment is appropriate, GPC and Seller will confer in good faith to mutually agree to an ACP Adjustment that is less than the not-to-exceed ACP Adjustment.</w:t>
      </w:r>
      <w:r w:rsidR="003A2744">
        <w:t xml:space="preserve"> </w:t>
      </w:r>
    </w:p>
    <w:p w:rsidR="003A2744" w:rsidP="003A2744" w:rsidRDefault="00D14C31" w14:paraId="49D43153" w14:textId="7C0B6E90">
      <w:pPr>
        <w:pStyle w:val="zGTC04"/>
      </w:pPr>
      <w:r w:rsidRPr="00341121">
        <w:t xml:space="preserve">For Excess Expenditures comprised of </w:t>
      </w:r>
      <w:r w:rsidR="00D5711B">
        <w:t>Tariffs</w:t>
      </w:r>
      <w:r w:rsidRPr="00341121">
        <w:t xml:space="preserve">, the ACP Adjustment will be based on substantiated incremental </w:t>
      </w:r>
      <w:r w:rsidR="00D5711B">
        <w:t>Tariff</w:t>
      </w:r>
      <w:r w:rsidRPr="00341121" w:rsidR="00D5711B">
        <w:t xml:space="preserve"> </w:t>
      </w:r>
      <w:r w:rsidRPr="00341121">
        <w:t xml:space="preserve">costs caused by the Change </w:t>
      </w:r>
      <w:r w:rsidR="00AD45F1">
        <w:t>of</w:t>
      </w:r>
      <w:r w:rsidRPr="00341121">
        <w:t xml:space="preserve"> Law. Substantiated Excess Expenditures will be converted into a per-kW amount by dividing the amount by the Contracted Capacity (kW) and then prorating it over the remaining Term. GPC will include in its Election Notice a fixed not-to-exceed ACP Adjustment, which will be final and may not be rescinded except to the extent (a) Seller fails to fully substantiate its Initial Tariff Notice as described in </w:t>
      </w:r>
      <w:r w:rsidRPr="00327158">
        <w:t xml:space="preserve">Section </w:t>
      </w:r>
      <w:r w:rsidRPr="00327158" w:rsidR="000D6B61">
        <w:t>17.1.3</w:t>
      </w:r>
      <w:r w:rsidRPr="00327158">
        <w:t>(iii)</w:t>
      </w:r>
      <w:r w:rsidRPr="00327158" w:rsidR="000D6B61">
        <w:t xml:space="preserve"> (</w:t>
      </w:r>
      <w:r w:rsidRPr="00327158" w:rsidR="000D6B61">
        <w:rPr>
          <w:i/>
          <w:iCs/>
        </w:rPr>
        <w:t>GPC Review; ACP Adjustment</w:t>
      </w:r>
      <w:r w:rsidRPr="00327158" w:rsidR="000D6B61">
        <w:t>)</w:t>
      </w:r>
      <w:r w:rsidRPr="00327158">
        <w:t>;</w:t>
      </w:r>
      <w:r w:rsidRPr="00341121">
        <w:t xml:space="preserve"> or (b) Commission approval is withheld or denied, if required by </w:t>
      </w:r>
      <w:r w:rsidRPr="00327158" w:rsidR="000D6B61">
        <w:t>Section 17.1.7 (</w:t>
      </w:r>
      <w:r w:rsidRPr="00327158" w:rsidR="000D6B61">
        <w:rPr>
          <w:i/>
          <w:iCs/>
        </w:rPr>
        <w:t>Exclusive Relief; Commission Approval</w:t>
      </w:r>
      <w:r w:rsidRPr="00327158" w:rsidR="000D6B61">
        <w:t>)</w:t>
      </w:r>
      <w:r w:rsidRPr="00327158">
        <w:t>.</w:t>
      </w:r>
      <w:r w:rsidRPr="00341121">
        <w:t xml:space="preserve"> The not-to-exceed ACP Adjustment will represent the maximum and exclusive amount recoverable by Seller with respect to the Change of Law described in Seller’s Initial Tariff Notice, and Seller will not be entitled to recover any additional amount regardless of Seller’s actual incurred costs. By no later than 30 Days after delivery at the Site of all equipment or other goods described in the Initial Tariff Notice, Seller must deliver to GPC a Final Tariff Notice substantiating the actual Excess Expenditures incurred by Seller. By no later than 60 Days after receipt of the Final Tariff Notice, GPC will deliver a final notice to Seller either: (a) confirming the not-to-exceed ACP Adjustment; or (b) proposing a reduced ACP Adjustment if GPC reasonably determines, based on its review of Seller’s Final Tariff Notice, that a lower adjustment is appropriate. If GPC provides notice that a reduced ACP Adjustment is appropriate, GPC and Seller will confer in good faith to mutually agree to an ACP Adjustment that is less than the not-to-exceed ACP Adjustment.</w:t>
      </w:r>
    </w:p>
    <w:p w:rsidR="00D14C31" w:rsidP="003A2744" w:rsidRDefault="004F030D" w14:paraId="26786DBD" w14:textId="09046849">
      <w:pPr>
        <w:pStyle w:val="zGTC04"/>
      </w:pPr>
      <w:r w:rsidRPr="00341121">
        <w:t xml:space="preserve">For Excess Expenditures comprised of Taxes arising from any loss, reduction, or elimination of tax credits, incentives, or other governmental benefits, the ACP Adjustment will be based on the actual loss, reduction, or elimination caused by the Change </w:t>
      </w:r>
      <w:r w:rsidR="00AD45F1">
        <w:t>of</w:t>
      </w:r>
      <w:r w:rsidRPr="00341121">
        <w:t xml:space="preserve"> Law. The amount will be determined by comparing the tax credits, incentives, or benefits that would have been available to and claimed by Seller in the absence of the Change </w:t>
      </w:r>
      <w:r w:rsidR="00AD45F1">
        <w:t>of</w:t>
      </w:r>
      <w:r w:rsidRPr="00341121">
        <w:t xml:space="preserve"> Law to those available to Seller after the Change </w:t>
      </w:r>
      <w:r w:rsidR="00AD45F1">
        <w:t>of</w:t>
      </w:r>
      <w:r w:rsidRPr="00341121">
        <w:t xml:space="preserve"> Law. The value of the loss, reduction, or elimination must be reasonably supported by the substantiation provided in the Excess Expenditures Notice and must be certified by an independent accounting professional as accurately reflecting the value of the loss, reduction, or elimination incurred by Seller. The resulting amount will be converted into an ACP Adjustment without markup or return.</w:t>
      </w:r>
    </w:p>
    <w:p w:rsidR="00D14C31" w:rsidP="003A2744" w:rsidRDefault="00617B13" w14:paraId="4F50764D" w14:textId="6149F56B">
      <w:pPr>
        <w:pStyle w:val="zGTC04"/>
      </w:pPr>
      <w:r w:rsidRPr="00341121">
        <w:t>For Excess Expenditure comprised of operating costs, the ACP Adjustment will be based on the additional operating costs substantiated by the Excess Expenditures Notice and using assumptions consistent with Prudent Industry Practice and reasonably acceptable to GPC. Substantiated Excess Expenditures will be converted into an ACP Adjustment without markup or return.</w:t>
      </w:r>
    </w:p>
    <w:p w:rsidR="00E82FF9" w:rsidP="0067771D" w:rsidRDefault="00134AD9" w14:paraId="512EE819" w14:textId="21B4A03B">
      <w:pPr>
        <w:pStyle w:val="zGTC03"/>
      </w:pPr>
      <w:r>
        <w:rPr>
          <w:b/>
          <w:bCs/>
        </w:rPr>
        <w:t xml:space="preserve">Mitigation; </w:t>
      </w:r>
      <w:r w:rsidRPr="00DB5825" w:rsidR="0004402A">
        <w:rPr>
          <w:b/>
          <w:bCs/>
        </w:rPr>
        <w:t xml:space="preserve">Operational Alternatives. </w:t>
      </w:r>
      <w:r w:rsidRPr="00134AD9">
        <w:rPr>
          <w:bCs/>
        </w:rPr>
        <w:t xml:space="preserve">Seller must use commercially reasonable efforts, consistent with Prudent Industry Practices, to avoid, minimize, and mitigate any Excess Expenditure arising from a Change of Law. Seller must take reasonable steps to evaluate and propose available Operational Alternatives, seek available exemptions, credits, rebates, or other relief, and avoid incurring unnecessary or avoidable costs. Excess Expenditures will exclude any amount to the extent resulting from Seller’s failure to comply with this </w:t>
      </w:r>
      <w:r w:rsidRPr="00327158">
        <w:rPr>
          <w:bCs/>
        </w:rPr>
        <w:t>Section 17.1.4 (</w:t>
      </w:r>
      <w:r w:rsidRPr="00327158">
        <w:rPr>
          <w:bCs/>
          <w:i/>
          <w:iCs/>
        </w:rPr>
        <w:t>Mitigation; Operational Alternatives</w:t>
      </w:r>
      <w:r w:rsidRPr="00327158">
        <w:rPr>
          <w:bCs/>
        </w:rPr>
        <w:t>),</w:t>
      </w:r>
      <w:r w:rsidRPr="00134AD9">
        <w:rPr>
          <w:bCs/>
        </w:rPr>
        <w:t xml:space="preserve"> and GPC will have no obligation to pay or include those amounts in any ACP Adjustment or termination payment.</w:t>
      </w:r>
      <w:r>
        <w:rPr>
          <w:b/>
        </w:rPr>
        <w:t xml:space="preserve"> </w:t>
      </w:r>
      <w:r w:rsidRPr="00DB5825" w:rsidR="0004402A">
        <w:t xml:space="preserve">Despite any other provision of this </w:t>
      </w:r>
      <w:r w:rsidRPr="00327158" w:rsidR="0004402A">
        <w:t>Section 17.1 (</w:t>
      </w:r>
      <w:r w:rsidRPr="00327158" w:rsidR="0004402A">
        <w:rPr>
          <w:i/>
          <w:iCs/>
        </w:rPr>
        <w:t>Change of Law</w:t>
      </w:r>
      <w:r w:rsidRPr="00327158" w:rsidR="0004402A">
        <w:t>),</w:t>
      </w:r>
      <w:r w:rsidRPr="00DB5825" w:rsidR="0004402A">
        <w:t xml:space="preserve"> if Seller submits an Excess Expenditures Notice or otherwise seeks recovery of Excess Expenditures, GPC may, in lieu of approving all or any portion of the requested ACP Adjustment or other recovery, require Seller to implement one or more reasonable Operational Alternatives designed to comply with the applicable Change </w:t>
      </w:r>
      <w:r w:rsidR="009D5A37">
        <w:t>of</w:t>
      </w:r>
      <w:r w:rsidRPr="00DB5825" w:rsidR="0004402A">
        <w:t xml:space="preserve"> Law </w:t>
      </w:r>
      <w:r w:rsidRPr="00DB5825" w:rsidR="0004402A">
        <w:lastRenderedPageBreak/>
        <w:t>while avoiding or reducing such Excess Expenditures.</w:t>
      </w:r>
      <w:r w:rsidR="0004402A">
        <w:t xml:space="preserve"> </w:t>
      </w:r>
      <w:r w:rsidRPr="00DB5825" w:rsidR="0004402A">
        <w:t xml:space="preserve">Operational </w:t>
      </w:r>
      <w:r w:rsidR="0004402A">
        <w:t>A</w:t>
      </w:r>
      <w:r w:rsidRPr="00DB5825" w:rsidR="0004402A">
        <w:t xml:space="preserve">lternatives may include changes to operating procedures, dispatch practices, maintenance scheduling, </w:t>
      </w:r>
      <w:r w:rsidRPr="00327158" w:rsidR="00A42C5A">
        <w:t>charging or discharging profiles,</w:t>
      </w:r>
      <w:r w:rsidRPr="00327158" w:rsidR="0004402A">
        <w:t>[cycling limits,</w:t>
      </w:r>
      <w:r w:rsidRPr="00DB5825" w:rsidR="0004402A">
        <w:t xml:space="preserve"> monitoring or reporting processes, or other non-capital operational measures that do not require material modification of the Facility. Seller must implement any </w:t>
      </w:r>
      <w:r w:rsidR="0004402A">
        <w:t>O</w:t>
      </w:r>
      <w:r w:rsidRPr="00DB5825" w:rsidR="0004402A">
        <w:t xml:space="preserve">perational </w:t>
      </w:r>
      <w:r w:rsidR="0004402A">
        <w:t>A</w:t>
      </w:r>
      <w:r w:rsidRPr="00DB5825" w:rsidR="0004402A">
        <w:t xml:space="preserve">lternative directed by </w:t>
      </w:r>
      <w:r w:rsidR="0004402A">
        <w:t>GPC</w:t>
      </w:r>
      <w:r w:rsidRPr="00DB5825" w:rsidR="0004402A">
        <w:t xml:space="preserve"> within a commercially reasonable period, provided that such </w:t>
      </w:r>
      <w:r w:rsidR="008A49F6">
        <w:t>O</w:t>
      </w:r>
      <w:r w:rsidRPr="00DB5825" w:rsidR="0004402A">
        <w:t xml:space="preserve">perational </w:t>
      </w:r>
      <w:r w:rsidR="008A49F6">
        <w:t>A</w:t>
      </w:r>
      <w:r w:rsidRPr="00DB5825" w:rsidR="0004402A">
        <w:t xml:space="preserve">lternative: (i) permits continued compliance with applicable </w:t>
      </w:r>
      <w:r w:rsidR="0004402A">
        <w:t>l</w:t>
      </w:r>
      <w:r w:rsidRPr="00DB5825" w:rsidR="0004402A">
        <w:t xml:space="preserve">aw, (ii) does not materially impair the safe and prudent operation of the Facility, and (iii) does not require Seller to violate any </w:t>
      </w:r>
      <w:r w:rsidR="00AD33CF">
        <w:t>P</w:t>
      </w:r>
      <w:r w:rsidRPr="00DB5825" w:rsidR="0004402A">
        <w:t>ermit, interconnection requirement, or reliability standard.</w:t>
      </w:r>
      <w:r w:rsidR="0004402A">
        <w:t xml:space="preserve"> </w:t>
      </w:r>
      <w:r w:rsidRPr="00C65B32" w:rsidR="0004402A">
        <w:t xml:space="preserve">If </w:t>
      </w:r>
      <w:r w:rsidR="0004402A">
        <w:t>GPC</w:t>
      </w:r>
      <w:r w:rsidRPr="00C65B32" w:rsidR="0004402A">
        <w:t xml:space="preserve"> requires an </w:t>
      </w:r>
      <w:r w:rsidR="0004402A">
        <w:t>O</w:t>
      </w:r>
      <w:r w:rsidRPr="00C65B32" w:rsidR="0004402A">
        <w:t xml:space="preserve">perational </w:t>
      </w:r>
      <w:r w:rsidR="0004402A">
        <w:t>A</w:t>
      </w:r>
      <w:r w:rsidRPr="00C65B32" w:rsidR="0004402A">
        <w:t xml:space="preserve">lternative under this Section, </w:t>
      </w:r>
      <w:r w:rsidR="0004402A">
        <w:t>GPC</w:t>
      </w:r>
      <w:r w:rsidRPr="00C65B32" w:rsidR="0004402A">
        <w:t xml:space="preserve"> will be responsible only for the incremental direct, out-of-pocket operating costs reasonably incurred by Seller solely as a result of implementing the </w:t>
      </w:r>
      <w:r w:rsidR="0004402A">
        <w:t>O</w:t>
      </w:r>
      <w:r w:rsidRPr="00C65B32" w:rsidR="0004402A">
        <w:t xml:space="preserve">perational </w:t>
      </w:r>
      <w:r w:rsidR="0004402A">
        <w:t>A</w:t>
      </w:r>
      <w:r w:rsidRPr="00C65B32" w:rsidR="0004402A">
        <w:t xml:space="preserve">lternative, to the extent approved by </w:t>
      </w:r>
      <w:r w:rsidR="0004402A">
        <w:t>GPC</w:t>
      </w:r>
      <w:r w:rsidRPr="00C65B32" w:rsidR="0004402A">
        <w:t xml:space="preserve">. Seller will not be entitled to recover any avoided capital expenditures, avoided Taxes, avoided tariffs, lost profits, financing costs, or any other Excess Expenditures that would have been incurred absent the </w:t>
      </w:r>
      <w:r w:rsidR="002C74F7">
        <w:t>O</w:t>
      </w:r>
      <w:r w:rsidRPr="00C65B32" w:rsidR="0004402A">
        <w:t xml:space="preserve">perational </w:t>
      </w:r>
      <w:r w:rsidR="002C74F7">
        <w:t>A</w:t>
      </w:r>
      <w:r w:rsidRPr="00C65B32" w:rsidR="0004402A">
        <w:t>lternative.</w:t>
      </w:r>
      <w:r w:rsidR="0004402A">
        <w:t xml:space="preserve"> If any Operational Alternative is accepted by GPC or otherwise requested by GPC that impacts Seller’s ability to achieve required availability or other Facility performance requirements, the Parties will confer in good faith to agree to corresponding adjustments to those performance requirements.</w:t>
      </w:r>
      <w:r w:rsidR="00E82FF9">
        <w:t xml:space="preserve"> </w:t>
      </w:r>
    </w:p>
    <w:p w:rsidR="00E82FF9" w:rsidP="0067771D" w:rsidRDefault="00E82FF9" w14:paraId="4C93B4C4" w14:textId="6A2DAB14">
      <w:pPr>
        <w:pStyle w:val="zGTC03"/>
      </w:pPr>
      <w:r>
        <w:t xml:space="preserve"> </w:t>
      </w:r>
      <w:r w:rsidRPr="00341121" w:rsidR="00E3016F">
        <w:rPr>
          <w:b/>
          <w:bCs/>
        </w:rPr>
        <w:t xml:space="preserve">GPC Election; Objection Period. </w:t>
      </w:r>
      <w:r w:rsidR="00E3016F">
        <w:t>In response to an Excess Expenditures Notice, GPC m</w:t>
      </w:r>
      <w:r w:rsidR="0016203A">
        <w:t>a</w:t>
      </w:r>
      <w:r w:rsidR="00E3016F">
        <w:t xml:space="preserve">y elect to either: (i) agree to </w:t>
      </w:r>
      <w:r w:rsidRPr="00B446FF" w:rsidR="00E3016F">
        <w:t xml:space="preserve">accept an ACP </w:t>
      </w:r>
      <w:r w:rsidR="00E3016F">
        <w:t>A</w:t>
      </w:r>
      <w:r w:rsidRPr="00B446FF" w:rsidR="00E3016F">
        <w:t xml:space="preserve">djustment </w:t>
      </w:r>
      <w:r w:rsidR="00E3016F">
        <w:t>and/or Operational Alternatives; or (ii) terminate this PPA.</w:t>
      </w:r>
      <w:r w:rsidRPr="00B446FF" w:rsidR="00E3016F">
        <w:t xml:space="preserve"> </w:t>
      </w:r>
      <w:r w:rsidRPr="00341121" w:rsidR="00E3016F">
        <w:t xml:space="preserve">After receipt of an Excess Expenditures Notice submitted and substantiated in accordance with this </w:t>
      </w:r>
      <w:r w:rsidRPr="00327158" w:rsidR="00E3016F">
        <w:t>Section 17.1 (</w:t>
      </w:r>
      <w:r w:rsidRPr="00327158" w:rsidR="00E3016F">
        <w:rPr>
          <w:i/>
          <w:iCs/>
        </w:rPr>
        <w:t>Change of Law</w:t>
      </w:r>
      <w:r w:rsidRPr="00327158" w:rsidR="00E3016F">
        <w:t>),</w:t>
      </w:r>
      <w:r w:rsidRPr="00341121" w:rsidR="00E3016F">
        <w:t xml:space="preserve"> and by no later than the applicable GPC Election Deadline, GPC will provide its GPC Election Notice to Seller. If GPC elects, in its sole discretion, to terminate this PPA, GPC will state in its GPC Election Notice </w:t>
      </w:r>
      <w:r w:rsidR="00E3016F">
        <w:t>any</w:t>
      </w:r>
      <w:r w:rsidRPr="00341121" w:rsidR="00E3016F">
        <w:t xml:space="preserve"> termination payment to be paid to Seller, as </w:t>
      </w:r>
      <w:r w:rsidR="00E3016F">
        <w:t>determined</w:t>
      </w:r>
      <w:r w:rsidRPr="00341121" w:rsidR="00E3016F">
        <w:t xml:space="preserve"> in accordance with </w:t>
      </w:r>
      <w:r w:rsidRPr="00327158" w:rsidR="00E3016F">
        <w:t xml:space="preserve">Section </w:t>
      </w:r>
      <w:r w:rsidRPr="00327158" w:rsidR="00EF0A4F">
        <w:t>17.1.6</w:t>
      </w:r>
      <w:r w:rsidRPr="00327158" w:rsidR="00E3016F">
        <w:t xml:space="preserve"> (</w:t>
      </w:r>
      <w:r w:rsidRPr="00327158" w:rsidR="00E3016F">
        <w:rPr>
          <w:i/>
          <w:iCs/>
        </w:rPr>
        <w:t>Change of Law Termination</w:t>
      </w:r>
      <w:r w:rsidRPr="00327158" w:rsidR="00E3016F">
        <w:t>).</w:t>
      </w:r>
      <w:r w:rsidRPr="00341121" w:rsidR="00E3016F">
        <w:t xml:space="preserve"> Any election made by GPC is conditioned on GPC’s receipt of Commission approval, as contemplated by </w:t>
      </w:r>
      <w:r w:rsidRPr="00327158" w:rsidR="00E3016F">
        <w:t xml:space="preserve">Section </w:t>
      </w:r>
      <w:r w:rsidRPr="00327158" w:rsidR="00235E2E">
        <w:t>17.</w:t>
      </w:r>
      <w:r w:rsidRPr="00327158" w:rsidR="00327158">
        <w:t>1</w:t>
      </w:r>
      <w:r w:rsidRPr="00327158" w:rsidR="00235E2E">
        <w:t>.7</w:t>
      </w:r>
      <w:r w:rsidRPr="00327158" w:rsidR="00E3016F">
        <w:t xml:space="preserve"> (</w:t>
      </w:r>
      <w:r w:rsidRPr="00327158" w:rsidR="00E3016F">
        <w:rPr>
          <w:i/>
          <w:iCs/>
        </w:rPr>
        <w:t>Exclusive Relief; Commission Approval</w:t>
      </w:r>
      <w:r w:rsidRPr="00327158" w:rsidR="00E3016F">
        <w:t>),</w:t>
      </w:r>
      <w:r w:rsidRPr="00341121" w:rsidR="00E3016F">
        <w:t xml:space="preserve"> and GPC will have no liability to Seller for GPC’s election until Commission approval is received. By no later than 15 Days after receipt of the GPC Election Notice, Seller may object to any ACP Adjustment stated in the GPC Election Notice by notice delivered to GPC describing in reasonable detail the basis for Seller’s objection. If Seller does not deliver a timely objection, Seller will be deemed to have accepted the ACP Adjustment. After the expiration of any applicable objection period, GPC will seek Commission approval of GPC’s election as contemplated by </w:t>
      </w:r>
      <w:r w:rsidRPr="00327158" w:rsidR="00E3016F">
        <w:t>Section 17.1.7.</w:t>
      </w:r>
    </w:p>
    <w:p w:rsidRPr="002575D8" w:rsidR="00E82FF9" w:rsidP="0067771D" w:rsidRDefault="00E82FF9" w14:paraId="3C5E1169" w14:textId="4A07B961">
      <w:pPr>
        <w:pStyle w:val="zGTC03"/>
      </w:pPr>
      <w:r>
        <w:t xml:space="preserve"> </w:t>
      </w:r>
      <w:r w:rsidRPr="00341121" w:rsidR="002575D8">
        <w:rPr>
          <w:b/>
          <w:bCs/>
        </w:rPr>
        <w:t>Change of Law Termination.</w:t>
      </w:r>
      <w:r w:rsidRPr="00341121" w:rsidR="002575D8">
        <w:rPr>
          <w:b/>
          <w:bCs/>
          <w:kern w:val="0"/>
        </w:rPr>
        <w:t xml:space="preserve"> </w:t>
      </w:r>
      <w:r w:rsidRPr="00341121" w:rsidR="002575D8">
        <w:rPr>
          <w:kern w:val="0"/>
        </w:rPr>
        <w:t xml:space="preserve">Subject to </w:t>
      </w:r>
      <w:r w:rsidRPr="00327158" w:rsidR="002575D8">
        <w:rPr>
          <w:kern w:val="0"/>
        </w:rPr>
        <w:t xml:space="preserve">Section </w:t>
      </w:r>
      <w:r w:rsidRPr="00327158" w:rsidR="008E6434">
        <w:rPr>
          <w:kern w:val="0"/>
        </w:rPr>
        <w:t>17.1.7</w:t>
      </w:r>
      <w:r w:rsidRPr="00327158" w:rsidR="002575D8">
        <w:rPr>
          <w:kern w:val="0"/>
        </w:rPr>
        <w:t xml:space="preserve"> (</w:t>
      </w:r>
      <w:r w:rsidRPr="00327158" w:rsidR="002575D8">
        <w:rPr>
          <w:i/>
          <w:iCs/>
          <w:kern w:val="0"/>
        </w:rPr>
        <w:t>Exclusive Relief; Commission Approval</w:t>
      </w:r>
      <w:r w:rsidRPr="00327158" w:rsidR="002575D8">
        <w:rPr>
          <w:kern w:val="0"/>
        </w:rPr>
        <w:t>),</w:t>
      </w:r>
      <w:r w:rsidRPr="00341121" w:rsidR="002575D8">
        <w:rPr>
          <w:kern w:val="0"/>
        </w:rPr>
        <w:t xml:space="preserve"> if </w:t>
      </w:r>
      <w:r w:rsidR="002575D8">
        <w:rPr>
          <w:kern w:val="0"/>
        </w:rPr>
        <w:t xml:space="preserve">the Facility has achieved Commercial Operation and </w:t>
      </w:r>
      <w:r w:rsidRPr="00341121" w:rsidR="002575D8">
        <w:rPr>
          <w:kern w:val="0"/>
        </w:rPr>
        <w:t xml:space="preserve">GPC elects to terminate this </w:t>
      </w:r>
      <w:r w:rsidR="008D1EC6">
        <w:rPr>
          <w:kern w:val="0"/>
        </w:rPr>
        <w:t>PPA</w:t>
      </w:r>
      <w:r w:rsidRPr="00341121" w:rsidR="002575D8">
        <w:rPr>
          <w:kern w:val="0"/>
        </w:rPr>
        <w:t xml:space="preserve"> in lieu of accepting an ACP Adjustment, </w:t>
      </w:r>
      <w:r w:rsidR="002575D8">
        <w:rPr>
          <w:kern w:val="0"/>
        </w:rPr>
        <w:t>GPC will pay to Seller a</w:t>
      </w:r>
      <w:r w:rsidRPr="00341121" w:rsidR="002575D8">
        <w:rPr>
          <w:kern w:val="0"/>
        </w:rPr>
        <w:t xml:space="preserve"> termination payment calculated per the formula set forth in </w:t>
      </w:r>
      <w:r w:rsidRPr="00327158" w:rsidR="002575D8">
        <w:rPr>
          <w:kern w:val="0"/>
        </w:rPr>
        <w:t xml:space="preserve">Section </w:t>
      </w:r>
      <w:r w:rsidRPr="00327158" w:rsidR="008E6434">
        <w:rPr>
          <w:kern w:val="0"/>
        </w:rPr>
        <w:t>17.1.6(i)</w:t>
      </w:r>
      <w:r w:rsidRPr="00327158" w:rsidR="002575D8">
        <w:rPr>
          <w:kern w:val="0"/>
        </w:rPr>
        <w:t>.</w:t>
      </w:r>
      <w:r w:rsidRPr="00341121" w:rsidR="002575D8">
        <w:rPr>
          <w:kern w:val="0"/>
        </w:rPr>
        <w:t xml:space="preserve"> The termination payment will be Seller’s sole and exclusive remedy arising from or relating to GPC’s termination of th</w:t>
      </w:r>
      <w:r w:rsidR="00C745EE">
        <w:rPr>
          <w:kern w:val="0"/>
        </w:rPr>
        <w:t>is</w:t>
      </w:r>
      <w:r w:rsidRPr="00341121" w:rsidR="002575D8">
        <w:rPr>
          <w:kern w:val="0"/>
        </w:rPr>
        <w:t xml:space="preserve"> PPA, and, upon GPC’s payment of the termination payment, Seller will have no further right to payment, damages, or other recovery under this PPA arising from or relating to the termination o</w:t>
      </w:r>
      <w:r w:rsidR="002575D8">
        <w:rPr>
          <w:kern w:val="0"/>
        </w:rPr>
        <w:t>r</w:t>
      </w:r>
      <w:r w:rsidRPr="00341121" w:rsidR="002575D8">
        <w:rPr>
          <w:kern w:val="0"/>
        </w:rPr>
        <w:t xml:space="preserve"> any Change of Law. </w:t>
      </w:r>
      <w:r w:rsidR="002575D8">
        <w:rPr>
          <w:kern w:val="0"/>
        </w:rPr>
        <w:t>If the Facility has not achieved Commercial Operation by the effective date of termination, GPC will not owe any termination payment and may terminate this PPA in accordance with Section 17.1.6 (</w:t>
      </w:r>
      <w:r w:rsidRPr="00350CD3" w:rsidR="002575D8">
        <w:rPr>
          <w:i/>
          <w:iCs/>
          <w:kern w:val="0"/>
        </w:rPr>
        <w:t>GPC Election; Objection Period</w:t>
      </w:r>
      <w:r w:rsidR="002575D8">
        <w:rPr>
          <w:kern w:val="0"/>
        </w:rPr>
        <w:t xml:space="preserve">) without any liability to Seller. Upon termination under this </w:t>
      </w:r>
      <w:r w:rsidRPr="00327158" w:rsidR="002575D8">
        <w:rPr>
          <w:kern w:val="0"/>
        </w:rPr>
        <w:t>Section 17.1 (</w:t>
      </w:r>
      <w:r w:rsidRPr="00327158" w:rsidR="002575D8">
        <w:rPr>
          <w:i/>
          <w:iCs/>
          <w:kern w:val="0"/>
        </w:rPr>
        <w:t>Change of Law</w:t>
      </w:r>
      <w:r w:rsidRPr="00327158" w:rsidR="002575D8">
        <w:rPr>
          <w:kern w:val="0"/>
        </w:rPr>
        <w:t>)</w:t>
      </w:r>
      <w:r w:rsidR="002575D8">
        <w:rPr>
          <w:kern w:val="0"/>
        </w:rPr>
        <w:t xml:space="preserve"> and payment of the termination payment, if required and approved by the Commission</w:t>
      </w:r>
      <w:r w:rsidRPr="00341121" w:rsidR="002575D8">
        <w:rPr>
          <w:kern w:val="0"/>
        </w:rPr>
        <w:t>, neither Party will have any further liability under this PPA except for obligations that expressly survive termination.</w:t>
      </w:r>
    </w:p>
    <w:p w:rsidR="002575D8" w:rsidP="002575D8" w:rsidRDefault="004B3633" w14:paraId="1C2CF70A" w14:textId="6BFEE636">
      <w:pPr>
        <w:pStyle w:val="zGTC04"/>
      </w:pPr>
      <w:r>
        <w:t xml:space="preserve">Termination Payment = 0.25 x </w:t>
      </w:r>
      <w:r w:rsidR="002A0F25">
        <w:t xml:space="preserve">NPV (Remaining Capacity Payments) </w:t>
      </w:r>
      <w:r>
        <w:t>x Performance Adjustment</w:t>
      </w:r>
    </w:p>
    <w:p w:rsidR="00DA55F4" w:rsidP="00DA55F4" w:rsidRDefault="00DA55F4" w14:paraId="7B1EFD68" w14:textId="206EB437">
      <w:pPr>
        <w:pStyle w:val="zGTC04"/>
        <w:numPr>
          <w:ilvl w:val="0"/>
          <w:numId w:val="0"/>
        </w:numPr>
        <w:ind w:left="1440"/>
      </w:pPr>
      <w:r>
        <w:t xml:space="preserve">Where: </w:t>
      </w:r>
    </w:p>
    <w:p w:rsidR="00DA55F4" w:rsidP="004F7A76" w:rsidRDefault="00FA3C55" w14:paraId="3C7765E5" w14:textId="6DA71CF1">
      <w:pPr>
        <w:pStyle w:val="zGTC04"/>
        <w:numPr>
          <w:ilvl w:val="0"/>
          <w:numId w:val="0"/>
        </w:numPr>
        <w:ind w:left="2160"/>
        <w:rPr>
          <w:rFonts w:cs="Arial"/>
          <w:szCs w:val="20"/>
        </w:rPr>
      </w:pPr>
      <w:r w:rsidRPr="00341121">
        <w:rPr>
          <w:rFonts w:cs="Arial"/>
          <w:b/>
          <w:bCs/>
          <w:szCs w:val="20"/>
        </w:rPr>
        <w:t>NPV</w:t>
      </w:r>
      <w:r w:rsidRPr="00341121">
        <w:rPr>
          <w:rFonts w:cs="Arial"/>
          <w:szCs w:val="20"/>
        </w:rPr>
        <w:t xml:space="preserve"> = </w:t>
      </w:r>
      <w:r w:rsidR="002C2F12">
        <w:rPr>
          <w:rFonts w:cs="Arial"/>
          <w:szCs w:val="20"/>
        </w:rPr>
        <w:t xml:space="preserve">the </w:t>
      </w:r>
      <w:r w:rsidRPr="00341121">
        <w:rPr>
          <w:rFonts w:cs="Arial"/>
          <w:szCs w:val="20"/>
        </w:rPr>
        <w:t>net present value</w:t>
      </w:r>
      <w:r w:rsidR="008D2D8F">
        <w:rPr>
          <w:rFonts w:cs="Arial"/>
          <w:szCs w:val="20"/>
        </w:rPr>
        <w:t>,</w:t>
      </w:r>
      <w:r w:rsidRPr="00D62F40" w:rsidR="008D2D8F">
        <w:t xml:space="preserve"> </w:t>
      </w:r>
      <w:r w:rsidRPr="00D62F40" w:rsidR="008D2D8F">
        <w:rPr>
          <w:rFonts w:cs="Arial"/>
          <w:szCs w:val="20"/>
        </w:rPr>
        <w:t xml:space="preserve">calculated as of the effective date of termination, of the </w:t>
      </w:r>
      <w:r w:rsidR="008D2D8F">
        <w:rPr>
          <w:rFonts w:cs="Arial"/>
          <w:szCs w:val="20"/>
        </w:rPr>
        <w:t>Remaining Capacity Payments</w:t>
      </w:r>
      <w:r w:rsidRPr="00D62F40" w:rsidR="008D2D8F">
        <w:rPr>
          <w:rFonts w:cs="Arial"/>
          <w:szCs w:val="20"/>
        </w:rPr>
        <w:t xml:space="preserve"> using a discount rate </w:t>
      </w:r>
      <w:r w:rsidR="008D2D8F">
        <w:rPr>
          <w:rFonts w:cs="Arial"/>
          <w:szCs w:val="20"/>
        </w:rPr>
        <w:t>based on GPC’s Commission approved return on equity</w:t>
      </w:r>
      <w:r w:rsidR="004F7A76">
        <w:rPr>
          <w:rFonts w:cs="Arial"/>
          <w:szCs w:val="20"/>
        </w:rPr>
        <w:t>.</w:t>
      </w:r>
    </w:p>
    <w:p w:rsidR="004F7A76" w:rsidP="004F7A76" w:rsidRDefault="004F7A76" w14:paraId="4F749778" w14:textId="04963F12">
      <w:pPr>
        <w:pStyle w:val="zGTC04"/>
        <w:numPr>
          <w:ilvl w:val="0"/>
          <w:numId w:val="0"/>
        </w:numPr>
        <w:ind w:left="2160"/>
        <w:rPr>
          <w:rFonts w:cs="Arial"/>
          <w:szCs w:val="20"/>
        </w:rPr>
      </w:pPr>
      <w:r w:rsidRPr="00341121">
        <w:rPr>
          <w:rFonts w:cs="Arial"/>
          <w:b/>
          <w:bCs/>
          <w:szCs w:val="20"/>
        </w:rPr>
        <w:lastRenderedPageBreak/>
        <w:t>Remaining Capacity Payments</w:t>
      </w:r>
      <w:r w:rsidRPr="00341121">
        <w:rPr>
          <w:rFonts w:cs="Arial"/>
          <w:szCs w:val="20"/>
        </w:rPr>
        <w:t xml:space="preserve"> = the sum of Monthly Capacity Payments that would have become payable during the remainder of the Term if this PPA had not been terminated.</w:t>
      </w:r>
    </w:p>
    <w:p w:rsidR="004F7A76" w:rsidP="004F7A76" w:rsidRDefault="00581FEF" w14:paraId="0BB0BE43" w14:textId="1DDD7F89">
      <w:pPr>
        <w:pStyle w:val="zGTC04"/>
        <w:numPr>
          <w:ilvl w:val="0"/>
          <w:numId w:val="0"/>
        </w:numPr>
        <w:ind w:left="2160"/>
        <w:rPr>
          <w:rFonts w:cs="Arial"/>
          <w:szCs w:val="20"/>
        </w:rPr>
      </w:pPr>
      <w:r w:rsidRPr="00341121">
        <w:rPr>
          <w:rFonts w:cs="Arial"/>
          <w:b/>
          <w:bCs/>
          <w:szCs w:val="20"/>
        </w:rPr>
        <w:t xml:space="preserve">Performance Adjustment </w:t>
      </w:r>
      <w:r w:rsidRPr="00341121">
        <w:rPr>
          <w:rFonts w:cs="Arial"/>
          <w:szCs w:val="20"/>
        </w:rPr>
        <w:t xml:space="preserve">= </w:t>
      </w:r>
      <w:r w:rsidRPr="00370E16">
        <w:rPr>
          <w:rFonts w:cs="Arial"/>
          <w:szCs w:val="20"/>
        </w:rPr>
        <w:t xml:space="preserve">the average </w:t>
      </w:r>
      <w:r w:rsidRPr="00327158">
        <w:rPr>
          <w:rFonts w:cs="Arial"/>
          <w:szCs w:val="20"/>
        </w:rPr>
        <w:t>Storage Performance Metric Achieved</w:t>
      </w:r>
      <w:r w:rsidRPr="00370E16">
        <w:rPr>
          <w:rFonts w:cs="Arial"/>
          <w:szCs w:val="20"/>
        </w:rPr>
        <w:t xml:space="preserve"> for the 36 Month period ending the last day of the Month immediately preceding the effective date of termination, expressed as a decimal and capped at 1.00. Any availability of, and any delivery from, an Alternate Resource will be excluded from the calculation of each Monthly Availability Percentage and the resulting average.</w:t>
      </w:r>
    </w:p>
    <w:p w:rsidR="00E82FF9" w:rsidP="0067771D" w:rsidRDefault="00E82FF9" w14:paraId="155430C0" w14:textId="23847B4C">
      <w:pPr>
        <w:pStyle w:val="zGTC03"/>
      </w:pPr>
      <w:r>
        <w:t xml:space="preserve"> </w:t>
      </w:r>
      <w:r w:rsidRPr="00341121" w:rsidR="00460059">
        <w:rPr>
          <w:b/>
          <w:bCs/>
        </w:rPr>
        <w:t xml:space="preserve">Exclusive Relief; Commission Approval. </w:t>
      </w:r>
      <w:r w:rsidRPr="00341121" w:rsidR="00460059">
        <w:t xml:space="preserve">The Parties acknowledge that, except as provided in this </w:t>
      </w:r>
      <w:r w:rsidRPr="00327158" w:rsidR="00460059">
        <w:t>Section 17.1 (</w:t>
      </w:r>
      <w:r w:rsidRPr="00327158" w:rsidR="00460059">
        <w:rPr>
          <w:i/>
          <w:iCs/>
        </w:rPr>
        <w:t>Change of Law</w:t>
      </w:r>
      <w:r w:rsidRPr="00327158" w:rsidR="00460059">
        <w:t>),</w:t>
      </w:r>
      <w:r w:rsidRPr="00341121" w:rsidR="00460059">
        <w:t xml:space="preserve"> the PPA will not be amended or terminated because of any Change of Law. If GPC accepts an ACP Adjustment, Seller may not seek any additional adjustment to Annual Capacity Prices for the same Change of Law(s) addressed in the GPC Election Notice (including for any additional or different Change of Law Expenditures arising from such Change of Law(s)). Any election by GPC under </w:t>
      </w:r>
      <w:r w:rsidRPr="00327158" w:rsidR="00460059">
        <w:t xml:space="preserve">Section </w:t>
      </w:r>
      <w:r w:rsidRPr="00327158" w:rsidR="004603DC">
        <w:t>17.1.5</w:t>
      </w:r>
      <w:r w:rsidRPr="00327158" w:rsidR="00460059">
        <w:t xml:space="preserve"> (</w:t>
      </w:r>
      <w:r w:rsidRPr="00327158" w:rsidR="00460059">
        <w:rPr>
          <w:i/>
          <w:iCs/>
        </w:rPr>
        <w:t>GPC Election; Objection Period</w:t>
      </w:r>
      <w:r w:rsidRPr="00327158" w:rsidR="00460059">
        <w:t>)</w:t>
      </w:r>
      <w:r w:rsidRPr="00341121" w:rsidR="00460059">
        <w:t xml:space="preserve"> to allow Seller to recover Excess Expenditures will apply only to the Change of Law and Excess Expenditures addressed in GPC’s Election Notice. Further, for the avoidance of doubt: (i) any agreement by GPC to adjust the Annual Capacity Price because of a Change of Law is conditioned on approval of the Commission, where required by applicable law; and (ii) if the Commission denies approval of any such agreement and corresponding amendment, Seller may elect to terminate this PPA without any liability to GPC and GPC will have no liability to Seller for the termination.</w:t>
      </w:r>
    </w:p>
    <w:p w:rsidR="00E82FF9" w:rsidP="0067771D" w:rsidRDefault="0091533F" w14:paraId="0BCFBC4C" w14:textId="45E50C48">
      <w:pPr>
        <w:pStyle w:val="zGTC03"/>
      </w:pPr>
      <w:r w:rsidRPr="00341121">
        <w:rPr>
          <w:b/>
          <w:bCs/>
        </w:rPr>
        <w:t xml:space="preserve">Disputes. </w:t>
      </w:r>
      <w:r w:rsidRPr="00341121">
        <w:t xml:space="preserve">Any dispute arising out of or relating to any Change of Law, including any dispute concerning the adequacy of substantiation, an ACP Adjustment, or the termination payment, will be resolved in accordance with this </w:t>
      </w:r>
      <w:r w:rsidRPr="00A71F35">
        <w:t xml:space="preserve">Section </w:t>
      </w:r>
      <w:r w:rsidRPr="00A71F35" w:rsidR="00B07A37">
        <w:t>17.1.8</w:t>
      </w:r>
      <w:r w:rsidRPr="00A71F35">
        <w:t xml:space="preserve"> (</w:t>
      </w:r>
      <w:r w:rsidRPr="00A71F35">
        <w:rPr>
          <w:i/>
          <w:iCs/>
        </w:rPr>
        <w:t>Disputes</w:t>
      </w:r>
      <w:r w:rsidRPr="00A71F35">
        <w:t>).</w:t>
      </w:r>
      <w:r w:rsidRPr="00341121">
        <w:t xml:space="preserve"> Pending resolution of a Change </w:t>
      </w:r>
      <w:r w:rsidR="009D5A37">
        <w:t>of</w:t>
      </w:r>
      <w:r w:rsidRPr="00341121">
        <w:t xml:space="preserve"> Law dispute, the Parties must continue to perform their undisputed obligations under this </w:t>
      </w:r>
      <w:r w:rsidR="008D1EC6">
        <w:t>PPA</w:t>
      </w:r>
      <w:r w:rsidRPr="00341121">
        <w:t>.</w:t>
      </w:r>
    </w:p>
    <w:p w:rsidR="00F51095" w:rsidP="00F51095" w:rsidRDefault="00F033C4" w14:paraId="134926DD" w14:textId="61AE0254">
      <w:pPr>
        <w:pStyle w:val="zGTC04"/>
      </w:pPr>
      <w:r w:rsidRPr="00341121">
        <w:rPr>
          <w:rFonts w:cs="Arial"/>
          <w:szCs w:val="20"/>
        </w:rPr>
        <w:t xml:space="preserve">The Party initiating a Change </w:t>
      </w:r>
      <w:r w:rsidR="009D5A37">
        <w:rPr>
          <w:rFonts w:cs="Arial"/>
          <w:szCs w:val="20"/>
        </w:rPr>
        <w:t>of</w:t>
      </w:r>
      <w:r w:rsidRPr="00341121">
        <w:rPr>
          <w:rFonts w:cs="Arial"/>
          <w:szCs w:val="20"/>
        </w:rPr>
        <w:t xml:space="preserve"> Law dispute must provide notice to the other Party describing the dispute in reasonable detail and the relief requested. The dispute will be promptly referred to. Within </w:t>
      </w:r>
      <w:r w:rsidRPr="00A71F35">
        <w:rPr>
          <w:rFonts w:cs="Arial"/>
          <w:szCs w:val="20"/>
        </w:rPr>
        <w:t>15 Days</w:t>
      </w:r>
      <w:r w:rsidRPr="00341121">
        <w:rPr>
          <w:rFonts w:cs="Arial"/>
          <w:szCs w:val="20"/>
        </w:rPr>
        <w:t xml:space="preserve"> after receipt of the dispute notice, GPC’s Director of Resource Planning and Seller’s </w:t>
      </w:r>
      <w:r w:rsidRPr="00F638F9">
        <w:rPr>
          <w:rFonts w:cs="Arial"/>
          <w:szCs w:val="20"/>
          <w:highlight w:val="yellow"/>
        </w:rPr>
        <w:t>#I</w:t>
      </w:r>
      <w:r w:rsidRPr="00341121">
        <w:rPr>
          <w:rFonts w:cs="Arial"/>
          <w:szCs w:val="20"/>
          <w:highlight w:val="yellow"/>
        </w:rPr>
        <w:t>dentifiyRepresentative</w:t>
      </w:r>
      <w:r w:rsidRPr="00341121">
        <w:rPr>
          <w:rFonts w:cs="Arial"/>
          <w:szCs w:val="20"/>
        </w:rPr>
        <w:t xml:space="preserve"> must meet and attempt in good faith to resolve the dispute.</w:t>
      </w:r>
    </w:p>
    <w:p w:rsidR="00EF0C61" w:rsidP="00F51095" w:rsidRDefault="00CB52FC" w14:paraId="10C4BC74" w14:textId="20797070">
      <w:pPr>
        <w:pStyle w:val="zGTC04"/>
      </w:pPr>
      <w:r w:rsidRPr="00341121">
        <w:rPr>
          <w:rFonts w:cs="Arial"/>
          <w:szCs w:val="20"/>
        </w:rPr>
        <w:t xml:space="preserve">If the Change </w:t>
      </w:r>
      <w:r w:rsidR="009D5A37">
        <w:rPr>
          <w:rFonts w:cs="Arial"/>
          <w:szCs w:val="20"/>
        </w:rPr>
        <w:t>of</w:t>
      </w:r>
      <w:r w:rsidRPr="00341121">
        <w:rPr>
          <w:rFonts w:cs="Arial"/>
          <w:szCs w:val="20"/>
        </w:rPr>
        <w:t xml:space="preserve"> Law dispute is not resolved 15 Days after the meeting described in </w:t>
      </w:r>
      <w:r w:rsidRPr="00A71F35">
        <w:rPr>
          <w:rFonts w:cs="Arial"/>
          <w:szCs w:val="20"/>
        </w:rPr>
        <w:t xml:space="preserve">Section </w:t>
      </w:r>
      <w:r w:rsidRPr="00A71F35" w:rsidR="00B07A37">
        <w:rPr>
          <w:rFonts w:cs="Arial"/>
          <w:szCs w:val="20"/>
        </w:rPr>
        <w:t>17.1.8(i) (</w:t>
      </w:r>
      <w:r w:rsidRPr="00A71F35" w:rsidR="00B07A37">
        <w:rPr>
          <w:rFonts w:cs="Arial"/>
          <w:i/>
          <w:iCs/>
          <w:szCs w:val="20"/>
        </w:rPr>
        <w:t>Disputes</w:t>
      </w:r>
      <w:r w:rsidRPr="00A71F35" w:rsidR="00B07A37">
        <w:rPr>
          <w:rFonts w:cs="Arial"/>
          <w:szCs w:val="20"/>
        </w:rPr>
        <w:t>)</w:t>
      </w:r>
      <w:r w:rsidRPr="00A71F35">
        <w:rPr>
          <w:rFonts w:cs="Arial"/>
          <w:szCs w:val="20"/>
        </w:rPr>
        <w:t>,</w:t>
      </w:r>
      <w:r w:rsidRPr="00341121">
        <w:rPr>
          <w:rFonts w:cs="Arial"/>
          <w:szCs w:val="20"/>
        </w:rPr>
        <w:t xml:space="preserve"> either Party may escalate the dispute by </w:t>
      </w:r>
      <w:r w:rsidR="004D3C96">
        <w:rPr>
          <w:rFonts w:cs="Arial"/>
          <w:szCs w:val="20"/>
        </w:rPr>
        <w:t xml:space="preserve">providing </w:t>
      </w:r>
      <w:r w:rsidRPr="00341121">
        <w:rPr>
          <w:rFonts w:cs="Arial"/>
          <w:szCs w:val="20"/>
        </w:rPr>
        <w:t>notice</w:t>
      </w:r>
      <w:r w:rsidR="004D3C96">
        <w:rPr>
          <w:rFonts w:cs="Arial"/>
          <w:szCs w:val="20"/>
        </w:rPr>
        <w:t xml:space="preserve"> to the other Party</w:t>
      </w:r>
      <w:r w:rsidRPr="00341121">
        <w:rPr>
          <w:rFonts w:cs="Arial"/>
          <w:szCs w:val="20"/>
        </w:rPr>
        <w:t>. Within 10 Days after receipt of the escalation</w:t>
      </w:r>
      <w:r w:rsidR="009D5A37">
        <w:rPr>
          <w:rFonts w:cs="Arial"/>
          <w:szCs w:val="20"/>
        </w:rPr>
        <w:t xml:space="preserve"> notice</w:t>
      </w:r>
      <w:r w:rsidRPr="00341121">
        <w:rPr>
          <w:rFonts w:cs="Arial"/>
          <w:szCs w:val="20"/>
        </w:rPr>
        <w:t>, one executive of each Party with authority to resolve the dispute must meet and attempt in good faith to resolve the dispute.</w:t>
      </w:r>
      <w:r w:rsidR="00EF0C61">
        <w:t xml:space="preserve"> </w:t>
      </w:r>
    </w:p>
    <w:p w:rsidR="00EF0C61" w:rsidP="00F51095" w:rsidRDefault="00B07A37" w14:paraId="71DE7C3B" w14:textId="681FD483">
      <w:pPr>
        <w:pStyle w:val="zGTC04"/>
      </w:pPr>
      <w:r w:rsidRPr="00341121">
        <w:rPr>
          <w:rFonts w:cs="Arial"/>
          <w:szCs w:val="20"/>
        </w:rPr>
        <w:t xml:space="preserve">If the Change </w:t>
      </w:r>
      <w:r w:rsidR="009D5A37">
        <w:rPr>
          <w:rFonts w:cs="Arial"/>
          <w:szCs w:val="20"/>
        </w:rPr>
        <w:t>of</w:t>
      </w:r>
      <w:r w:rsidRPr="00341121">
        <w:rPr>
          <w:rFonts w:cs="Arial"/>
          <w:szCs w:val="20"/>
        </w:rPr>
        <w:t xml:space="preserve"> Law dispute is not resolved by 15 Days after the meeting described in </w:t>
      </w:r>
      <w:r w:rsidRPr="00A71F35">
        <w:rPr>
          <w:rFonts w:cs="Arial"/>
          <w:szCs w:val="20"/>
        </w:rPr>
        <w:t>Section 17.1.8(ii) (</w:t>
      </w:r>
      <w:r w:rsidRPr="00A71F35">
        <w:rPr>
          <w:rFonts w:cs="Arial"/>
          <w:i/>
          <w:iCs/>
          <w:szCs w:val="20"/>
        </w:rPr>
        <w:t>Disputes</w:t>
      </w:r>
      <w:r w:rsidRPr="00A71F35">
        <w:rPr>
          <w:rFonts w:cs="Arial"/>
          <w:szCs w:val="20"/>
        </w:rPr>
        <w:t>),</w:t>
      </w:r>
      <w:r w:rsidRPr="00341121">
        <w:rPr>
          <w:rFonts w:cs="Arial"/>
          <w:szCs w:val="20"/>
        </w:rPr>
        <w:t xml:space="preserve"> either Party may initiate mediation</w:t>
      </w:r>
      <w:r w:rsidR="004D3C96">
        <w:rPr>
          <w:rFonts w:cs="Arial"/>
          <w:szCs w:val="20"/>
        </w:rPr>
        <w:t xml:space="preserve"> by providing notice to the other Party</w:t>
      </w:r>
      <w:r w:rsidRPr="00341121">
        <w:rPr>
          <w:rFonts w:cs="Arial"/>
          <w:szCs w:val="20"/>
        </w:rPr>
        <w:t xml:space="preserve">, which </w:t>
      </w:r>
      <w:r w:rsidR="0095420D">
        <w:rPr>
          <w:rFonts w:cs="Arial"/>
          <w:szCs w:val="20"/>
        </w:rPr>
        <w:t xml:space="preserve">mediation </w:t>
      </w:r>
      <w:r w:rsidRPr="00341121">
        <w:rPr>
          <w:rFonts w:cs="Arial"/>
          <w:szCs w:val="20"/>
        </w:rPr>
        <w:t xml:space="preserve">must then be conducted within 30 Days after the mediation </w:t>
      </w:r>
      <w:r w:rsidR="0095420D">
        <w:rPr>
          <w:rFonts w:cs="Arial"/>
          <w:szCs w:val="20"/>
        </w:rPr>
        <w:t>notice</w:t>
      </w:r>
      <w:r w:rsidRPr="00341121">
        <w:rPr>
          <w:rFonts w:cs="Arial"/>
          <w:szCs w:val="20"/>
        </w:rPr>
        <w:t xml:space="preserve"> is received.</w:t>
      </w:r>
    </w:p>
    <w:p w:rsidRPr="0067771D" w:rsidR="00371BA3" w:rsidP="0067771D" w:rsidRDefault="00246086" w14:paraId="758E1EE2" w14:textId="5E32819F">
      <w:pPr>
        <w:pStyle w:val="zGTC03"/>
      </w:pPr>
      <w:r w:rsidRPr="004F753A">
        <w:rPr>
          <w:b/>
          <w:bCs/>
        </w:rPr>
        <w:t>New or Different Changes in Applicable Law; Payments; Repeal.</w:t>
      </w:r>
      <w:r w:rsidRPr="00BE4317">
        <w:t xml:space="preserve"> Seller acknowledges and agrees that except as provided in this </w:t>
      </w:r>
      <w:r w:rsidRPr="00A71F35">
        <w:t>Part 17 (</w:t>
      </w:r>
      <w:r w:rsidRPr="00A71F35">
        <w:rPr>
          <w:i/>
          <w:iCs/>
        </w:rPr>
        <w:t>Compliance with Laws</w:t>
      </w:r>
      <w:r w:rsidRPr="00A71F35">
        <w:t>):</w:t>
      </w:r>
      <w:r w:rsidRPr="00BE4317">
        <w:t xml:space="preserve"> (i) GPC will not be responsible for any cost, expense, or loss incurred by Seller that result</w:t>
      </w:r>
      <w:r w:rsidR="001A24A5">
        <w:t>s</w:t>
      </w:r>
      <w:r w:rsidRPr="00BE4317">
        <w:t xml:space="preserve"> from any Change of Law; and (ii) in no event will the payments required to be made by GPC under this PPA be increased because of any cost or expense that Seller incurs because of any Change of Law. </w:t>
      </w:r>
      <w:r>
        <w:t xml:space="preserve">If any Change of Law that forms the basis for an ACP Adjustment or Operational Alternative repealed, rescinded, invalidated, overturned, or otherwise ceases to be legally effective or applicable to the Facility (in whole or in part), then, effective as of the date the Change of Law no longer has legal effect: (a) the ACP Adjustment will be reduced or eliminated, as applicable, to reflect the remaining legally effective portion of the Change of Law; (b) Seller will no longer be entitled to recover any further Excess Expenditures attributable to the Change of Law (or portion thereof); and (c) if Seller is no longer required to comply with the Change of </w:t>
      </w:r>
      <w:r>
        <w:lastRenderedPageBreak/>
        <w:t xml:space="preserve">Law (or portion thereof), Seller will use commercially reasonable efforts to discontinue or unwind any related capital expenditure or operational measure to the extent practicable and consistent with Prudent Industry Practice. Notwithstanding the foregoing, Seller will not be required to refund or credit amounts attributable to irreversible capital expenditures reasonably incurred before the date the Change of Law ceased to be effective, provided the expenditures were prudently incurred in compliance with this </w:t>
      </w:r>
      <w:r w:rsidRPr="00A71F35">
        <w:t>Section 17.1</w:t>
      </w:r>
      <w:r w:rsidRPr="00A71F35" w:rsidR="00F51095">
        <w:t xml:space="preserve"> (</w:t>
      </w:r>
      <w:r w:rsidRPr="00A71F35" w:rsidR="00F51095">
        <w:rPr>
          <w:i/>
          <w:iCs/>
        </w:rPr>
        <w:t>Change of Law</w:t>
      </w:r>
      <w:r w:rsidRPr="00A71F35" w:rsidR="00F51095">
        <w:t>)</w:t>
      </w:r>
      <w:r w:rsidRPr="00A71F35">
        <w:t>.</w:t>
      </w:r>
    </w:p>
    <w:p w:rsidRPr="00540449" w:rsidR="002D54C4" w:rsidP="00581FEF" w:rsidRDefault="002D54C4" w14:paraId="2E280057" w14:textId="0CC97D19">
      <w:pPr>
        <w:pStyle w:val="zGTC03"/>
      </w:pPr>
    </w:p>
    <w:p w:rsidRPr="00540449" w:rsidR="002D54C4" w:rsidRDefault="002D54C4" w14:paraId="4FA1D62E" w14:textId="77777777">
      <w:pPr>
        <w:pStyle w:val="zGTC02"/>
        <w:rPr>
          <w:rFonts w:ascii="Arial" w:hAnsi="Arial" w:cs="Arial"/>
          <w:vanish/>
          <w:specVanish/>
        </w:rPr>
      </w:pPr>
      <w:bookmarkStart w:name="_Toc169778672" w:id="725"/>
      <w:bookmarkStart w:name="_Toc227451436" w:id="726"/>
      <w:r w:rsidRPr="00540449">
        <w:rPr>
          <w:rFonts w:ascii="Arial" w:hAnsi="Arial" w:cs="Arial"/>
        </w:rPr>
        <w:t>No Dedication.</w:t>
      </w:r>
      <w:bookmarkStart w:name="_Toc158593274" w:id="727"/>
      <w:bookmarkStart w:name="_Toc158597553" w:id="728"/>
      <w:bookmarkStart w:name="_Toc158720177" w:id="729"/>
      <w:bookmarkStart w:name="_Toc158722931" w:id="730"/>
      <w:bookmarkStart w:name="_Toc158929463" w:id="731"/>
      <w:bookmarkEnd w:id="725"/>
      <w:bookmarkEnd w:id="726"/>
      <w:bookmarkEnd w:id="727"/>
      <w:bookmarkEnd w:id="728"/>
      <w:bookmarkEnd w:id="729"/>
      <w:bookmarkEnd w:id="730"/>
      <w:bookmarkEnd w:id="731"/>
    </w:p>
    <w:p w:rsidRPr="00540449" w:rsidR="002D54C4" w:rsidRDefault="002D54C4" w14:paraId="0EA294FB" w14:textId="77777777">
      <w:pPr>
        <w:pStyle w:val="zGNormal"/>
      </w:pPr>
      <w:r w:rsidRPr="00540449">
        <w:t xml:space="preserve"> No undertaking by Seller under this PPA is intended to constitute: (i) the dedication to the public of the Facility or any part of the Facility; or (ii) affect Seller’s status as an independent entity and not a public utility or public service company.</w:t>
      </w:r>
    </w:p>
    <w:p w:rsidRPr="00540449" w:rsidR="002D54C4" w:rsidRDefault="002D54C4" w14:paraId="0E3A14BD" w14:textId="22D81FEC">
      <w:pPr>
        <w:pStyle w:val="zGTC02"/>
        <w:rPr>
          <w:rFonts w:ascii="Arial" w:hAnsi="Arial" w:cs="Arial"/>
          <w:vanish/>
          <w:szCs w:val="20"/>
          <w:specVanish/>
        </w:rPr>
      </w:pPr>
      <w:bookmarkStart w:name="_Toc169778673" w:id="732"/>
      <w:bookmarkStart w:name="_Toc227451437" w:id="733"/>
      <w:r w:rsidRPr="00540449">
        <w:rPr>
          <w:rFonts w:ascii="Arial" w:hAnsi="Arial" w:cs="Arial"/>
        </w:rPr>
        <w:t>Compliance</w:t>
      </w:r>
      <w:r w:rsidR="005E2232">
        <w:rPr>
          <w:rFonts w:ascii="Arial" w:hAnsi="Arial" w:cs="Arial"/>
        </w:rPr>
        <w:t xml:space="preserve"> with Law</w:t>
      </w:r>
      <w:r w:rsidRPr="00540449">
        <w:rPr>
          <w:rFonts w:ascii="Arial" w:hAnsi="Arial" w:cs="Arial"/>
        </w:rPr>
        <w:t>.</w:t>
      </w:r>
      <w:bookmarkStart w:name="_Toc158593275" w:id="734"/>
      <w:bookmarkStart w:name="_Toc158597554" w:id="735"/>
      <w:bookmarkStart w:name="_Toc158720178" w:id="736"/>
      <w:bookmarkStart w:name="_Toc158722932" w:id="737"/>
      <w:bookmarkStart w:name="_Toc158929464" w:id="738"/>
      <w:bookmarkEnd w:id="732"/>
      <w:bookmarkEnd w:id="733"/>
      <w:bookmarkEnd w:id="734"/>
      <w:bookmarkEnd w:id="735"/>
      <w:bookmarkEnd w:id="736"/>
      <w:bookmarkEnd w:id="737"/>
      <w:bookmarkEnd w:id="738"/>
    </w:p>
    <w:p w:rsidRPr="00540449" w:rsidR="002D54C4" w:rsidRDefault="002D54C4" w14:paraId="653A48EF" w14:textId="2E9ACC66">
      <w:pPr>
        <w:pStyle w:val="zGNormal"/>
        <w:rPr>
          <w:b/>
          <w:bCs/>
        </w:rPr>
      </w:pPr>
      <w:r w:rsidRPr="00540449">
        <w:t xml:space="preserve"> Throughout the Term, Seller must comply with all applicable laws, including </w:t>
      </w:r>
      <w:r w:rsidR="005F6EC8">
        <w:t xml:space="preserve">(i) </w:t>
      </w:r>
      <w:r w:rsidR="00694BF1">
        <w:t xml:space="preserve">laws </w:t>
      </w:r>
      <w:r w:rsidRPr="00540449" w:rsidR="005F6EC8">
        <w:t xml:space="preserve">regarding the </w:t>
      </w:r>
      <w:r w:rsidR="0093762B">
        <w:t xml:space="preserve">Site or the Facility, including the </w:t>
      </w:r>
      <w:r w:rsidRPr="00540449" w:rsidR="005F6EC8">
        <w:t>design, construction, ownership, operation, maintenance, and decommissioning (if applicable) of the Facility</w:t>
      </w:r>
      <w:r w:rsidR="00B32A64">
        <w:t xml:space="preserve">, (ii) </w:t>
      </w:r>
      <w:r w:rsidR="007A616D">
        <w:t xml:space="preserve">required </w:t>
      </w:r>
      <w:r w:rsidR="00D0472C">
        <w:t>Consents</w:t>
      </w:r>
      <w:r w:rsidR="00B3580F">
        <w:t>, including requirements</w:t>
      </w:r>
      <w:r w:rsidRPr="00540449" w:rsidR="00B3580F">
        <w:t xml:space="preserve"> to seek, obtain, comply with,</w:t>
      </w:r>
      <w:r w:rsidR="00B3580F">
        <w:t xml:space="preserve"> maintain compliance with,</w:t>
      </w:r>
      <w:r w:rsidRPr="00540449" w:rsidR="00B3580F">
        <w:t xml:space="preserve"> and, as necessary, renew or modify from time to time, all applicable certificates, licenses, </w:t>
      </w:r>
      <w:r w:rsidR="00B3580F">
        <w:t>p</w:t>
      </w:r>
      <w:r w:rsidRPr="00540449" w:rsidR="00B3580F">
        <w:t>ermits, Governmental Authority approvals, and environmental impact analyses</w:t>
      </w:r>
      <w:r w:rsidR="00BF3DA9">
        <w:t>;</w:t>
      </w:r>
      <w:r w:rsidR="00D0472C">
        <w:t xml:space="preserve"> </w:t>
      </w:r>
      <w:r w:rsidR="007A616D">
        <w:t>(iii) Environmental Laws</w:t>
      </w:r>
      <w:r w:rsidR="00C14CB6">
        <w:t xml:space="preserve">; </w:t>
      </w:r>
      <w:r w:rsidR="00117CF2">
        <w:t>and</w:t>
      </w:r>
      <w:r w:rsidR="00C14CB6">
        <w:t xml:space="preserve"> (iv)</w:t>
      </w:r>
      <w:r w:rsidR="00D0472C">
        <w:t>(</w:t>
      </w:r>
      <w:r w:rsidR="00117CF2">
        <w:t>i</w:t>
      </w:r>
      <w:r w:rsidR="007A616D">
        <w:t>v</w:t>
      </w:r>
      <w:r w:rsidR="00D0472C">
        <w:t xml:space="preserve">) </w:t>
      </w:r>
      <w:r w:rsidR="007A616D">
        <w:t xml:space="preserve">laws </w:t>
      </w:r>
      <w:r w:rsidR="005D1CEC">
        <w:t>regarding</w:t>
      </w:r>
      <w:r w:rsidR="00B32A64">
        <w:t xml:space="preserve"> environmental emissions</w:t>
      </w:r>
      <w:r w:rsidR="00BF3DA9">
        <w:t>.</w:t>
      </w:r>
      <w:r w:rsidRPr="00540449">
        <w:t xml:space="preserve"> Seller </w:t>
      </w:r>
      <w:r w:rsidR="00A4191E">
        <w:t>is</w:t>
      </w:r>
      <w:r w:rsidRPr="00540449">
        <w:t xml:space="preserve"> responsible for all costs, expenses, charges, and fees concerning all compliance required in this Section 1</w:t>
      </w:r>
      <w:r w:rsidRPr="00540449" w:rsidR="003E20F4">
        <w:t>7</w:t>
      </w:r>
      <w:r w:rsidRPr="00540449">
        <w:t>.</w:t>
      </w:r>
      <w:r w:rsidRPr="00540449" w:rsidR="003E20F4">
        <w:t>3</w:t>
      </w:r>
      <w:r w:rsidR="00455335">
        <w:t>, subject to Seller’s rights under Section 17.1 (</w:t>
      </w:r>
      <w:r w:rsidRPr="00455335" w:rsidR="00455335">
        <w:rPr>
          <w:i/>
          <w:iCs/>
        </w:rPr>
        <w:t>Change of Law</w:t>
      </w:r>
      <w:r w:rsidR="00455335">
        <w:t>), if applicable</w:t>
      </w:r>
      <w:r w:rsidRPr="00540449">
        <w:t>.</w:t>
      </w:r>
    </w:p>
    <w:p w:rsidRPr="00540449" w:rsidR="002D54C4" w:rsidRDefault="005E2232" w14:paraId="080CF476" w14:textId="03A03AB4">
      <w:pPr>
        <w:pStyle w:val="zGTC02"/>
        <w:rPr>
          <w:rFonts w:ascii="Arial" w:hAnsi="Arial" w:cs="Arial"/>
          <w:vanish/>
          <w:szCs w:val="20"/>
          <w:specVanish/>
        </w:rPr>
      </w:pPr>
      <w:bookmarkStart w:name="_Toc169778674" w:id="739"/>
      <w:bookmarkStart w:name="_Toc227451438" w:id="740"/>
      <w:r>
        <w:rPr>
          <w:rFonts w:ascii="Arial" w:hAnsi="Arial" w:cs="Arial"/>
        </w:rPr>
        <w:t xml:space="preserve">Environmental </w:t>
      </w:r>
      <w:r w:rsidRPr="00540449" w:rsidR="002D54C4">
        <w:rPr>
          <w:rFonts w:ascii="Arial" w:hAnsi="Arial" w:cs="Arial"/>
        </w:rPr>
        <w:t>Compliance.</w:t>
      </w:r>
      <w:bookmarkStart w:name="_Toc158593276" w:id="741"/>
      <w:bookmarkStart w:name="_Toc158597555" w:id="742"/>
      <w:bookmarkStart w:name="_Toc158720179" w:id="743"/>
      <w:bookmarkStart w:name="_Toc158722933" w:id="744"/>
      <w:bookmarkStart w:name="_Toc158929465" w:id="745"/>
      <w:bookmarkEnd w:id="739"/>
      <w:bookmarkEnd w:id="740"/>
      <w:bookmarkEnd w:id="741"/>
      <w:bookmarkEnd w:id="742"/>
      <w:bookmarkEnd w:id="743"/>
      <w:bookmarkEnd w:id="744"/>
      <w:bookmarkEnd w:id="745"/>
    </w:p>
    <w:p w:rsidR="00C228F2" w:rsidRDefault="002D54C4" w14:paraId="13A110F6" w14:textId="2A124A9F">
      <w:pPr>
        <w:pStyle w:val="zGNormal"/>
      </w:pPr>
      <w:r w:rsidRPr="00540449">
        <w:t xml:space="preserve"> </w:t>
      </w:r>
      <w:r w:rsidR="001A245C">
        <w:t>Throughout the Term, Seller must comply with (i)</w:t>
      </w:r>
      <w:r w:rsidR="00C40525">
        <w:t xml:space="preserve"> </w:t>
      </w:r>
      <w:r w:rsidR="0097078A">
        <w:t>Required BMPs</w:t>
      </w:r>
      <w:r w:rsidR="0037545A">
        <w:t xml:space="preserve"> as set forth in Section 17.4.1 (</w:t>
      </w:r>
      <w:r w:rsidRPr="00587168" w:rsidR="0037545A">
        <w:rPr>
          <w:i/>
          <w:iCs/>
        </w:rPr>
        <w:t>Required BMPs</w:t>
      </w:r>
      <w:r w:rsidR="0037545A">
        <w:t>)</w:t>
      </w:r>
      <w:r w:rsidR="001A245C">
        <w:t>, and (ii)</w:t>
      </w:r>
      <w:r w:rsidR="00C40525">
        <w:t xml:space="preserve"> </w:t>
      </w:r>
      <w:r w:rsidR="00F96EE0">
        <w:t>Environmental Recommendations</w:t>
      </w:r>
      <w:r w:rsidR="0097078A">
        <w:t xml:space="preserve"> </w:t>
      </w:r>
      <w:r w:rsidR="00B874F4">
        <w:t xml:space="preserve">as </w:t>
      </w:r>
      <w:r w:rsidR="0097078A">
        <w:t>set forth in Section 17.</w:t>
      </w:r>
      <w:r w:rsidR="00587168">
        <w:t>4.2 (</w:t>
      </w:r>
      <w:r w:rsidRPr="00587168" w:rsidR="00587168">
        <w:rPr>
          <w:i/>
          <w:iCs/>
        </w:rPr>
        <w:t>Environmental Recommendations</w:t>
      </w:r>
      <w:r w:rsidR="00587168">
        <w:t>)</w:t>
      </w:r>
      <w:r w:rsidR="0097078A">
        <w:t>.</w:t>
      </w:r>
    </w:p>
    <w:p w:rsidR="006B5DCA" w:rsidP="0097078A" w:rsidRDefault="0097078A" w14:paraId="035F8D1C" w14:textId="00D4A1B4">
      <w:pPr>
        <w:pStyle w:val="zGTC03"/>
      </w:pPr>
      <w:r w:rsidRPr="0097078A">
        <w:rPr>
          <w:b/>
          <w:bCs/>
        </w:rPr>
        <w:t>Required BMPs.</w:t>
      </w:r>
      <w:r>
        <w:t xml:space="preserve"> </w:t>
      </w:r>
      <w:r w:rsidR="007024F3">
        <w:t>T</w:t>
      </w:r>
      <w:r w:rsidRPr="00540449" w:rsidR="002D54C4">
        <w:t xml:space="preserve">hroughout the Term, Seller must comply with all Required BMPs regarding the </w:t>
      </w:r>
      <w:r w:rsidR="00711D67">
        <w:t xml:space="preserve">Site or the Facility, including the </w:t>
      </w:r>
      <w:r w:rsidRPr="00540449" w:rsidR="002D54C4">
        <w:t xml:space="preserve">design, construction, ownership, operation, maintenance, and decommissioning (if applicable) of the Facility. </w:t>
      </w:r>
      <w:r w:rsidRPr="00540449" w:rsidR="00067F23">
        <w:t>“</w:t>
      </w:r>
      <w:r w:rsidRPr="00540449" w:rsidR="002D54C4">
        <w:rPr>
          <w:b/>
        </w:rPr>
        <w:t>Required BMPs</w:t>
      </w:r>
      <w:r w:rsidRPr="00540449" w:rsidR="00067F23">
        <w:t>”</w:t>
      </w:r>
      <w:r w:rsidRPr="00540449" w:rsidR="002D54C4">
        <w:t xml:space="preserve"> are those “</w:t>
      </w:r>
      <w:r w:rsidRPr="00540449" w:rsidR="002D54C4">
        <w:rPr>
          <w:bCs/>
          <w:u w:color="0000FF"/>
        </w:rPr>
        <w:t>Best Management Practices” required by a Governmental Authority as made available</w:t>
      </w:r>
      <w:r w:rsidR="00BA7593">
        <w:rPr>
          <w:bCs/>
        </w:rPr>
        <w:t xml:space="preserve"> </w:t>
      </w:r>
      <w:r w:rsidR="00004F9F">
        <w:rPr>
          <w:bCs/>
        </w:rPr>
        <w:t xml:space="preserve">at </w:t>
      </w:r>
      <w:hyperlink w:history="1" r:id="rId18">
        <w:r w:rsidRPr="007A5DFD" w:rsidR="00004F9F">
          <w:rPr>
            <w:rStyle w:val="Hyperlink"/>
            <w:bCs/>
          </w:rPr>
          <w:t>https://gadnr.org</w:t>
        </w:r>
      </w:hyperlink>
      <w:r w:rsidR="00004F9F">
        <w:rPr>
          <w:bCs/>
        </w:rPr>
        <w:t xml:space="preserve"> </w:t>
      </w:r>
      <w:r w:rsidR="00BA7593">
        <w:rPr>
          <w:bCs/>
        </w:rPr>
        <w:t xml:space="preserve">or, for a facility outside </w:t>
      </w:r>
      <w:r w:rsidR="005535F4">
        <w:rPr>
          <w:bCs/>
        </w:rPr>
        <w:t>Georgia</w:t>
      </w:r>
      <w:r w:rsidR="00BA7593">
        <w:rPr>
          <w:bCs/>
        </w:rPr>
        <w:t xml:space="preserve">, similar </w:t>
      </w:r>
      <w:r w:rsidR="00971C0F">
        <w:rPr>
          <w:bCs/>
        </w:rPr>
        <w:t>b</w:t>
      </w:r>
      <w:r w:rsidR="00BA7593">
        <w:rPr>
          <w:bCs/>
        </w:rPr>
        <w:t xml:space="preserve">est </w:t>
      </w:r>
      <w:r w:rsidR="00971C0F">
        <w:rPr>
          <w:bCs/>
        </w:rPr>
        <w:t>m</w:t>
      </w:r>
      <w:r w:rsidR="00BA7593">
        <w:rPr>
          <w:bCs/>
        </w:rPr>
        <w:t xml:space="preserve">anagement </w:t>
      </w:r>
      <w:r w:rsidR="00971C0F">
        <w:rPr>
          <w:bCs/>
        </w:rPr>
        <w:t>p</w:t>
      </w:r>
      <w:r w:rsidR="00BA7593">
        <w:rPr>
          <w:bCs/>
        </w:rPr>
        <w:t xml:space="preserve">ractices applicable </w:t>
      </w:r>
      <w:r w:rsidR="00EF7F01">
        <w:rPr>
          <w:bCs/>
        </w:rPr>
        <w:t>in the state where the Facility is located</w:t>
      </w:r>
      <w:r w:rsidR="0062333F">
        <w:rPr>
          <w:bCs/>
        </w:rPr>
        <w:t>,</w:t>
      </w:r>
      <w:r w:rsidR="00155A83">
        <w:rPr>
          <w:bCs/>
        </w:rPr>
        <w:t xml:space="preserve"> in each case</w:t>
      </w:r>
      <w:r w:rsidR="007625DD">
        <w:rPr>
          <w:bCs/>
        </w:rPr>
        <w:t xml:space="preserve"> </w:t>
      </w:r>
      <w:r w:rsidR="00DA5748">
        <w:rPr>
          <w:bCs/>
        </w:rPr>
        <w:t xml:space="preserve">whether in effect as of the </w:t>
      </w:r>
      <w:r w:rsidRPr="00155A83" w:rsidR="00DA5748">
        <w:rPr>
          <w:bCs/>
        </w:rPr>
        <w:t>Effective Date or implemented during the Term.</w:t>
      </w:r>
      <w:r w:rsidR="00A10883">
        <w:rPr>
          <w:bCs/>
        </w:rPr>
        <w:t xml:space="preserve"> Seller</w:t>
      </w:r>
      <w:r w:rsidRPr="00540449" w:rsidR="00A4191E">
        <w:t xml:space="preserve"> </w:t>
      </w:r>
      <w:r w:rsidR="005F575D">
        <w:t>is</w:t>
      </w:r>
      <w:r w:rsidRPr="00540449" w:rsidR="00A4191E">
        <w:t xml:space="preserve"> responsible for all costs, expenses, charges, and fees concerning all compliance required in this Section 17.</w:t>
      </w:r>
      <w:r w:rsidR="007625DD">
        <w:t>4.1 (</w:t>
      </w:r>
      <w:r w:rsidRPr="007625DD" w:rsidR="007625DD">
        <w:rPr>
          <w:i/>
          <w:iCs/>
        </w:rPr>
        <w:t>Required BMPs</w:t>
      </w:r>
      <w:r w:rsidR="007625DD">
        <w:t>)</w:t>
      </w:r>
      <w:r w:rsidR="00A4191E">
        <w:t>, subject to Seller’s rights under Section 17.1 (</w:t>
      </w:r>
      <w:r w:rsidRPr="00455335" w:rsidR="00A4191E">
        <w:rPr>
          <w:i/>
          <w:iCs/>
        </w:rPr>
        <w:t>Change of Law</w:t>
      </w:r>
      <w:r w:rsidR="00A4191E">
        <w:t>), if applicable</w:t>
      </w:r>
      <w:r w:rsidRPr="00540449" w:rsidR="00A4191E">
        <w:t>.</w:t>
      </w:r>
    </w:p>
    <w:p w:rsidRPr="002E12F7" w:rsidR="006850F6" w:rsidP="0097078A" w:rsidRDefault="005F575D" w14:paraId="4E9C56A5" w14:textId="6EEBEC69">
      <w:pPr>
        <w:pStyle w:val="zGTC03"/>
      </w:pPr>
      <w:r w:rsidRPr="002E12F7">
        <w:rPr>
          <w:b/>
          <w:bCs/>
        </w:rPr>
        <w:t>Environmental</w:t>
      </w:r>
      <w:r w:rsidRPr="002E12F7" w:rsidR="00217769">
        <w:rPr>
          <w:b/>
          <w:bCs/>
        </w:rPr>
        <w:t xml:space="preserve"> </w:t>
      </w:r>
      <w:r w:rsidRPr="002E12F7" w:rsidR="00691A22">
        <w:rPr>
          <w:b/>
          <w:bCs/>
        </w:rPr>
        <w:t>Recommendations</w:t>
      </w:r>
      <w:r w:rsidRPr="002E12F7" w:rsidR="006B5DCA">
        <w:rPr>
          <w:b/>
          <w:bCs/>
        </w:rPr>
        <w:t>.</w:t>
      </w:r>
      <w:r w:rsidRPr="002E12F7" w:rsidR="006B5DCA">
        <w:t xml:space="preserve"> </w:t>
      </w:r>
      <w:r w:rsidRPr="002E12F7" w:rsidR="001B6664">
        <w:t>T</w:t>
      </w:r>
      <w:r w:rsidRPr="002E12F7" w:rsidR="002D54C4">
        <w:t xml:space="preserve">hroughout the Term, </w:t>
      </w:r>
      <w:r w:rsidRPr="002E12F7" w:rsidR="00814F72">
        <w:t xml:space="preserve">to the extent commercially practicable, </w:t>
      </w:r>
      <w:r w:rsidRPr="002E12F7" w:rsidR="002D54C4">
        <w:t>Seller must</w:t>
      </w:r>
      <w:r w:rsidRPr="002E12F7" w:rsidR="00814F72">
        <w:t xml:space="preserve"> </w:t>
      </w:r>
      <w:r w:rsidRPr="002E12F7" w:rsidR="0060690C">
        <w:t>comply with</w:t>
      </w:r>
      <w:r w:rsidRPr="002E12F7" w:rsidR="002D54C4">
        <w:t xml:space="preserve"> all </w:t>
      </w:r>
      <w:r w:rsidRPr="002E12F7" w:rsidR="00097D55">
        <w:t>Environmental</w:t>
      </w:r>
      <w:r w:rsidRPr="002E12F7" w:rsidR="00CD62D3">
        <w:t xml:space="preserve"> Recommendations</w:t>
      </w:r>
      <w:r w:rsidRPr="002E12F7" w:rsidR="004305E0">
        <w:t xml:space="preserve"> </w:t>
      </w:r>
      <w:r w:rsidR="00004F9F">
        <w:t>applicable to</w:t>
      </w:r>
      <w:r w:rsidRPr="002E12F7" w:rsidR="00217769">
        <w:t xml:space="preserve"> the </w:t>
      </w:r>
      <w:r w:rsidR="00711D67">
        <w:t xml:space="preserve">Site or the Facility, including the </w:t>
      </w:r>
      <w:r w:rsidRPr="002E12F7" w:rsidR="00217769">
        <w:t>design, construction, ownership, operation, maintenance, and decommissioning (if applicable) of the Facility.</w:t>
      </w:r>
      <w:r w:rsidRPr="002E12F7" w:rsidR="00820057">
        <w:t xml:space="preserve"> </w:t>
      </w:r>
      <w:r w:rsidRPr="002E12F7" w:rsidR="005F3239">
        <w:t>“</w:t>
      </w:r>
      <w:r w:rsidRPr="002E12F7">
        <w:rPr>
          <w:b/>
          <w:bCs/>
        </w:rPr>
        <w:t>Environmental</w:t>
      </w:r>
      <w:r w:rsidRPr="002E12F7" w:rsidR="005F3239">
        <w:rPr>
          <w:b/>
          <w:bCs/>
        </w:rPr>
        <w:t xml:space="preserve"> Recommendations</w:t>
      </w:r>
      <w:r w:rsidRPr="002E12F7" w:rsidR="005F3239">
        <w:t xml:space="preserve">” </w:t>
      </w:r>
      <w:r w:rsidR="00633704">
        <w:t>mean</w:t>
      </w:r>
      <w:r w:rsidRPr="002E12F7" w:rsidR="005F3239">
        <w:t xml:space="preserve"> </w:t>
      </w:r>
      <w:r w:rsidRPr="002E12F7" w:rsidR="00E424E6">
        <w:t xml:space="preserve">non-binding </w:t>
      </w:r>
      <w:r w:rsidRPr="002E12F7" w:rsidR="00F6748A">
        <w:t>recommendations</w:t>
      </w:r>
      <w:r w:rsidRPr="002E12F7" w:rsidR="005E49A1">
        <w:t xml:space="preserve"> made pursuant to</w:t>
      </w:r>
      <w:r w:rsidRPr="002E12F7" w:rsidR="00F6748A">
        <w:t xml:space="preserve"> Environmental Law or by a Governmental Authority</w:t>
      </w:r>
      <w:r w:rsidR="00633704">
        <w:t xml:space="preserve"> published before or during the Term</w:t>
      </w:r>
      <w:r w:rsidRPr="002E12F7" w:rsidR="00F6748A">
        <w:t xml:space="preserve">, including </w:t>
      </w:r>
      <w:r w:rsidR="00633704">
        <w:t>those</w:t>
      </w:r>
      <w:r w:rsidRPr="002E12F7" w:rsidR="00F6748A">
        <w:t xml:space="preserve"> </w:t>
      </w:r>
      <w:r w:rsidRPr="002E12F7" w:rsidR="003758B9">
        <w:t>regarding</w:t>
      </w:r>
      <w:r w:rsidRPr="002E12F7" w:rsidR="005E49A1">
        <w:t>:</w:t>
      </w:r>
      <w:r w:rsidRPr="002E12F7" w:rsidR="003758B9">
        <w:t xml:space="preserve"> </w:t>
      </w:r>
      <w:r w:rsidRPr="002E12F7" w:rsidR="008828B5">
        <w:t>(</w:t>
      </w:r>
      <w:r w:rsidRPr="002E12F7" w:rsidR="00512DBE">
        <w:t>i</w:t>
      </w:r>
      <w:r w:rsidRPr="002E12F7" w:rsidR="008828B5">
        <w:t xml:space="preserve">) </w:t>
      </w:r>
      <w:r w:rsidRPr="002E12F7" w:rsidR="003758B9">
        <w:t xml:space="preserve">studies </w:t>
      </w:r>
      <w:r w:rsidRPr="002E12F7" w:rsidR="008E6261">
        <w:t>or</w:t>
      </w:r>
      <w:r w:rsidRPr="002E12F7" w:rsidR="003758B9">
        <w:t xml:space="preserve"> assess</w:t>
      </w:r>
      <w:r w:rsidRPr="002E12F7" w:rsidR="008E6261">
        <w:t>ments of the actual or potential</w:t>
      </w:r>
      <w:r w:rsidRPr="002E12F7" w:rsidR="003758B9">
        <w:t xml:space="preserve"> impacts of the Facility on the environment, wildlife, or cultural resources</w:t>
      </w:r>
      <w:r w:rsidRPr="002E12F7" w:rsidR="008828B5">
        <w:t>,</w:t>
      </w:r>
      <w:r w:rsidRPr="002E12F7" w:rsidR="003758B9">
        <w:t xml:space="preserve"> (</w:t>
      </w:r>
      <w:r w:rsidRPr="002E12F7" w:rsidR="00512DBE">
        <w:t>ii</w:t>
      </w:r>
      <w:r w:rsidRPr="002E12F7" w:rsidR="003758B9">
        <w:t>) the mitigation</w:t>
      </w:r>
      <w:r w:rsidRPr="002E12F7" w:rsidR="008E6261">
        <w:t xml:space="preserve"> or avoidance</w:t>
      </w:r>
      <w:r w:rsidRPr="002E12F7" w:rsidR="003758B9">
        <w:t xml:space="preserve"> of environmental impacts, including</w:t>
      </w:r>
      <w:r w:rsidRPr="002E12F7" w:rsidR="00C57824">
        <w:t xml:space="preserve"> </w:t>
      </w:r>
      <w:r w:rsidRPr="002E12F7" w:rsidR="003758B9">
        <w:t xml:space="preserve">mitigation measures to reduce or avoid impacts to environmental, wildlife, or cultural resources, </w:t>
      </w:r>
      <w:r w:rsidR="00907853">
        <w:t>such as a</w:t>
      </w:r>
      <w:r w:rsidRPr="002E12F7" w:rsidR="003758B9">
        <w:t xml:space="preserve"> species conservation strategy</w:t>
      </w:r>
      <w:r w:rsidRPr="002E12F7" w:rsidR="00DA42D4">
        <w:t>,</w:t>
      </w:r>
      <w:r w:rsidRPr="002E12F7" w:rsidR="003758B9">
        <w:t xml:space="preserve"> conservation agreement</w:t>
      </w:r>
      <w:r w:rsidRPr="002E12F7" w:rsidR="00DA42D4">
        <w:t>, or</w:t>
      </w:r>
      <w:r w:rsidRPr="002E12F7" w:rsidR="003758B9">
        <w:t xml:space="preserve"> cultural resources treatment plan</w:t>
      </w:r>
      <w:r w:rsidR="00907853">
        <w:t xml:space="preserve">; and (iii) for a Facility located in Georgia, recommended practices published by the Georgia DNR and made available at </w:t>
      </w:r>
      <w:r w:rsidRPr="008D1B3B" w:rsidR="008D1B3B">
        <w:t>https://gadnr.org</w:t>
      </w:r>
      <w:r w:rsidRPr="002E12F7" w:rsidR="003758B9">
        <w:t>.</w:t>
      </w:r>
      <w:r w:rsidRPr="002E12F7" w:rsidR="005F3239">
        <w:t xml:space="preserve"> </w:t>
      </w:r>
      <w:r w:rsidRPr="002E12F7" w:rsidR="00DE3D11">
        <w:t xml:space="preserve">Seller’s compliance with </w:t>
      </w:r>
      <w:r w:rsidRPr="002E12F7" w:rsidR="00FD2F69">
        <w:t>Environmental Recommendations</w:t>
      </w:r>
      <w:r w:rsidRPr="002E12F7" w:rsidR="00DE3D11">
        <w:t xml:space="preserve"> includes</w:t>
      </w:r>
      <w:r w:rsidR="00560AFD">
        <w:t>, to the extent commercially practicable,</w:t>
      </w:r>
      <w:r w:rsidRPr="002E12F7" w:rsidR="00DE3D11">
        <w:t xml:space="preserve"> adopting, maintaining, and updating policies and procedures in accordance with </w:t>
      </w:r>
      <w:r w:rsidR="00E81CBB">
        <w:t>Environmental Recommendations</w:t>
      </w:r>
      <w:r w:rsidRPr="002E12F7" w:rsidR="00DE3D11">
        <w:t>. Accordingly, on</w:t>
      </w:r>
      <w:r w:rsidRPr="002E12F7" w:rsidR="00DA42D4">
        <w:t xml:space="preserve"> a regular basis throughout the Term, Seller must review </w:t>
      </w:r>
      <w:r w:rsidRPr="002E12F7" w:rsidR="00F250F8">
        <w:t xml:space="preserve"> Environmental Recommendations and take steps to comply with the same in accordance with this Section 17.4.2 (</w:t>
      </w:r>
      <w:r w:rsidRPr="002E12F7" w:rsidR="00F250F8">
        <w:rPr>
          <w:i/>
          <w:iCs/>
        </w:rPr>
        <w:t>Environmental Recommendations</w:t>
      </w:r>
      <w:r w:rsidRPr="002E12F7" w:rsidR="00F250F8">
        <w:t>).</w:t>
      </w:r>
      <w:r w:rsidRPr="002E12F7" w:rsidR="00BE0155">
        <w:t xml:space="preserve"> </w:t>
      </w:r>
      <w:r w:rsidRPr="002E12F7" w:rsidR="00D414C8">
        <w:t>Seller is responsible for all costs, expenses, charges, and fees concerning all compliance required in this Section 17.4.2.</w:t>
      </w:r>
    </w:p>
    <w:p w:rsidRPr="00540449" w:rsidR="002D54C4" w:rsidRDefault="002D54C4" w14:paraId="6450030A" w14:textId="77777777">
      <w:pPr>
        <w:pStyle w:val="zGTC02"/>
        <w:rPr>
          <w:rFonts w:ascii="Arial" w:hAnsi="Arial" w:cs="Arial"/>
          <w:vanish/>
          <w:szCs w:val="20"/>
          <w:specVanish/>
        </w:rPr>
      </w:pPr>
      <w:bookmarkStart w:name="_Toc227451439" w:id="746"/>
      <w:bookmarkStart w:name="_Toc169778675" w:id="747"/>
      <w:bookmarkStart w:name="_Toc227451440" w:id="748"/>
      <w:bookmarkEnd w:id="746"/>
      <w:r w:rsidRPr="00540449">
        <w:rPr>
          <w:rFonts w:ascii="Arial" w:hAnsi="Arial" w:cs="Arial"/>
        </w:rPr>
        <w:t>Wildlife.</w:t>
      </w:r>
      <w:bookmarkStart w:name="_Toc158593277" w:id="749"/>
      <w:bookmarkStart w:name="_Toc158597556" w:id="750"/>
      <w:bookmarkStart w:name="_Toc158720180" w:id="751"/>
      <w:bookmarkStart w:name="_Toc158722934" w:id="752"/>
      <w:bookmarkStart w:name="_Toc158929466" w:id="753"/>
      <w:bookmarkEnd w:id="747"/>
      <w:bookmarkEnd w:id="748"/>
      <w:bookmarkEnd w:id="749"/>
      <w:bookmarkEnd w:id="750"/>
      <w:bookmarkEnd w:id="751"/>
      <w:bookmarkEnd w:id="752"/>
      <w:bookmarkEnd w:id="753"/>
    </w:p>
    <w:p w:rsidRPr="00540449" w:rsidR="002D54C4" w:rsidRDefault="002D54C4" w14:paraId="6C91745E" w14:textId="2DD76009">
      <w:pPr>
        <w:pStyle w:val="zGNormal"/>
      </w:pPr>
      <w:r w:rsidRPr="00540449">
        <w:t xml:space="preserve"> If any species survey or study indicates that a direct or indirect taking of wildlife listed as threatened, endangered, or other special status under Environmental Laws, or any impacts to habitat of such wildlife, will occur as a result of development or construction activities (including due to grading, ground disturbance, tree clearing, or nest removal) or during operation of the Facility, Seller will consult with </w:t>
      </w:r>
      <w:r w:rsidRPr="00540449">
        <w:lastRenderedPageBreak/>
        <w:t xml:space="preserve">the relevant Governmental Authority to determine whether incidental take authorization or a species habitat conservation or management plan is required under Environmental Laws for the Facility or the Site. If required by any </w:t>
      </w:r>
      <w:r w:rsidR="00863A1D">
        <w:t>p</w:t>
      </w:r>
      <w:r w:rsidRPr="00540449">
        <w:t>ermit, Seller will develop and share with GPC a plan for addressing such impacts. During development and construction of the Facility, any wildlife protected by Environmental Laws discovered on the Site must be reported by Seller in accordance with any applicable conservation or management plans.</w:t>
      </w:r>
    </w:p>
    <w:p w:rsidRPr="00540449" w:rsidR="002D54C4" w:rsidRDefault="002D54C4" w14:paraId="232A1CE8" w14:textId="77777777">
      <w:pPr>
        <w:pStyle w:val="zGTC02"/>
        <w:rPr>
          <w:rFonts w:ascii="Arial" w:hAnsi="Arial" w:cs="Arial"/>
        </w:rPr>
      </w:pPr>
      <w:bookmarkStart w:name="_Toc169778676" w:id="754"/>
      <w:bookmarkStart w:name="_Toc227451441" w:id="755"/>
      <w:r w:rsidRPr="00540449">
        <w:rPr>
          <w:rFonts w:ascii="Arial" w:hAnsi="Arial" w:cs="Arial"/>
        </w:rPr>
        <w:t>Notices of Violations and Potential Violations; NOV Remediation Plan.</w:t>
      </w:r>
      <w:bookmarkEnd w:id="754"/>
      <w:bookmarkEnd w:id="755"/>
      <w:r w:rsidRPr="00540449">
        <w:rPr>
          <w:rFonts w:ascii="Arial" w:hAnsi="Arial" w:cs="Arial"/>
        </w:rPr>
        <w:t xml:space="preserve"> </w:t>
      </w:r>
      <w:bookmarkStart w:name="_Toc158593278" w:id="756"/>
      <w:bookmarkStart w:name="_Toc158597557" w:id="757"/>
      <w:bookmarkStart w:name="_Toc158720181" w:id="758"/>
      <w:bookmarkStart w:name="_Toc158722935" w:id="759"/>
      <w:bookmarkStart w:name="_Toc158929467" w:id="760"/>
      <w:bookmarkEnd w:id="756"/>
      <w:bookmarkEnd w:id="757"/>
      <w:bookmarkEnd w:id="758"/>
      <w:bookmarkEnd w:id="759"/>
      <w:bookmarkEnd w:id="760"/>
    </w:p>
    <w:p w:rsidRPr="00540449" w:rsidR="002D54C4" w:rsidP="008759EF" w:rsidRDefault="002D54C4" w14:paraId="21A3B358" w14:textId="78393117">
      <w:pPr>
        <w:pStyle w:val="zGTC03"/>
        <w:rPr>
          <w:rFonts w:cs="Arial"/>
          <w:b/>
          <w:vanish/>
          <w:specVanish/>
        </w:rPr>
      </w:pPr>
      <w:r w:rsidRPr="00540449">
        <w:rPr>
          <w:rFonts w:cs="Arial"/>
          <w:b/>
        </w:rPr>
        <w:t>Notices of Violations.</w:t>
      </w:r>
    </w:p>
    <w:p w:rsidRPr="00540449" w:rsidR="002D54C4" w:rsidRDefault="002D54C4" w14:paraId="20240040" w14:textId="49534914">
      <w:pPr>
        <w:pStyle w:val="zGNormal"/>
      </w:pPr>
      <w:r w:rsidRPr="00540449">
        <w:rPr>
          <w:b/>
        </w:rPr>
        <w:t xml:space="preserve"> </w:t>
      </w:r>
      <w:r w:rsidRPr="00540449">
        <w:t>Within seven Days after receipt, Seller must provide GPC with copies of any written notification from any Governmental Authority alleging that Seller is in violation of any law, including any Environmental Law applicable to the Facility or the Site with respect to the design, construction, ownership, operation, maintenance, or decommissioning of the Facility (an “</w:t>
      </w:r>
      <w:r w:rsidRPr="00540449">
        <w:rPr>
          <w:b/>
          <w:bCs/>
        </w:rPr>
        <w:t>NOV</w:t>
      </w:r>
      <w:r w:rsidRPr="00540449">
        <w:t>”).</w:t>
      </w:r>
    </w:p>
    <w:p w:rsidRPr="00540449" w:rsidR="002D54C4" w:rsidP="008759EF" w:rsidRDefault="002D54C4" w14:paraId="202A6374" w14:textId="75A3D96F">
      <w:pPr>
        <w:pStyle w:val="zGTC03"/>
        <w:rPr>
          <w:rFonts w:cs="Arial"/>
          <w:b/>
          <w:vanish/>
          <w:specVanish/>
        </w:rPr>
      </w:pPr>
      <w:r w:rsidRPr="00540449">
        <w:rPr>
          <w:rFonts w:cs="Arial"/>
          <w:b/>
        </w:rPr>
        <w:t>NOV Remedy Plan.</w:t>
      </w:r>
    </w:p>
    <w:p w:rsidRPr="00540449" w:rsidR="002D54C4" w:rsidRDefault="002D54C4" w14:paraId="15362891" w14:textId="1A488FE9">
      <w:pPr>
        <w:pStyle w:val="zGNormal"/>
      </w:pPr>
      <w:r w:rsidRPr="00540449">
        <w:t xml:space="preserve"> </w:t>
      </w:r>
      <w:r w:rsidR="002625F9">
        <w:t>If (i) an NOV impacts, or is reasonably expected to impact, Seller’s performance of its PPA obligations</w:t>
      </w:r>
      <w:r w:rsidR="000E6A6C">
        <w:t>; and (ii) GPC requests a remedy plan from Seller in writing</w:t>
      </w:r>
      <w:r w:rsidRPr="00540449">
        <w:t>, Seller must prepare and submit to GPC an “</w:t>
      </w:r>
      <w:r w:rsidRPr="00540449">
        <w:rPr>
          <w:b/>
          <w:bCs/>
        </w:rPr>
        <w:t xml:space="preserve">NOV </w:t>
      </w:r>
      <w:r w:rsidRPr="00540449">
        <w:rPr>
          <w:b/>
        </w:rPr>
        <w:t>Remedy Plan</w:t>
      </w:r>
      <w:r w:rsidRPr="00540449">
        <w:t xml:space="preserve">” setting forth Seller’s plan and schedule for mitigation and other remedial measures to cure such NOV as soon as reasonably practicable and in accordance with any requirements of any applicable Governmental Authority. Seller must diligently pursue the performance of </w:t>
      </w:r>
      <w:r w:rsidR="000B03D7">
        <w:t>the NOV</w:t>
      </w:r>
      <w:r w:rsidRPr="00540449">
        <w:t xml:space="preserve"> Remedy Plan to completion.</w:t>
      </w:r>
    </w:p>
    <w:p w:rsidRPr="00540449" w:rsidR="002D54C4" w:rsidP="008759EF" w:rsidRDefault="002D54C4" w14:paraId="59BF0AD5" w14:textId="77777777">
      <w:pPr>
        <w:pStyle w:val="zGTC03"/>
        <w:rPr>
          <w:rFonts w:cs="Arial"/>
          <w:b/>
          <w:vanish/>
          <w:specVanish/>
        </w:rPr>
      </w:pPr>
      <w:r w:rsidRPr="00540449">
        <w:rPr>
          <w:rFonts w:cs="Arial"/>
          <w:b/>
        </w:rPr>
        <w:t>Monthly Status Reports and Updates to NOV Remedy Plan.</w:t>
      </w:r>
    </w:p>
    <w:p w:rsidR="002D54C4" w:rsidRDefault="002D54C4" w14:paraId="110F6426" w14:textId="77777777">
      <w:pPr>
        <w:pStyle w:val="zGNormal"/>
      </w:pPr>
      <w:r w:rsidRPr="00540449">
        <w:t xml:space="preserve"> While an NOV Remedy Plan is in effect, Seller must provide Monthly status reports to GPC, notifying GPC of the implementation of the NOV Remedy Plan, including the steps taken to remedy the NOV, any change to the NOV Remedy Plan, any impact on Seller’s performance of its obligations under this PPA, as well as any additional relevant information as may be reasonably requested by GPC. Seller must modify the NOV Remedy Plan if and as required to comply with any requirement of any applicable law or Governmental Authority.</w:t>
      </w:r>
    </w:p>
    <w:p w:rsidRPr="00540449" w:rsidR="002D54C4" w:rsidP="00ED6839" w:rsidRDefault="002D54C4" w14:paraId="1681C652" w14:textId="77777777">
      <w:pPr>
        <w:pStyle w:val="zGTC01"/>
        <w:rPr>
          <w:rFonts w:ascii="Arial" w:hAnsi="Arial"/>
          <w:szCs w:val="20"/>
        </w:rPr>
      </w:pPr>
      <w:bookmarkStart w:name="_Toc169778677" w:id="761"/>
      <w:bookmarkStart w:name="_Toc227451442" w:id="762"/>
      <w:r w:rsidRPr="00540449">
        <w:rPr>
          <w:rFonts w:ascii="Arial" w:hAnsi="Arial"/>
        </w:rPr>
        <w:t>Assignment,</w:t>
      </w:r>
      <w:r w:rsidRPr="00540449" w:rsidDel="00827877">
        <w:rPr>
          <w:rFonts w:ascii="Arial" w:hAnsi="Arial"/>
        </w:rPr>
        <w:t xml:space="preserve"> </w:t>
      </w:r>
      <w:r w:rsidRPr="00540449">
        <w:rPr>
          <w:rFonts w:ascii="Arial" w:hAnsi="Arial"/>
        </w:rPr>
        <w:t>Transfers, and Changes of Control</w:t>
      </w:r>
      <w:bookmarkEnd w:id="761"/>
      <w:bookmarkEnd w:id="762"/>
    </w:p>
    <w:p w:rsidRPr="00540449" w:rsidR="004A6A35" w:rsidP="00076D0B" w:rsidRDefault="002D54C4" w14:paraId="7BB0D868" w14:textId="51C2733D">
      <w:pPr>
        <w:pStyle w:val="zGTC02"/>
        <w:rPr>
          <w:rFonts w:ascii="Arial" w:hAnsi="Arial" w:cs="Arial"/>
          <w:specVanish/>
        </w:rPr>
      </w:pPr>
      <w:bookmarkStart w:name="_Toc169778678" w:id="763"/>
      <w:bookmarkStart w:name="_Toc227451443" w:id="764"/>
      <w:r w:rsidRPr="00540449">
        <w:rPr>
          <w:rFonts w:ascii="Arial" w:hAnsi="Arial" w:cs="Arial"/>
        </w:rPr>
        <w:t>Assignment</w:t>
      </w:r>
      <w:r w:rsidR="00B01620">
        <w:rPr>
          <w:rFonts w:ascii="Arial" w:hAnsi="Arial" w:cs="Arial"/>
        </w:rPr>
        <w:t>, Transfers, and Changes of Control</w:t>
      </w:r>
      <w:r w:rsidRPr="00540449">
        <w:rPr>
          <w:rFonts w:ascii="Arial" w:hAnsi="Arial" w:cs="Arial"/>
        </w:rPr>
        <w:t>.</w:t>
      </w:r>
      <w:bookmarkStart w:name="_Toc158593280" w:id="765"/>
      <w:bookmarkStart w:name="_Toc158597559" w:id="766"/>
      <w:bookmarkStart w:name="_Toc158720183" w:id="767"/>
      <w:bookmarkStart w:name="_Toc158722937" w:id="768"/>
      <w:bookmarkStart w:name="_Toc158929469" w:id="769"/>
      <w:bookmarkEnd w:id="763"/>
      <w:bookmarkEnd w:id="764"/>
      <w:bookmarkEnd w:id="765"/>
      <w:bookmarkEnd w:id="766"/>
      <w:bookmarkEnd w:id="767"/>
      <w:bookmarkEnd w:id="768"/>
      <w:bookmarkEnd w:id="769"/>
    </w:p>
    <w:p w:rsidRPr="00F21356" w:rsidR="00502EC7" w:rsidP="00261AEB" w:rsidRDefault="00502EC7" w14:paraId="46E57BB4" w14:textId="13E14E79">
      <w:pPr>
        <w:pStyle w:val="zGTC03"/>
      </w:pPr>
      <w:r w:rsidRPr="00502EC7">
        <w:rPr>
          <w:b/>
          <w:bCs/>
        </w:rPr>
        <w:t>Assignment by Seller.</w:t>
      </w:r>
      <w:r>
        <w:t xml:space="preserve"> </w:t>
      </w:r>
      <w:bookmarkStart w:name="_Hlk201050541" w:id="770"/>
      <w:r w:rsidRPr="00F21356">
        <w:t>Except as expressly provided in Section 18.2 (</w:t>
      </w:r>
      <w:r w:rsidRPr="00F21356">
        <w:rPr>
          <w:i/>
          <w:iCs/>
        </w:rPr>
        <w:t xml:space="preserve">Financing </w:t>
      </w:r>
      <w:r w:rsidRPr="00261AEB">
        <w:rPr>
          <w:i/>
        </w:rPr>
        <w:t>Assignment</w:t>
      </w:r>
      <w:r w:rsidRPr="00F21356">
        <w:rPr>
          <w:i/>
          <w:iCs/>
        </w:rPr>
        <w:t>;</w:t>
      </w:r>
      <w:r w:rsidRPr="00F21356">
        <w:t xml:space="preserve"> </w:t>
      </w:r>
      <w:r w:rsidRPr="00F21356">
        <w:rPr>
          <w:i/>
          <w:iCs/>
        </w:rPr>
        <w:t>Estoppels</w:t>
      </w:r>
      <w:r w:rsidRPr="00F21356">
        <w:t>),</w:t>
      </w:r>
      <w:r w:rsidRPr="00261AEB">
        <w:t xml:space="preserve"> </w:t>
      </w:r>
      <w:r w:rsidRPr="00F21356">
        <w:t>Seller must not assign this PPA in whole or in part to any Person without the prior written consent of GPC. Any proposed assignee of this PPA must: (i) agree to assume Seller’s obligations under this PPA and provide assurances of its ability to perform all PPA obligations; (ii) deliver, on GPC’s reasonable request, assurances of its Creditworthiness and, if applicable, Eligible Collateral; and (iii) cooperate with GPC to comply with any legal requirement that results from such assignment</w:t>
      </w:r>
      <w:bookmarkEnd w:id="770"/>
      <w:r w:rsidRPr="00F21356">
        <w:t xml:space="preserve">. </w:t>
      </w:r>
    </w:p>
    <w:p w:rsidRPr="00154F6B" w:rsidR="00CF1023" w:rsidP="00261AEB" w:rsidRDefault="00CF1023" w14:paraId="601253B0" w14:textId="69BB3DE4">
      <w:pPr>
        <w:pStyle w:val="zGTC03"/>
      </w:pPr>
      <w:r w:rsidRPr="00CF1023">
        <w:rPr>
          <w:b/>
          <w:bCs/>
        </w:rPr>
        <w:t>Release.</w:t>
      </w:r>
      <w:r w:rsidRPr="00261AEB">
        <w:t xml:space="preserve"> </w:t>
      </w:r>
      <w:r w:rsidRPr="00F21356">
        <w:t>Any assignment of this PPA made in compliance with Section 18.1.1 (</w:t>
      </w:r>
      <w:r w:rsidRPr="00F21356">
        <w:rPr>
          <w:i/>
          <w:iCs/>
        </w:rPr>
        <w:t>Assignment by Seller</w:t>
      </w:r>
      <w:r w:rsidRPr="00261AEB">
        <w:rPr>
          <w:i/>
        </w:rPr>
        <w:t xml:space="preserve">) </w:t>
      </w:r>
      <w:r w:rsidRPr="00F21356">
        <w:t>will constitute, as of the effective date of the assignment, an acceptance and assumption by assignee of all obligations under this PPA and a release and discharge by GPC of Seller from all obligations under this PPA arising after the effective date of the assignment.</w:t>
      </w:r>
    </w:p>
    <w:p w:rsidRPr="00154F6B" w:rsidR="008A4738" w:rsidP="00261AEB" w:rsidRDefault="008A4738" w14:paraId="716FE70A" w14:textId="6CC58D85">
      <w:pPr>
        <w:pStyle w:val="zGTC03"/>
      </w:pPr>
      <w:r w:rsidRPr="008A4738">
        <w:rPr>
          <w:b/>
          <w:bCs/>
        </w:rPr>
        <w:t>Assignment by GPC.</w:t>
      </w:r>
      <w:r>
        <w:t xml:space="preserve"> </w:t>
      </w:r>
      <w:r w:rsidRPr="00F21356">
        <w:t xml:space="preserve">GPC may not assign this PPA or any portion of this PPA to any Person without the prior written consent of Seller. However, GPC may, without the consent of Seller and with the approval of the Commission, assign this PPA to a </w:t>
      </w:r>
      <w:r w:rsidR="003031EF">
        <w:t xml:space="preserve">Creditworthy </w:t>
      </w:r>
      <w:r w:rsidRPr="00F21356">
        <w:t>Affiliate subject to the jurisdiction of a state regulatory commission</w:t>
      </w:r>
      <w:r w:rsidRPr="00154F6B">
        <w:t>.</w:t>
      </w:r>
    </w:p>
    <w:p w:rsidRPr="00FB38D0" w:rsidR="009F3E33" w:rsidP="009F3E33" w:rsidRDefault="009F3E33" w14:paraId="084A2B90" w14:textId="66CC5BCC">
      <w:pPr>
        <w:pStyle w:val="zGTC03"/>
      </w:pPr>
      <w:bookmarkStart w:name="_Toc379477333" w:id="771"/>
      <w:bookmarkStart w:name="_Toc169778679" w:id="772"/>
      <w:r w:rsidRPr="009F3E33">
        <w:rPr>
          <w:b/>
          <w:bCs/>
        </w:rPr>
        <w:t>Transfer; Change of Control.</w:t>
      </w:r>
      <w:r w:rsidRPr="00FB38D0">
        <w:t xml:space="preserve"> </w:t>
      </w:r>
      <w:bookmarkStart w:name="_Hlk201050589" w:id="773"/>
      <w:r w:rsidRPr="00F21356">
        <w:t>Seller agrees that, without the prior written consent of GPC, there will be no: (i) Change of Control Transaction with respect to Seller; or (ii) delegation by Seller of operational responsibility for the Facility</w:t>
      </w:r>
      <w:r w:rsidR="00FB46AC">
        <w:t>.</w:t>
      </w:r>
      <w:r w:rsidR="00687368">
        <w:t xml:space="preserve"> </w:t>
      </w:r>
      <w:r w:rsidR="00FB46AC">
        <w:t>F</w:t>
      </w:r>
      <w:r w:rsidR="00687368">
        <w:t>or the avoidance of doubt</w:t>
      </w:r>
      <w:r w:rsidR="00FB46AC">
        <w:t>,</w:t>
      </w:r>
      <w:r w:rsidR="00084C1F">
        <w:t xml:space="preserve"> </w:t>
      </w:r>
      <w:r w:rsidR="00BC7419">
        <w:t xml:space="preserve">nothing in </w:t>
      </w:r>
      <w:r w:rsidR="00FB46AC">
        <w:t xml:space="preserve">Section 18.1.4(ii) </w:t>
      </w:r>
      <w:r w:rsidR="00FA795C">
        <w:t>(</w:t>
      </w:r>
      <w:r w:rsidRPr="00FA795C" w:rsidR="00FA795C">
        <w:rPr>
          <w:i/>
          <w:iCs/>
        </w:rPr>
        <w:t>Transfer; Change of Control</w:t>
      </w:r>
      <w:r w:rsidR="00FB46AC">
        <w:t xml:space="preserve">) </w:t>
      </w:r>
      <w:r w:rsidR="00BC7419">
        <w:t>will be construed to prohibit</w:t>
      </w:r>
      <w:r w:rsidR="00084C1F">
        <w:t xml:space="preserve"> Seller </w:t>
      </w:r>
      <w:r w:rsidR="00BC7419">
        <w:t>from</w:t>
      </w:r>
      <w:r w:rsidR="00084C1F">
        <w:t xml:space="preserve"> engag</w:t>
      </w:r>
      <w:r w:rsidR="00BC7419">
        <w:t>ing</w:t>
      </w:r>
      <w:r w:rsidR="00084C1F">
        <w:t xml:space="preserve"> qualified contractors for discrete services related to day-to-day </w:t>
      </w:r>
      <w:r w:rsidR="00D8593C">
        <w:t xml:space="preserve">Facility </w:t>
      </w:r>
      <w:r w:rsidR="00084C1F">
        <w:t>operations without GPC’s prior written consent</w:t>
      </w:r>
      <w:r w:rsidRPr="00F21356">
        <w:t xml:space="preserve">. Seller, without GPC’s consent, may enter into a Reorganization Transaction so long as: (a) Seller provides notice to GPC at least 30 Days before the anticipated effective date of the proposed transaction; and (b) the Reorganization Transaction does not: (1) </w:t>
      </w:r>
      <w:r w:rsidRPr="00F21356">
        <w:lastRenderedPageBreak/>
        <w:t xml:space="preserve">limit GPC’s rights under this PPA; (2) expand the liability, risks, or obligations imposed on GPC under this PPA; (3) release or discharge Seller from any PPA obligation or liability; or (4) require substitution or amendment of (I) </w:t>
      </w:r>
      <w:r w:rsidR="00EC70A1">
        <w:t>Eligible Collateral</w:t>
      </w:r>
      <w:r w:rsidRPr="00F21356">
        <w:t>, (II) insurance, or (III) W-9. A Reorganization Transaction that requires or will result in substitution or amendment of (I)</w:t>
      </w:r>
      <w:r w:rsidR="00864002">
        <w:t xml:space="preserve"> </w:t>
      </w:r>
      <w:r w:rsidR="005A35F2">
        <w:t>Eligible Collateral</w:t>
      </w:r>
      <w:r w:rsidRPr="00F21356">
        <w:t>, (II) insurance, or (III) W-9 will be documented and treated as if it were an assignment of this PPA and Section 18.1.1 (</w:t>
      </w:r>
      <w:r w:rsidRPr="00F21356">
        <w:rPr>
          <w:i/>
          <w:iCs/>
        </w:rPr>
        <w:t>Assignment by Seller</w:t>
      </w:r>
      <w:r w:rsidRPr="00F21356">
        <w:t>) will apply</w:t>
      </w:r>
      <w:bookmarkEnd w:id="771"/>
      <w:bookmarkEnd w:id="773"/>
      <w:r w:rsidRPr="00F21356">
        <w:t>.</w:t>
      </w:r>
    </w:p>
    <w:p w:rsidR="00A8181F" w:rsidP="00261AEB" w:rsidRDefault="00A8181F" w14:paraId="45DE7F36" w14:textId="097D753E">
      <w:pPr>
        <w:pStyle w:val="zGTC03"/>
      </w:pPr>
      <w:r w:rsidRPr="005F33C2">
        <w:rPr>
          <w:b/>
        </w:rPr>
        <w:t>Request for Consent.</w:t>
      </w:r>
      <w:r>
        <w:t xml:space="preserve"> </w:t>
      </w:r>
      <w:bookmarkStart w:name="_Hlk201050618" w:id="774"/>
      <w:r w:rsidRPr="00F21356">
        <w:t>When GPC’s consent is required under Sections 18.1.1 (</w:t>
      </w:r>
      <w:bookmarkEnd w:id="772"/>
      <w:r w:rsidR="007A5A4D">
        <w:rPr>
          <w:i/>
          <w:iCs/>
        </w:rPr>
        <w:t xml:space="preserve">Assignment </w:t>
      </w:r>
      <w:r w:rsidRPr="00F21356">
        <w:rPr>
          <w:i/>
          <w:iCs/>
        </w:rPr>
        <w:t>by Seller</w:t>
      </w:r>
      <w:r w:rsidRPr="00F21356">
        <w:t>) or 18.1.4 (</w:t>
      </w:r>
      <w:r w:rsidRPr="00F21356">
        <w:rPr>
          <w:i/>
          <w:iCs/>
        </w:rPr>
        <w:t>Transfer; Change of Control</w:t>
      </w:r>
      <w:r w:rsidRPr="00F21356">
        <w:t xml:space="preserve">), Seller must: (i) request GPC’s consent to the transaction by providing notice at least 30 Days before the anticipated effective date of the proposed transaction; and (ii) receive GPC’s written consent. GPC and Seller will cooperate to finalize the form of written consent between the relevant parties. Subject to Seller’s satisfaction of all applicable provisions of Sections 18.1 through 18.4, inclusive, GPC will seek any required Consent from the Commission after GPC is satisfied that: (a) Seller’s transaction is final but for such Consent; (b) a plan for any replacement of Eligible Collateral is satisfactory and sufficient; and (c) any required accounting determination </w:t>
      </w:r>
      <w:r w:rsidR="00552F47">
        <w:t>has</w:t>
      </w:r>
      <w:r w:rsidRPr="00F21356" w:rsidR="00552F47">
        <w:t xml:space="preserve"> </w:t>
      </w:r>
      <w:r w:rsidRPr="00F21356">
        <w:t xml:space="preserve">been made by GPC and </w:t>
      </w:r>
      <w:r w:rsidR="00552F47">
        <w:t>is</w:t>
      </w:r>
      <w:r w:rsidRPr="00F21356" w:rsidR="00552F47">
        <w:t xml:space="preserve"> </w:t>
      </w:r>
      <w:r w:rsidRPr="00F21356">
        <w:t>acceptable</w:t>
      </w:r>
      <w:bookmarkEnd w:id="774"/>
      <w:r w:rsidRPr="00F21356">
        <w:t>.</w:t>
      </w:r>
      <w:r w:rsidRPr="00154F6B">
        <w:t xml:space="preserve"> </w:t>
      </w:r>
    </w:p>
    <w:p w:rsidRPr="00F21356" w:rsidR="00F516D7" w:rsidP="00261AEB" w:rsidRDefault="00F516D7" w14:paraId="2DA2F22A" w14:textId="722386D0">
      <w:pPr>
        <w:pStyle w:val="zGTC03"/>
      </w:pPr>
      <w:bookmarkStart w:name="_Toc169778683" w:id="775"/>
      <w:r w:rsidRPr="00676D52">
        <w:rPr>
          <w:rFonts w:ascii="Arial Bold" w:hAnsi="Arial Bold"/>
        </w:rPr>
        <w:t>Transferee Assurances.</w:t>
      </w:r>
      <w:bookmarkEnd w:id="775"/>
      <w:r>
        <w:t xml:space="preserve"> </w:t>
      </w:r>
      <w:bookmarkStart w:name="_Hlk201050646" w:id="776"/>
      <w:r w:rsidRPr="00F21356">
        <w:t>Before any transaction requiring GPC’s consent under Section 18.1.1 (</w:t>
      </w:r>
      <w:r w:rsidRPr="00F21356">
        <w:rPr>
          <w:i/>
          <w:iCs/>
        </w:rPr>
        <w:t>Assignment by Selle</w:t>
      </w:r>
      <w:r w:rsidRPr="00F21356">
        <w:t>r) or Section 18.1.4 (</w:t>
      </w:r>
      <w:r w:rsidRPr="00F21356">
        <w:rPr>
          <w:i/>
          <w:iCs/>
        </w:rPr>
        <w:t>Transfer;</w:t>
      </w:r>
      <w:r w:rsidRPr="00261AEB">
        <w:rPr>
          <w:i/>
        </w:rPr>
        <w:t xml:space="preserve"> Change of Control</w:t>
      </w:r>
      <w:r w:rsidRPr="00F21356">
        <w:t xml:space="preserve">), </w:t>
      </w:r>
      <w:bookmarkEnd w:id="776"/>
      <w:r w:rsidRPr="00F21356">
        <w:t xml:space="preserve">Seller must obtain for GPC written assurances from the transferee </w:t>
      </w:r>
      <w:r w:rsidRPr="00F21356">
        <w:rPr>
          <w:rFonts w:cs="Arial"/>
        </w:rPr>
        <w:t xml:space="preserve">of the limitations of and protections against liability following the proposed transfer at least equivalent to those afforded GPC and its Affiliates under this PPA. Any transfer contrary to the provisions of this </w:t>
      </w:r>
      <w:r w:rsidRPr="00F21356">
        <w:t>Section</w:t>
      </w:r>
      <w:r w:rsidRPr="00F21356">
        <w:rPr>
          <w:rFonts w:cs="Arial"/>
        </w:rPr>
        <w:t xml:space="preserve"> 18.1.6 (</w:t>
      </w:r>
      <w:r w:rsidRPr="00F21356">
        <w:rPr>
          <w:rFonts w:cs="Arial"/>
          <w:i/>
          <w:iCs/>
        </w:rPr>
        <w:t>Transferee Assurances</w:t>
      </w:r>
      <w:r w:rsidRPr="00F21356">
        <w:rPr>
          <w:rFonts w:cs="Arial"/>
        </w:rPr>
        <w:t xml:space="preserve">), </w:t>
      </w:r>
      <w:r w:rsidRPr="00F21356">
        <w:t>will</w:t>
      </w:r>
      <w:r w:rsidRPr="00F21356">
        <w:rPr>
          <w:rFonts w:cs="Arial"/>
        </w:rPr>
        <w:t xml:space="preserve"> make Seller the indemnitor of GPC and its Affiliates against any liabilities incurred by GPC and its Affiliates in excess of those that would have been incurred had no such transfer taken place. If Seller is not the sole owner of the Facility, Seller represents and warrants that it has (and will maintain) written assurances from each other owner of the Facility limitations of and protections against liability of GPC and its Affiliates with respect to each such other owner at least equivalent to that afforded GPC and its Affiliates under this PPA. Any breach of this </w:t>
      </w:r>
      <w:r w:rsidRPr="00F21356">
        <w:t>Section</w:t>
      </w:r>
      <w:r w:rsidRPr="00F21356">
        <w:rPr>
          <w:rFonts w:cs="Arial"/>
        </w:rPr>
        <w:t xml:space="preserve"> 18.1.6 by Seller will make Seller the indemnitor of GPC and its Affiliates against any liabilities incurred by any of them arising out of any such breach.</w:t>
      </w:r>
    </w:p>
    <w:p w:rsidRPr="007B46DD" w:rsidR="00BC27C4" w:rsidP="00BC27C4" w:rsidRDefault="00BC27C4" w14:paraId="0BBAB9B7" w14:textId="77777777">
      <w:pPr>
        <w:pStyle w:val="zGTC02"/>
        <w:rPr>
          <w:vanish/>
          <w:specVanish/>
        </w:rPr>
      </w:pPr>
      <w:bookmarkStart w:name="_Hlk159339373" w:id="777"/>
      <w:bookmarkStart w:name="_Toc201593177" w:id="778"/>
      <w:bookmarkStart w:name="_Toc227451444" w:id="779"/>
      <w:r w:rsidRPr="0075245F">
        <w:t xml:space="preserve">Financing </w:t>
      </w:r>
      <w:r>
        <w:t>Assignment; Estoppels</w:t>
      </w:r>
      <w:bookmarkEnd w:id="777"/>
      <w:r w:rsidRPr="005A171F">
        <w:t>.</w:t>
      </w:r>
      <w:bookmarkEnd w:id="778"/>
      <w:bookmarkEnd w:id="779"/>
    </w:p>
    <w:p w:rsidRPr="0021585A" w:rsidR="00BC27C4" w:rsidP="00BC27C4" w:rsidRDefault="00BC27C4" w14:paraId="15735EC6" w14:textId="6A588DF8">
      <w:pPr>
        <w:pStyle w:val="zGNormal"/>
        <w:widowControl w:val="0"/>
        <w:spacing w:after="120"/>
      </w:pPr>
      <w:r w:rsidRPr="005A171F">
        <w:t xml:space="preserve"> </w:t>
      </w:r>
      <w:bookmarkStart w:name="_Hlk201050721" w:id="780"/>
      <w:r w:rsidRPr="00154F6B">
        <w:t xml:space="preserve">Seller, without the consent of </w:t>
      </w:r>
      <w:r>
        <w:t>GPC</w:t>
      </w:r>
      <w:r w:rsidRPr="00154F6B">
        <w:t xml:space="preserve">, </w:t>
      </w:r>
      <w:r>
        <w:t>may make a Financing Assignment. GPC agrees to execute a reasonable written consent to the collateral assignment in a form acceptable to GPC if the financing party reasonably requests such consent</w:t>
      </w:r>
      <w:r w:rsidRPr="00154F6B">
        <w:t xml:space="preserve">. </w:t>
      </w:r>
      <w:r w:rsidRPr="005A171F">
        <w:t>Upon reasonable request to G</w:t>
      </w:r>
      <w:r>
        <w:t xml:space="preserve">PC in connection with a </w:t>
      </w:r>
      <w:r w:rsidRPr="00674ACD">
        <w:t xml:space="preserve">Financing Assignment or any transaction </w:t>
      </w:r>
      <w:r>
        <w:t xml:space="preserve">for which GPC’s consent is required under </w:t>
      </w:r>
      <w:r w:rsidRPr="00674ACD">
        <w:t xml:space="preserve">Sections 18.1 </w:t>
      </w:r>
      <w:r w:rsidR="00EB3378">
        <w:t>(</w:t>
      </w:r>
      <w:r w:rsidRPr="00EB3378" w:rsidR="00EB3378">
        <w:rPr>
          <w:i/>
          <w:iCs/>
        </w:rPr>
        <w:t>Assignment, Transfers, and Changes of Control</w:t>
      </w:r>
      <w:r w:rsidR="00EB3378">
        <w:t xml:space="preserve">) </w:t>
      </w:r>
      <w:r w:rsidRPr="00674ACD">
        <w:t>through 18.4</w:t>
      </w:r>
      <w:r w:rsidR="00EB3378">
        <w:t xml:space="preserve"> (</w:t>
      </w:r>
      <w:r w:rsidRPr="00EB3378" w:rsidR="00EB3378">
        <w:rPr>
          <w:i/>
          <w:iCs/>
        </w:rPr>
        <w:t>General Requirements</w:t>
      </w:r>
      <w:r w:rsidR="00EB3378">
        <w:t>)</w:t>
      </w:r>
      <w:r w:rsidRPr="00674ACD">
        <w:t xml:space="preserve">, inclusive, </w:t>
      </w:r>
      <w:r>
        <w:t>GPC will</w:t>
      </w:r>
      <w:r w:rsidRPr="005A171F">
        <w:t xml:space="preserve"> execute a written confirmation, if true, </w:t>
      </w:r>
      <w:r>
        <w:t>but without investigation, that</w:t>
      </w:r>
      <w:r w:rsidRPr="005A171F">
        <w:t xml:space="preserve"> to the best of </w:t>
      </w:r>
      <w:r>
        <w:t>GPC’s</w:t>
      </w:r>
      <w:r w:rsidRPr="005A171F">
        <w:t xml:space="preserve"> knowledge at the time of the request, Seller is not in default of this </w:t>
      </w:r>
      <w:r>
        <w:t>PPA</w:t>
      </w:r>
      <w:bookmarkEnd w:id="780"/>
      <w:r w:rsidRPr="0021585A">
        <w:t>.</w:t>
      </w:r>
    </w:p>
    <w:p w:rsidRPr="0075245F" w:rsidR="000464E2" w:rsidP="00D94D93" w:rsidRDefault="000464E2" w14:paraId="5A5FB896" w14:textId="77777777">
      <w:pPr>
        <w:pStyle w:val="zGTC02"/>
        <w:widowControl w:val="0"/>
        <w:numPr>
          <w:ilvl w:val="1"/>
          <w:numId w:val="34"/>
        </w:numPr>
        <w:tabs>
          <w:tab w:val="clear" w:pos="648"/>
          <w:tab w:val="num" w:pos="720"/>
        </w:tabs>
        <w:spacing w:after="120"/>
        <w:rPr>
          <w:vanish/>
          <w:specVanish/>
        </w:rPr>
      </w:pPr>
      <w:bookmarkStart w:name="_Toc137409358" w:id="781"/>
      <w:bookmarkStart w:name="_Toc201593178" w:id="782"/>
      <w:bookmarkStart w:name="_Toc227451445" w:id="783"/>
      <w:bookmarkStart w:name="_Toc379477334" w:id="784"/>
      <w:r w:rsidRPr="0075245F">
        <w:t>Reimbursement of GPC’s Costs.</w:t>
      </w:r>
      <w:bookmarkEnd w:id="781"/>
      <w:bookmarkEnd w:id="782"/>
      <w:bookmarkEnd w:id="783"/>
    </w:p>
    <w:p w:rsidRPr="00154F6B" w:rsidR="000464E2" w:rsidP="000464E2" w:rsidRDefault="000464E2" w14:paraId="2539272A" w14:textId="77777777">
      <w:pPr>
        <w:pStyle w:val="zGNormal"/>
        <w:widowControl w:val="0"/>
        <w:spacing w:after="120"/>
      </w:pPr>
      <w:r w:rsidRPr="00154F6B">
        <w:t xml:space="preserve"> </w:t>
      </w:r>
      <w:bookmarkStart w:name="_Hlk201050745" w:id="785"/>
      <w:bookmarkStart w:name="_Hlk159339275" w:id="786"/>
      <w:r w:rsidRPr="00154F6B">
        <w:t xml:space="preserve">Seller agrees that Seller will pay to </w:t>
      </w:r>
      <w:r>
        <w:t>GPC a fee</w:t>
      </w:r>
      <w:r w:rsidRPr="00154F6B">
        <w:t xml:space="preserve"> of </w:t>
      </w:r>
      <w:r>
        <w:t xml:space="preserve">$15,000 </w:t>
      </w:r>
      <w:r w:rsidRPr="00154F6B">
        <w:t>per occurrence for each proposed transaction for which Seller requests G</w:t>
      </w:r>
      <w:r>
        <w:t>PC</w:t>
      </w:r>
      <w:r w:rsidRPr="00154F6B">
        <w:t xml:space="preserve">’s consent under </w:t>
      </w:r>
      <w:r>
        <w:t>Section</w:t>
      </w:r>
      <w:r w:rsidRPr="00154F6B">
        <w:t> 1</w:t>
      </w:r>
      <w:r>
        <w:t>8</w:t>
      </w:r>
      <w:r w:rsidRPr="00154F6B">
        <w:t xml:space="preserve">.1.1 </w:t>
      </w:r>
      <w:r>
        <w:t>(</w:t>
      </w:r>
      <w:r w:rsidRPr="00A46390">
        <w:rPr>
          <w:i/>
          <w:iCs/>
        </w:rPr>
        <w:t>Assignment by Seller</w:t>
      </w:r>
      <w:r>
        <w:t xml:space="preserve">) </w:t>
      </w:r>
      <w:r w:rsidRPr="00154F6B">
        <w:t>or 1</w:t>
      </w:r>
      <w:r>
        <w:t>8</w:t>
      </w:r>
      <w:r w:rsidRPr="00154F6B">
        <w:t>.1.4</w:t>
      </w:r>
      <w:r>
        <w:t xml:space="preserve"> (</w:t>
      </w:r>
      <w:r w:rsidRPr="00A46390">
        <w:rPr>
          <w:i/>
          <w:iCs/>
        </w:rPr>
        <w:t>Transfer; Change of Control</w:t>
      </w:r>
      <w:r>
        <w:t>) and will pay to GPC a fee of $10,000 per occurrence for each request for an estoppel under Section 18.2 (</w:t>
      </w:r>
      <w:r w:rsidRPr="0034250E">
        <w:rPr>
          <w:i/>
          <w:iCs/>
        </w:rPr>
        <w:t xml:space="preserve">Financing Assignment; </w:t>
      </w:r>
      <w:r w:rsidRPr="001D31E9">
        <w:rPr>
          <w:i/>
          <w:iCs/>
        </w:rPr>
        <w:t>Estoppels).</w:t>
      </w:r>
      <w:r w:rsidRPr="00154F6B">
        <w:t xml:space="preserve"> For the avoidance of doubt, if Seller requests G</w:t>
      </w:r>
      <w:r>
        <w:t>PC</w:t>
      </w:r>
      <w:r w:rsidRPr="00154F6B">
        <w:t xml:space="preserve">’s consent under </w:t>
      </w:r>
      <w:r>
        <w:t>Sections</w:t>
      </w:r>
      <w:r w:rsidRPr="00154F6B">
        <w:t xml:space="preserve"> 1</w:t>
      </w:r>
      <w:r>
        <w:t>8</w:t>
      </w:r>
      <w:r w:rsidRPr="00154F6B">
        <w:t>.1.1 or 1</w:t>
      </w:r>
      <w:r>
        <w:t>8</w:t>
      </w:r>
      <w:r w:rsidRPr="00154F6B">
        <w:t>.1.4</w:t>
      </w:r>
      <w:r>
        <w:t xml:space="preserve"> or an estoppel under Section 18.2</w:t>
      </w:r>
      <w:r w:rsidRPr="00154F6B">
        <w:t xml:space="preserve">, and </w:t>
      </w:r>
      <w:r>
        <w:t xml:space="preserve">GPC </w:t>
      </w:r>
      <w:r w:rsidRPr="00154F6B">
        <w:t>undertakes drafting of documents to provide such consent</w:t>
      </w:r>
      <w:r>
        <w:t xml:space="preserve"> or estoppel</w:t>
      </w:r>
      <w:r w:rsidRPr="00154F6B">
        <w:t xml:space="preserve">, and Seller </w:t>
      </w:r>
      <w:r>
        <w:t>does not</w:t>
      </w:r>
      <w:r w:rsidRPr="00154F6B">
        <w:t xml:space="preserve"> consummate the proposed transaction, </w:t>
      </w:r>
      <w:r>
        <w:t xml:space="preserve">GPC </w:t>
      </w:r>
      <w:r w:rsidRPr="00154F6B">
        <w:t xml:space="preserve">reserves the right, in its sole discretion, to require Seller to </w:t>
      </w:r>
      <w:r>
        <w:t xml:space="preserve">pay the applicable fee under this </w:t>
      </w:r>
      <w:r w:rsidRPr="00154F6B">
        <w:t>Section 1</w:t>
      </w:r>
      <w:r>
        <w:t>8</w:t>
      </w:r>
      <w:r w:rsidRPr="00154F6B">
        <w:t>.3</w:t>
      </w:r>
      <w:r>
        <w:t xml:space="preserve"> (</w:t>
      </w:r>
      <w:r>
        <w:rPr>
          <w:i/>
          <w:iCs/>
        </w:rPr>
        <w:t>Reimbursement of GPC’s Costs)</w:t>
      </w:r>
      <w:bookmarkEnd w:id="785"/>
      <w:bookmarkEnd w:id="786"/>
      <w:r w:rsidRPr="00154F6B">
        <w:t>.</w:t>
      </w:r>
      <w:bookmarkEnd w:id="784"/>
      <w:r w:rsidRPr="00154F6B">
        <w:t xml:space="preserve"> </w:t>
      </w:r>
    </w:p>
    <w:p w:rsidRPr="007B46DD" w:rsidR="00071C35" w:rsidP="00071C35" w:rsidRDefault="00071C35" w14:paraId="65789190" w14:textId="77777777">
      <w:pPr>
        <w:pStyle w:val="zGTC02"/>
        <w:rPr>
          <w:vanish/>
          <w:specVanish/>
        </w:rPr>
      </w:pPr>
      <w:bookmarkStart w:name="_Toc137409359" w:id="787"/>
      <w:bookmarkStart w:name="_Toc201593179" w:id="788"/>
      <w:bookmarkStart w:name="_Toc227451446" w:id="789"/>
      <w:bookmarkStart w:name="_Toc379477335" w:id="790"/>
      <w:r w:rsidRPr="0075245F">
        <w:t>General Requirements</w:t>
      </w:r>
      <w:r w:rsidRPr="00154F6B">
        <w:t>.</w:t>
      </w:r>
      <w:bookmarkEnd w:id="787"/>
      <w:bookmarkEnd w:id="788"/>
      <w:bookmarkEnd w:id="789"/>
    </w:p>
    <w:bookmarkEnd w:id="790"/>
    <w:p w:rsidRPr="009E69DC" w:rsidR="00A3623B" w:rsidP="00BF6391" w:rsidRDefault="00071C35" w14:paraId="0FFF40C4" w14:textId="1B05EB1A">
      <w:pPr>
        <w:pStyle w:val="zGNormal"/>
        <w:rPr>
          <w:b/>
          <w:specVanish/>
        </w:rPr>
      </w:pPr>
      <w:r w:rsidRPr="00154F6B">
        <w:t xml:space="preserve"> </w:t>
      </w:r>
      <w:bookmarkStart w:name="_Hlk201050793" w:id="791"/>
      <w:bookmarkStart w:name="_Toc206672581" w:id="792"/>
      <w:bookmarkStart w:name="_Toc212476191" w:id="793"/>
      <w:bookmarkStart w:name="_Toc214870294" w:id="794"/>
      <w:bookmarkStart w:name="_Toc227451447" w:id="795"/>
      <w:r w:rsidRPr="675D43C7" w:rsidR="009E69DC">
        <w:t>In connection with any transaction for which GPC’s consent is required under Section 18.1.1 (</w:t>
      </w:r>
      <w:r w:rsidRPr="675D43C7" w:rsidR="009E69DC">
        <w:rPr>
          <w:i/>
        </w:rPr>
        <w:t>Assignment by Seller</w:t>
      </w:r>
      <w:r w:rsidRPr="675D43C7" w:rsidR="009E69DC">
        <w:t>) or 18.1.4 (</w:t>
      </w:r>
      <w:r w:rsidRPr="675D43C7" w:rsidR="009E69DC">
        <w:rPr>
          <w:i/>
        </w:rPr>
        <w:t>Transfer; Change of Control</w:t>
      </w:r>
      <w:r w:rsidRPr="675D43C7" w:rsidR="009E69DC">
        <w:t>) or for which Seller’s consent is required under Section 18.1.3 (</w:t>
      </w:r>
      <w:r w:rsidRPr="675D43C7" w:rsidR="009E69DC">
        <w:rPr>
          <w:i/>
        </w:rPr>
        <w:t>Assignment by GPC</w:t>
      </w:r>
      <w:r w:rsidRPr="675D43C7" w:rsidR="009E69DC">
        <w:t>), it is a condition of the required consent that it will not place any limitation on either Party’s rights under this PPA or expand the PPA liability, risks, or obligations of the other Party (including changes in accounting treatment). It will be reasonable for either Party to condition its consent under Section 18.1 (</w:t>
      </w:r>
      <w:r w:rsidRPr="675D43C7" w:rsidR="009E69DC">
        <w:rPr>
          <w:i/>
        </w:rPr>
        <w:t>Assignment, Transfers, and Change of Control</w:t>
      </w:r>
      <w:r w:rsidRPr="675D43C7" w:rsidR="009E69DC">
        <w:t>) on the execution of amendments to this PPA that are reasonably determined by such Party to be necessary to preserve the value and protection afforded to such Party under this PPA. It will be a condition of GPC’s consent to any transaction under Sections 18.1.1 or 18.1.4 or other disposition with respect to this PPA or the Facility</w:t>
      </w:r>
      <w:r w:rsidR="00D002E6">
        <w:t>, including</w:t>
      </w:r>
      <w:r w:rsidR="00975D7F">
        <w:t xml:space="preserve"> </w:t>
      </w:r>
      <w:r w:rsidR="00F343F1">
        <w:t>those</w:t>
      </w:r>
      <w:r w:rsidR="00975D7F">
        <w:t xml:space="preserve"> contemplated </w:t>
      </w:r>
      <w:r w:rsidR="00D002E6">
        <w:t>in</w:t>
      </w:r>
      <w:r w:rsidR="00E82F0F">
        <w:t xml:space="preserve"> Section 2.1.10 (</w:t>
      </w:r>
      <w:r w:rsidRPr="00E82F0F" w:rsidR="00E82F0F">
        <w:rPr>
          <w:i/>
          <w:iCs/>
        </w:rPr>
        <w:t xml:space="preserve">Sale, Lease, Transfer, or Other Disposal of </w:t>
      </w:r>
      <w:r w:rsidRPr="00E82F0F" w:rsidR="00E82F0F">
        <w:rPr>
          <w:i/>
          <w:iCs/>
        </w:rPr>
        <w:lastRenderedPageBreak/>
        <w:t>Business or Assets Resulting in Material Adverse Effect</w:t>
      </w:r>
      <w:r w:rsidR="00E82F0F">
        <w:t>)</w:t>
      </w:r>
      <w:r w:rsidRPr="675D43C7" w:rsidR="009E69DC">
        <w:t xml:space="preserve">, that all </w:t>
      </w:r>
      <w:r w:rsidR="000A1E11">
        <w:t>Performance S</w:t>
      </w:r>
      <w:r w:rsidRPr="675D43C7" w:rsidR="009E69DC">
        <w:t xml:space="preserve">ecurity required under Section </w:t>
      </w:r>
      <w:r w:rsidRPr="675D43C7" w:rsidR="0005419A">
        <w:t>6</w:t>
      </w:r>
      <w:r w:rsidRPr="675D43C7" w:rsidR="009E69DC">
        <w:t>.1 (</w:t>
      </w:r>
      <w:r w:rsidRPr="675D43C7" w:rsidR="009E69DC">
        <w:rPr>
          <w:i/>
        </w:rPr>
        <w:t>Performance Security</w:t>
      </w:r>
      <w:r w:rsidRPr="675D43C7" w:rsidR="009E69DC">
        <w:t xml:space="preserve">)  will remain </w:t>
      </w:r>
      <w:r w:rsidR="003C4049">
        <w:t xml:space="preserve">in full force and effect unless and </w:t>
      </w:r>
      <w:r w:rsidR="00612609">
        <w:t>until GPC</w:t>
      </w:r>
      <w:r w:rsidR="004423A8">
        <w:t xml:space="preserve"> has received (i)</w:t>
      </w:r>
      <w:r w:rsidR="00612609">
        <w:t xml:space="preserve"> </w:t>
      </w:r>
      <w:r w:rsidR="000432A1">
        <w:t>Commission approval, if applicable, and</w:t>
      </w:r>
      <w:r w:rsidRPr="675D43C7" w:rsidR="009E69DC">
        <w:t xml:space="preserve"> </w:t>
      </w:r>
      <w:r w:rsidR="000B7FB7">
        <w:t xml:space="preserve">(ii) </w:t>
      </w:r>
      <w:r w:rsidRPr="675D43C7" w:rsidR="009E69DC">
        <w:t>replacement security in form, substance, and amount in full compliance with this PPA</w:t>
      </w:r>
      <w:r w:rsidR="003A6B8B">
        <w:t>, if applicable.</w:t>
      </w:r>
      <w:r w:rsidRPr="675D43C7" w:rsidDel="001C2358" w:rsidR="009E69DC">
        <w:t>.</w:t>
      </w:r>
      <w:r w:rsidRPr="675D43C7" w:rsidR="009E69DC">
        <w:t xml:space="preserve"> </w:t>
      </w:r>
      <w:r w:rsidR="00C071CA">
        <w:t>Following</w:t>
      </w:r>
      <w:r w:rsidR="008245F9">
        <w:t xml:space="preserve"> GPC</w:t>
      </w:r>
      <w:r w:rsidR="000D517F">
        <w:t>’s</w:t>
      </w:r>
      <w:r w:rsidR="008245F9">
        <w:t xml:space="preserve"> </w:t>
      </w:r>
      <w:r w:rsidR="000D517F">
        <w:t>receipt of such</w:t>
      </w:r>
      <w:r w:rsidR="00C34343">
        <w:t xml:space="preserve"> </w:t>
      </w:r>
      <w:r w:rsidR="008E27A5">
        <w:t xml:space="preserve">applicable </w:t>
      </w:r>
      <w:r w:rsidR="004951AC">
        <w:t>Commission approval and</w:t>
      </w:r>
      <w:r w:rsidR="00C34343">
        <w:t xml:space="preserve"> replacement security</w:t>
      </w:r>
      <w:r w:rsidR="002C1329">
        <w:t>,</w:t>
      </w:r>
      <w:r w:rsidR="00195B98">
        <w:t xml:space="preserve"> </w:t>
      </w:r>
      <w:r w:rsidR="00C34343">
        <w:t xml:space="preserve">GPC will return </w:t>
      </w:r>
      <w:r w:rsidR="000B697C">
        <w:t xml:space="preserve">to Seller </w:t>
      </w:r>
      <w:r w:rsidR="00C34343">
        <w:t xml:space="preserve">any unused portion of Seller’s Performance Security. </w:t>
      </w:r>
      <w:r w:rsidRPr="675D43C7" w:rsidR="009E69DC">
        <w:t>Any purported assignment, transfer of interest in the Facility or this PPA, or Change of Control Transaction that is not in compliance with the applicable provisions of Sections 18.1 through 18.4, inclusive,</w:t>
      </w:r>
      <w:r w:rsidRPr="675D43C7" w:rsidDel="00CB58AF" w:rsidR="009E69DC">
        <w:t xml:space="preserve"> </w:t>
      </w:r>
      <w:r w:rsidRPr="675D43C7" w:rsidR="009E69DC">
        <w:t>will be void</w:t>
      </w:r>
      <w:bookmarkEnd w:id="791"/>
      <w:r w:rsidRPr="675D43C7" w:rsidR="009E69DC">
        <w:t>.</w:t>
      </w:r>
      <w:bookmarkEnd w:id="792"/>
      <w:bookmarkEnd w:id="793"/>
      <w:bookmarkEnd w:id="794"/>
      <w:bookmarkEnd w:id="795"/>
    </w:p>
    <w:p w:rsidRPr="006001A1" w:rsidR="002D54C4" w:rsidP="00ED6839" w:rsidRDefault="002D54C4" w14:paraId="3634FDAA" w14:textId="77777777">
      <w:pPr>
        <w:pStyle w:val="zGTC01"/>
        <w:rPr>
          <w:rFonts w:ascii="Arial" w:hAnsi="Arial"/>
          <w:szCs w:val="20"/>
        </w:rPr>
      </w:pPr>
      <w:bookmarkStart w:name="_Toc158593281" w:id="796"/>
      <w:bookmarkStart w:name="_Toc158597560" w:id="797"/>
      <w:bookmarkStart w:name="_Toc158720184" w:id="798"/>
      <w:bookmarkStart w:name="_Toc158722938" w:id="799"/>
      <w:bookmarkStart w:name="_Toc158929470" w:id="800"/>
      <w:bookmarkStart w:name="_Toc158593282" w:id="801"/>
      <w:bookmarkStart w:name="_Toc158597561" w:id="802"/>
      <w:bookmarkStart w:name="_Toc158720185" w:id="803"/>
      <w:bookmarkStart w:name="_Toc158722939" w:id="804"/>
      <w:bookmarkStart w:name="_Toc158929471" w:id="805"/>
      <w:bookmarkStart w:name="_Toc158593283" w:id="806"/>
      <w:bookmarkStart w:name="_Toc158597562" w:id="807"/>
      <w:bookmarkStart w:name="_Toc158720186" w:id="808"/>
      <w:bookmarkStart w:name="_Toc158722940" w:id="809"/>
      <w:bookmarkStart w:name="_Toc158929472" w:id="810"/>
      <w:bookmarkStart w:name="_Toc158593284" w:id="811"/>
      <w:bookmarkStart w:name="_Toc158597563" w:id="812"/>
      <w:bookmarkStart w:name="_Toc158720187" w:id="813"/>
      <w:bookmarkStart w:name="_Toc158722941" w:id="814"/>
      <w:bookmarkStart w:name="_Toc158929473" w:id="815"/>
      <w:bookmarkStart w:name="_Toc158593285" w:id="816"/>
      <w:bookmarkStart w:name="_Toc158597564" w:id="817"/>
      <w:bookmarkStart w:name="_Toc158720188" w:id="818"/>
      <w:bookmarkStart w:name="_Toc158722942" w:id="819"/>
      <w:bookmarkStart w:name="_Toc158929474" w:id="820"/>
      <w:bookmarkStart w:name="_Toc169778684" w:id="821"/>
      <w:bookmarkStart w:name="_Toc227451448" w:id="822"/>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r w:rsidRPr="006001A1">
        <w:rPr>
          <w:rFonts w:ascii="Arial" w:hAnsi="Arial"/>
        </w:rPr>
        <w:t>Dispute Resolution</w:t>
      </w:r>
      <w:bookmarkEnd w:id="821"/>
      <w:bookmarkEnd w:id="822"/>
    </w:p>
    <w:p w:rsidRPr="006001A1" w:rsidR="002D54C4" w:rsidRDefault="002D54C4" w14:paraId="29F4351B" w14:textId="52EED6CC">
      <w:pPr>
        <w:pStyle w:val="zGTC02"/>
        <w:rPr>
          <w:rFonts w:ascii="Arial" w:hAnsi="Arial" w:cs="Arial"/>
          <w:vanish/>
          <w:specVanish/>
        </w:rPr>
      </w:pPr>
      <w:bookmarkStart w:name="_Toc169778685" w:id="823"/>
      <w:bookmarkStart w:name="_Toc227451449" w:id="824"/>
      <w:r w:rsidRPr="006001A1">
        <w:rPr>
          <w:rFonts w:ascii="Arial" w:hAnsi="Arial" w:cs="Arial"/>
        </w:rPr>
        <w:t>Notice</w:t>
      </w:r>
      <w:r w:rsidRPr="006001A1" w:rsidR="00567DAF">
        <w:rPr>
          <w:rFonts w:ascii="Arial" w:hAnsi="Arial" w:cs="Arial"/>
        </w:rPr>
        <w:t xml:space="preserve"> of Dispute; Dispute Resolution Process</w:t>
      </w:r>
      <w:r w:rsidRPr="006001A1">
        <w:rPr>
          <w:rFonts w:ascii="Arial" w:hAnsi="Arial" w:cs="Arial"/>
        </w:rPr>
        <w:t>.</w:t>
      </w:r>
      <w:bookmarkStart w:name="_Toc158593287" w:id="825"/>
      <w:bookmarkStart w:name="_Toc158597566" w:id="826"/>
      <w:bookmarkStart w:name="_Toc158720190" w:id="827"/>
      <w:bookmarkStart w:name="_Toc158722944" w:id="828"/>
      <w:bookmarkStart w:name="_Toc158929476" w:id="829"/>
      <w:bookmarkEnd w:id="823"/>
      <w:bookmarkEnd w:id="824"/>
      <w:bookmarkEnd w:id="825"/>
      <w:bookmarkEnd w:id="826"/>
      <w:bookmarkEnd w:id="827"/>
      <w:bookmarkEnd w:id="828"/>
      <w:bookmarkEnd w:id="829"/>
    </w:p>
    <w:p w:rsidRPr="00F875E0" w:rsidR="002D54C4" w:rsidRDefault="002D54C4" w14:paraId="18A61830" w14:textId="095E62DD">
      <w:pPr>
        <w:pStyle w:val="zGNormal"/>
      </w:pPr>
      <w:r w:rsidRPr="006001A1">
        <w:t xml:space="preserve"> </w:t>
      </w:r>
      <w:bookmarkStart w:name="_Hlk37507641" w:id="830"/>
      <w:r w:rsidRPr="006001A1">
        <w:t>Either Party (“</w:t>
      </w:r>
      <w:r w:rsidRPr="006001A1">
        <w:rPr>
          <w:b/>
        </w:rPr>
        <w:t>Disputing Party</w:t>
      </w:r>
      <w:r w:rsidRPr="006001A1">
        <w:t>”) has the right to give notice to the other Party (“</w:t>
      </w:r>
      <w:r w:rsidRPr="006001A1">
        <w:rPr>
          <w:b/>
        </w:rPr>
        <w:t>Responding Party</w:t>
      </w:r>
      <w:r w:rsidRPr="006001A1">
        <w:t>”) that the Responding Party is not performing in accordance with the terms and conditions of this PPA. The notice (“</w:t>
      </w:r>
      <w:r w:rsidRPr="006001A1">
        <w:rPr>
          <w:b/>
        </w:rPr>
        <w:t>Notice of Dispute</w:t>
      </w:r>
      <w:r w:rsidRPr="006001A1">
        <w:t xml:space="preserve">”) </w:t>
      </w:r>
      <w:bookmarkStart w:name="_Hlk37329422" w:id="831"/>
      <w:r w:rsidRPr="006001A1">
        <w:t xml:space="preserve">must describe with specificity the basis for the Disputing Party’s </w:t>
      </w:r>
      <w:bookmarkEnd w:id="831"/>
      <w:r w:rsidRPr="006001A1">
        <w:t xml:space="preserve">belief and may propose a resolution of such dispute. Within 15 Business Days after receiving the Notice of Dispute, the Responding Party must provide the Disputing Party with a written response to the Notice of Dispute, which will describe with specificity the basis for the Responding Party’s position and which may include additional issues (if any) regarding the dispute raised by the Notice of Dispute and </w:t>
      </w:r>
      <w:r w:rsidRPr="00F875E0">
        <w:t>may propose a resolution of the dispute (“</w:t>
      </w:r>
      <w:r w:rsidRPr="00F875E0">
        <w:rPr>
          <w:b/>
        </w:rPr>
        <w:t>Dispute Response</w:t>
      </w:r>
      <w:r w:rsidRPr="00F875E0">
        <w:t>”).</w:t>
      </w:r>
      <w:r w:rsidRPr="00F875E0" w:rsidR="00CF0D5C">
        <w:t xml:space="preserve"> This Section 1</w:t>
      </w:r>
      <w:r w:rsidRPr="00F875E0" w:rsidR="002A6B62">
        <w:t>9</w:t>
      </w:r>
      <w:r w:rsidRPr="00F875E0" w:rsidR="00CF0D5C">
        <w:t xml:space="preserve">.1 will not apply to a Billing Dispute until the completion of the dispute resolution process for Billing Disputes set forth in Section </w:t>
      </w:r>
      <w:r w:rsidRPr="00F875E0" w:rsidR="00C47A96">
        <w:t>5.2</w:t>
      </w:r>
      <w:r w:rsidRPr="00F875E0" w:rsidR="00CF0D5C">
        <w:t xml:space="preserve"> (</w:t>
      </w:r>
      <w:r w:rsidRPr="00F875E0" w:rsidR="00CF0D5C">
        <w:rPr>
          <w:i/>
          <w:iCs/>
        </w:rPr>
        <w:t>Billing Disputes and Financial Accounting</w:t>
      </w:r>
      <w:r w:rsidRPr="00F875E0" w:rsidR="00CF0D5C">
        <w:t>).</w:t>
      </w:r>
      <w:r w:rsidRPr="00F875E0">
        <w:t xml:space="preserve"> Within five Business Days after the submission of the Dispute Response, the dispute must be submitted to a Seller designated senior Representative and a GPC designated senior Representative for resolution. If the designated senior Representatives are unable to resolve the dispute to the mutual satisfaction of the Parties within 20 Business Days after the submission to the designated senior Representatives, or any other period as the Parties may agree upon, then: (i) in the case of disputes described in Section 19.2 (</w:t>
      </w:r>
      <w:r w:rsidRPr="00F875E0">
        <w:rPr>
          <w:i/>
        </w:rPr>
        <w:t>Expert Arbitration</w:t>
      </w:r>
      <w:r w:rsidRPr="00F875E0">
        <w:t>), either Party may provide notice to the other Party declaring an impasse (“</w:t>
      </w:r>
      <w:r w:rsidRPr="00F875E0">
        <w:rPr>
          <w:b/>
        </w:rPr>
        <w:t>Impasse Notice</w:t>
      </w:r>
      <w:r w:rsidRPr="00F875E0">
        <w:t>”) and, after notice is given, the Parties must arbitrate the disputes under Section 19.2; (ii) in the case of disputes described in Section 19.3 (</w:t>
      </w:r>
      <w:r w:rsidRPr="00F875E0">
        <w:rPr>
          <w:i/>
        </w:rPr>
        <w:t>JAMS Arbitration</w:t>
      </w:r>
      <w:r w:rsidRPr="00F875E0">
        <w:t xml:space="preserve">), either Party may provide an </w:t>
      </w:r>
      <w:r w:rsidRPr="00F875E0">
        <w:rPr>
          <w:bCs/>
        </w:rPr>
        <w:t>Impasse Notice</w:t>
      </w:r>
      <w:r w:rsidRPr="00F875E0">
        <w:t xml:space="preserve"> and then the Parties must arbitrate the disputes under Section 19.3;</w:t>
      </w:r>
      <w:r w:rsidRPr="00F875E0" w:rsidDel="00D42849">
        <w:t xml:space="preserve"> </w:t>
      </w:r>
      <w:r w:rsidRPr="00F875E0">
        <w:t xml:space="preserve">or (iii) in the case of any dispute that is not described in Section 19.2 or Section 19.3, either Party may pursue rights and remedies as may be available under applicable law or in equity subject to the terms and </w:t>
      </w:r>
      <w:r w:rsidRPr="00F875E0" w:rsidDel="00742E8B">
        <w:t>conditions of this PPA.</w:t>
      </w:r>
      <w:bookmarkEnd w:id="830"/>
    </w:p>
    <w:p w:rsidRPr="00F875E0" w:rsidR="002D54C4" w:rsidRDefault="002D54C4" w14:paraId="36FAB8F0" w14:textId="77777777">
      <w:pPr>
        <w:pStyle w:val="zGTC02"/>
        <w:rPr>
          <w:rFonts w:ascii="Arial" w:hAnsi="Arial" w:cs="Arial"/>
          <w:vanish/>
          <w:specVanish/>
        </w:rPr>
      </w:pPr>
      <w:bookmarkStart w:name="_Toc169778686" w:id="832"/>
      <w:bookmarkStart w:name="_Toc227451450" w:id="833"/>
      <w:r w:rsidRPr="00F875E0">
        <w:rPr>
          <w:rFonts w:ascii="Arial" w:hAnsi="Arial" w:cs="Arial"/>
        </w:rPr>
        <w:t>Expert Arbitration.</w:t>
      </w:r>
      <w:bookmarkStart w:name="_Toc158593288" w:id="834"/>
      <w:bookmarkStart w:name="_Toc158597567" w:id="835"/>
      <w:bookmarkStart w:name="_Toc158720191" w:id="836"/>
      <w:bookmarkStart w:name="_Toc158722945" w:id="837"/>
      <w:bookmarkStart w:name="_Toc158929477" w:id="838"/>
      <w:bookmarkEnd w:id="832"/>
      <w:bookmarkEnd w:id="833"/>
      <w:bookmarkEnd w:id="834"/>
      <w:bookmarkEnd w:id="835"/>
      <w:bookmarkEnd w:id="836"/>
      <w:bookmarkEnd w:id="837"/>
      <w:bookmarkEnd w:id="838"/>
    </w:p>
    <w:p w:rsidRPr="00F875E0" w:rsidR="002D54C4" w:rsidRDefault="002D54C4" w14:paraId="4B959E50" w14:textId="285B01CD">
      <w:pPr>
        <w:pStyle w:val="zGNormal"/>
      </w:pPr>
      <w:r w:rsidRPr="00F875E0">
        <w:t xml:space="preserve"> </w:t>
      </w:r>
      <w:bookmarkStart w:name="_Hlk37507694" w:id="839"/>
      <w:r w:rsidRPr="00F875E0">
        <w:t>Upon the submission of an Impasse Notice, a dispute regarding: (i) the results of a Performance Test (under any provision of this PPA); (ii) Seller Event of Default under Section 16.1.</w:t>
      </w:r>
      <w:r w:rsidRPr="00F875E0" w:rsidR="00B63129">
        <w:t>9</w:t>
      </w:r>
      <w:r w:rsidRPr="00F875E0">
        <w:t xml:space="preserve"> (</w:t>
      </w:r>
      <w:r w:rsidRPr="00F875E0">
        <w:rPr>
          <w:i/>
          <w:iCs/>
        </w:rPr>
        <w:t xml:space="preserve">Tested Storage Capacity Below 70% </w:t>
      </w:r>
      <w:r w:rsidRPr="00F875E0" w:rsidR="00851555">
        <w:rPr>
          <w:i/>
          <w:iCs/>
        </w:rPr>
        <w:t>Contracted</w:t>
      </w:r>
      <w:r w:rsidRPr="00F875E0">
        <w:rPr>
          <w:i/>
          <w:iCs/>
        </w:rPr>
        <w:t xml:space="preserve"> Capacity; Cure; Remedies</w:t>
      </w:r>
      <w:r w:rsidRPr="00F875E0">
        <w:t>); or (</w:t>
      </w:r>
      <w:r w:rsidRPr="00F875E0" w:rsidR="00F11324">
        <w:t>iii</w:t>
      </w:r>
      <w:r w:rsidRPr="00F875E0">
        <w:t>) the development of Maintenance Schedules under Section 10.2.1 (</w:t>
      </w:r>
      <w:r w:rsidRPr="00F875E0">
        <w:rPr>
          <w:i/>
        </w:rPr>
        <w:t>Maintenance Schedule Reporting and Approvals</w:t>
      </w:r>
      <w:r w:rsidRPr="00F875E0">
        <w:t>) will</w:t>
      </w:r>
      <w:r w:rsidRPr="00F875E0" w:rsidDel="00346E09">
        <w:t xml:space="preserve"> </w:t>
      </w:r>
      <w:r w:rsidRPr="00F875E0">
        <w:t>be resolved by arbitration as set forth in this Section 19.2.</w:t>
      </w:r>
      <w:bookmarkEnd w:id="839"/>
    </w:p>
    <w:p w:rsidRPr="00F875E0" w:rsidR="002D54C4" w:rsidP="008759EF" w:rsidRDefault="002D54C4" w14:paraId="45E735B5" w14:textId="77777777">
      <w:pPr>
        <w:pStyle w:val="zGTC03"/>
        <w:rPr>
          <w:rFonts w:cs="Arial"/>
          <w:b/>
          <w:vanish/>
          <w:specVanish/>
        </w:rPr>
      </w:pPr>
      <w:bookmarkStart w:name="_Hlk37507748" w:id="840"/>
      <w:r w:rsidRPr="00F875E0">
        <w:rPr>
          <w:rFonts w:cs="Arial"/>
          <w:b/>
        </w:rPr>
        <w:t xml:space="preserve">Selection of Expert. </w:t>
      </w:r>
      <w:bookmarkStart w:name="_Hlk37507781" w:id="841"/>
      <w:bookmarkEnd w:id="840"/>
    </w:p>
    <w:p w:rsidRPr="00F875E0" w:rsidR="002D54C4" w:rsidRDefault="002D54C4" w14:paraId="52044801" w14:textId="7E0A8ACC">
      <w:pPr>
        <w:pStyle w:val="zGNormal"/>
      </w:pPr>
      <w:r w:rsidRPr="00F875E0">
        <w:t>The Parties will</w:t>
      </w:r>
      <w:r w:rsidRPr="00F875E0" w:rsidDel="00346E09">
        <w:t xml:space="preserve"> </w:t>
      </w:r>
      <w:r w:rsidRPr="00F875E0">
        <w:t xml:space="preserve">attempt to agree upon the selection of an independent third-party expert to make a determination concerning </w:t>
      </w:r>
      <w:r w:rsidR="003E1226">
        <w:t>any</w:t>
      </w:r>
      <w:r w:rsidRPr="00F875E0" w:rsidR="003E1226">
        <w:t xml:space="preserve"> </w:t>
      </w:r>
      <w:r w:rsidRPr="00F875E0">
        <w:t>dispute</w:t>
      </w:r>
      <w:r w:rsidR="003E1226">
        <w:t xml:space="preserve"> described in this Section 19.2 (</w:t>
      </w:r>
      <w:r w:rsidR="003E1226">
        <w:rPr>
          <w:i/>
          <w:iCs/>
        </w:rPr>
        <w:t>Expert Arbitration</w:t>
      </w:r>
      <w:r w:rsidR="003E1226">
        <w:t>)</w:t>
      </w:r>
      <w:r w:rsidRPr="00F875E0">
        <w:t xml:space="preserve">. If the Parties cannot mutually agree on the selection of an expert within 15 Days </w:t>
      </w:r>
      <w:r w:rsidRPr="00F875E0" w:rsidR="00E42E4F">
        <w:t xml:space="preserve">after </w:t>
      </w:r>
      <w:r w:rsidRPr="00F875E0">
        <w:t xml:space="preserve">the submission of the Impasse Notice, </w:t>
      </w:r>
      <w:r w:rsidRPr="00F875E0" w:rsidR="003E01BD">
        <w:t>GPC</w:t>
      </w:r>
      <w:r w:rsidRPr="00F875E0">
        <w:t xml:space="preserve"> will</w:t>
      </w:r>
      <w:r w:rsidRPr="00F875E0" w:rsidDel="00346E09">
        <w:t xml:space="preserve"> </w:t>
      </w:r>
      <w:r w:rsidRPr="00F875E0">
        <w:t xml:space="preserve">provide </w:t>
      </w:r>
      <w:r w:rsidRPr="00F875E0" w:rsidR="00B13E64">
        <w:t>Seller</w:t>
      </w:r>
      <w:r w:rsidRPr="00F875E0">
        <w:t xml:space="preserve"> with a list of </w:t>
      </w:r>
      <w:r w:rsidRPr="00F875E0" w:rsidR="000C5A62">
        <w:t xml:space="preserve">three </w:t>
      </w:r>
      <w:r w:rsidRPr="00F875E0">
        <w:t xml:space="preserve">qualified experts, and </w:t>
      </w:r>
      <w:r w:rsidRPr="00F875E0" w:rsidR="006C4EFE">
        <w:t>Seller</w:t>
      </w:r>
      <w:r w:rsidRPr="00F875E0">
        <w:t xml:space="preserve"> will</w:t>
      </w:r>
      <w:r w:rsidRPr="00F875E0" w:rsidDel="00346E09">
        <w:t xml:space="preserve"> </w:t>
      </w:r>
      <w:r w:rsidRPr="00F875E0">
        <w:t xml:space="preserve">select one expert from the list. As a condition to appointment as a qualified expert, the expert must: (i) be competent and experienced in matters involving the electric energy business in the United States, with at least 10 years of experience in the electric industry; (ii) have no interest, financial or otherwise, in either Party or this PPA beyond payment of the fees and expenses for serving as the expert under this Section 19.2; and (iii) </w:t>
      </w:r>
      <w:bookmarkStart w:name="_Hlk37490342" w:id="842"/>
      <w:r w:rsidRPr="00F875E0">
        <w:t xml:space="preserve">have not performed, or been employed by a firm that has provided services for either Party, and otherwise have not been previously or currently employed or engaged in any capacity by, and not have a personal or professional relationship with, either Party </w:t>
      </w:r>
      <w:bookmarkEnd w:id="842"/>
      <w:r w:rsidRPr="00F875E0">
        <w:t>other than as the expert under this Section 19.2, unless the employment, engagement, or relationship has been disclosed in writing to the Parties before the appointment as an expert under this Section 19.2</w:t>
      </w:r>
      <w:r w:rsidR="004A681D">
        <w:t xml:space="preserve"> without objection by either Party</w:t>
      </w:r>
      <w:r w:rsidRPr="00F875E0">
        <w:t>. The expert must not advise or otherwise communicate ex parte in any way with either Party following their appointment as an expert under this Section 19.2</w:t>
      </w:r>
      <w:r w:rsidR="000F0F83">
        <w:t xml:space="preserve">. </w:t>
      </w:r>
      <w:bookmarkEnd w:id="841"/>
      <w:r w:rsidR="00023B26">
        <w:t xml:space="preserve">The expert must also treat all information relating to the PPA or the arbitration, including the dispute, </w:t>
      </w:r>
      <w:r w:rsidR="003A2BEC">
        <w:t xml:space="preserve">as </w:t>
      </w:r>
      <w:r w:rsidR="00023B26">
        <w:t>confidential and must not disclose any such information (other than to the Parties jointly) without the prior written consent of both Parties.</w:t>
      </w:r>
    </w:p>
    <w:p w:rsidRPr="00F875E0" w:rsidR="002D54C4" w:rsidP="008759EF" w:rsidRDefault="002D54C4" w14:paraId="094B33BF" w14:textId="77777777">
      <w:pPr>
        <w:pStyle w:val="zGTC03"/>
        <w:rPr>
          <w:rFonts w:cs="Arial"/>
          <w:b/>
          <w:vanish/>
          <w:specVanish/>
        </w:rPr>
      </w:pPr>
      <w:bookmarkStart w:name="_Hlk37507813" w:id="843"/>
      <w:r w:rsidRPr="00F875E0">
        <w:rPr>
          <w:rFonts w:cs="Arial"/>
          <w:b/>
        </w:rPr>
        <w:lastRenderedPageBreak/>
        <w:t xml:space="preserve">Expert Decision. </w:t>
      </w:r>
      <w:bookmarkStart w:name="_Hlk37507839" w:id="844"/>
      <w:bookmarkEnd w:id="843"/>
    </w:p>
    <w:p w:rsidRPr="00F875E0" w:rsidR="002D54C4" w:rsidRDefault="002D54C4" w14:paraId="250CD0A6" w14:textId="08F2FD24">
      <w:pPr>
        <w:pStyle w:val="zGNormal"/>
      </w:pPr>
      <w:r w:rsidRPr="00F875E0">
        <w:t>No later than 15 Days after the selection of the expert, each Party</w:t>
      </w:r>
      <w:r w:rsidRPr="00F875E0" w:rsidDel="00C32E04">
        <w:t xml:space="preserve"> </w:t>
      </w:r>
      <w:r w:rsidRPr="00F875E0">
        <w:t>must</w:t>
      </w:r>
      <w:r w:rsidRPr="00F875E0" w:rsidDel="00346E09">
        <w:t xml:space="preserve"> </w:t>
      </w:r>
      <w:r w:rsidRPr="00F875E0">
        <w:t>file with the expert written positions (with supporting documentation) concerning the dispute. The expert may request additional filings and will</w:t>
      </w:r>
      <w:r w:rsidRPr="00F875E0" w:rsidDel="00346E09">
        <w:t xml:space="preserve"> </w:t>
      </w:r>
      <w:r w:rsidRPr="00F875E0">
        <w:t xml:space="preserve">render a decision within 15 Days </w:t>
      </w:r>
      <w:r w:rsidRPr="00F875E0" w:rsidR="00930E96">
        <w:t xml:space="preserve">after </w:t>
      </w:r>
      <w:r w:rsidRPr="00F875E0">
        <w:t>receipt of all filings. In the case of any dispute resolved under this Section 19.2 (</w:t>
      </w:r>
      <w:r w:rsidRPr="00F875E0">
        <w:rPr>
          <w:i/>
        </w:rPr>
        <w:t>Expert Arbitration</w:t>
      </w:r>
      <w:r w:rsidRPr="00F875E0">
        <w:t>), the decision rendered by the independent expert will</w:t>
      </w:r>
      <w:r w:rsidRPr="00F875E0" w:rsidDel="00346E09">
        <w:t xml:space="preserve"> </w:t>
      </w:r>
      <w:r w:rsidRPr="00F875E0">
        <w:t xml:space="preserve">be final and binding upon Seller and GPC. Following the resolution of a dispute under this Section 19.2 </w:t>
      </w:r>
      <w:r w:rsidRPr="00F875E0" w:rsidR="00427339">
        <w:t xml:space="preserve">regarding </w:t>
      </w:r>
      <w:r w:rsidRPr="00F875E0" w:rsidR="00A00DE3">
        <w:t>Performance Guaran</w:t>
      </w:r>
      <w:r w:rsidRPr="00F875E0" w:rsidR="00E85CEC">
        <w:t>tees</w:t>
      </w:r>
      <w:r w:rsidRPr="00F875E0" w:rsidR="00AE039D">
        <w:t>,</w:t>
      </w:r>
      <w:r w:rsidRPr="00F875E0">
        <w:t xml:space="preserve"> Monthly Capacity Payment</w:t>
      </w:r>
      <w:r w:rsidRPr="00F875E0" w:rsidR="000656AD">
        <w:t>(s)</w:t>
      </w:r>
      <w:r w:rsidRPr="00F875E0">
        <w:t xml:space="preserve"> will</w:t>
      </w:r>
      <w:r w:rsidRPr="00F875E0" w:rsidDel="00346E09">
        <w:t xml:space="preserve"> </w:t>
      </w:r>
      <w:r w:rsidRPr="00F875E0">
        <w:t xml:space="preserve">(if necessary and as soon as practicable) be adjusted retroactively (with interest at the Interest Rate) to reflect </w:t>
      </w:r>
      <w:r w:rsidRPr="00F875E0" w:rsidR="007079CE">
        <w:t>tested</w:t>
      </w:r>
      <w:r w:rsidRPr="00F875E0" w:rsidR="00AC7315">
        <w:t xml:space="preserve"> performance</w:t>
      </w:r>
      <w:r w:rsidRPr="00F875E0">
        <w:t xml:space="preserve"> equal to </w:t>
      </w:r>
      <w:r w:rsidRPr="00F875E0" w:rsidR="006001A1">
        <w:t xml:space="preserve">the </w:t>
      </w:r>
      <w:r w:rsidRPr="00F875E0">
        <w:t>expert’s determination.</w:t>
      </w:r>
      <w:bookmarkEnd w:id="844"/>
      <w:r w:rsidRPr="00F875E0">
        <w:t xml:space="preserve"> </w:t>
      </w:r>
      <w:r w:rsidRPr="00F875E0" w:rsidR="00BA0DAC">
        <w:t>For avoidance of doubt, this Section 19.2 does not apply to any dispute regarding GPC’s application of the Performance Metrics, which will be resolved under Section 19.3 (</w:t>
      </w:r>
      <w:r w:rsidRPr="00F875E0" w:rsidR="00BA0DAC">
        <w:rPr>
          <w:i/>
          <w:iCs/>
        </w:rPr>
        <w:t>JAMS Arbitration</w:t>
      </w:r>
      <w:r w:rsidRPr="00F875E0" w:rsidR="00BA0DAC">
        <w:t>).</w:t>
      </w:r>
      <w:r w:rsidRPr="00F875E0">
        <w:t xml:space="preserve"> </w:t>
      </w:r>
    </w:p>
    <w:p w:rsidRPr="00F875E0" w:rsidR="002D54C4" w:rsidP="008759EF" w:rsidRDefault="002D54C4" w14:paraId="77AD34DC" w14:textId="77777777">
      <w:pPr>
        <w:pStyle w:val="zGTC03"/>
        <w:rPr>
          <w:rFonts w:cs="Arial"/>
          <w:b/>
          <w:vanish/>
          <w:specVanish/>
        </w:rPr>
      </w:pPr>
      <w:bookmarkStart w:name="_Hlk37507881" w:id="845"/>
      <w:r w:rsidRPr="00F875E0">
        <w:rPr>
          <w:rFonts w:cs="Arial"/>
          <w:b/>
        </w:rPr>
        <w:t>Costs.</w:t>
      </w:r>
      <w:bookmarkEnd w:id="845"/>
      <w:r w:rsidRPr="00F875E0">
        <w:rPr>
          <w:rFonts w:cs="Arial"/>
          <w:b/>
        </w:rPr>
        <w:t xml:space="preserve"> </w:t>
      </w:r>
      <w:bookmarkStart w:name="_Hlk37507912" w:id="846"/>
    </w:p>
    <w:p w:rsidRPr="00F875E0" w:rsidR="002D54C4" w:rsidRDefault="002D54C4" w14:paraId="4AD1E3D7" w14:textId="4B5F6E13">
      <w:pPr>
        <w:pStyle w:val="zGNormal"/>
      </w:pPr>
      <w:r w:rsidRPr="00F875E0">
        <w:t>If the independent expert adopts the position of one of the Parties, then the other Party will</w:t>
      </w:r>
      <w:r w:rsidRPr="00F875E0" w:rsidDel="00346E09">
        <w:t xml:space="preserve"> </w:t>
      </w:r>
      <w:r w:rsidRPr="00F875E0">
        <w:t>pay the fees and expenses of the expert. Otherwise, the Parties will share equally the fees and expenses.</w:t>
      </w:r>
      <w:bookmarkEnd w:id="846"/>
    </w:p>
    <w:p w:rsidRPr="00F875E0" w:rsidR="002D54C4" w:rsidRDefault="002D54C4" w14:paraId="711E9C20" w14:textId="77777777">
      <w:pPr>
        <w:pStyle w:val="zGTC02"/>
        <w:rPr>
          <w:rFonts w:ascii="Arial" w:hAnsi="Arial" w:cs="Arial"/>
          <w:vanish/>
          <w:specVanish/>
        </w:rPr>
      </w:pPr>
      <w:bookmarkStart w:name="_Toc169778687" w:id="847"/>
      <w:bookmarkStart w:name="_Toc227451451" w:id="848"/>
      <w:r w:rsidRPr="00F875E0">
        <w:rPr>
          <w:rFonts w:ascii="Arial" w:hAnsi="Arial" w:cs="Arial"/>
        </w:rPr>
        <w:t>JAMS Arbitration.</w:t>
      </w:r>
      <w:bookmarkStart w:name="_Toc158593289" w:id="849"/>
      <w:bookmarkStart w:name="_Toc158597568" w:id="850"/>
      <w:bookmarkStart w:name="_Toc158720192" w:id="851"/>
      <w:bookmarkStart w:name="_Toc158722946" w:id="852"/>
      <w:bookmarkStart w:name="_Toc158929478" w:id="853"/>
      <w:bookmarkEnd w:id="847"/>
      <w:bookmarkEnd w:id="848"/>
      <w:bookmarkEnd w:id="849"/>
      <w:bookmarkEnd w:id="850"/>
      <w:bookmarkEnd w:id="851"/>
      <w:bookmarkEnd w:id="852"/>
      <w:bookmarkEnd w:id="853"/>
    </w:p>
    <w:p w:rsidRPr="00F875E0" w:rsidR="002D54C4" w:rsidRDefault="002D54C4" w14:paraId="3E585C7B" w14:textId="3E4BF6B2">
      <w:pPr>
        <w:pStyle w:val="zGNormal"/>
      </w:pPr>
      <w:r w:rsidRPr="00F875E0" w:rsidDel="00691E96">
        <w:t xml:space="preserve"> </w:t>
      </w:r>
      <w:bookmarkStart w:name="_Hlk37507959" w:id="854"/>
      <w:r w:rsidRPr="00F875E0">
        <w:t xml:space="preserve">Upon the submission of an Impasse Notice: (i) a dispute regarding the calculation of a Termination Payment </w:t>
      </w:r>
      <w:r w:rsidRPr="00F875E0">
        <w:rPr>
          <w:rFonts w:eastAsia="Times New Roman"/>
        </w:rPr>
        <w:t>in accordance with</w:t>
      </w:r>
      <w:r w:rsidRPr="00F875E0">
        <w:t xml:space="preserve"> Section 16.3.3 (</w:t>
      </w:r>
      <w:r w:rsidRPr="00F875E0">
        <w:rPr>
          <w:i/>
        </w:rPr>
        <w:t>Determining Gains, Losses, and Costs</w:t>
      </w:r>
      <w:r w:rsidRPr="00F875E0">
        <w:t>); or (ii) a billing dispute under Section 5.2 (</w:t>
      </w:r>
      <w:r w:rsidRPr="00F875E0">
        <w:rPr>
          <w:i/>
        </w:rPr>
        <w:t>Billing Disputes and Final Accounting</w:t>
      </w:r>
      <w:r w:rsidRPr="00F875E0">
        <w:t xml:space="preserve">), including a dispute concerning </w:t>
      </w:r>
      <w:r w:rsidRPr="00F875E0" w:rsidR="00254ADF">
        <w:t>GPC’s application of the Performance Metrics and resulting</w:t>
      </w:r>
      <w:r w:rsidRPr="00F875E0">
        <w:t xml:space="preserve"> calculation of a </w:t>
      </w:r>
      <w:bookmarkStart w:name="_Hlk37074926" w:id="855"/>
      <w:r w:rsidRPr="00F875E0">
        <w:t>Monthly Capacity Payment in accordance with Exhibit</w:t>
      </w:r>
      <w:r w:rsidRPr="00F875E0" w:rsidDel="00782E37">
        <w:t xml:space="preserve"> </w:t>
      </w:r>
      <w:bookmarkEnd w:id="855"/>
      <w:r w:rsidRPr="00F875E0" w:rsidR="00625B13">
        <w:t>C</w:t>
      </w:r>
      <w:r w:rsidRPr="00F875E0">
        <w:t xml:space="preserve"> (</w:t>
      </w:r>
      <w:r w:rsidRPr="00F875E0" w:rsidR="003321FD">
        <w:rPr>
          <w:i/>
        </w:rPr>
        <w:t xml:space="preserve">Monthly Capacity Payments; Monthly Capacity Reductions; AGC Performance </w:t>
      </w:r>
      <w:r w:rsidRPr="004C6ED4" w:rsidR="00937930">
        <w:rPr>
          <w:bCs/>
          <w:i/>
        </w:rPr>
        <w:t>Metrics and</w:t>
      </w:r>
      <w:r w:rsidRPr="00F875E0" w:rsidR="00937930">
        <w:rPr>
          <w:i/>
        </w:rPr>
        <w:t xml:space="preserve"> </w:t>
      </w:r>
      <w:r w:rsidRPr="00F875E0" w:rsidR="003321FD">
        <w:rPr>
          <w:i/>
        </w:rPr>
        <w:t>Requirements</w:t>
      </w:r>
      <w:r w:rsidRPr="00F875E0">
        <w:t>)</w:t>
      </w:r>
      <w:r w:rsidRPr="00F875E0" w:rsidR="000F3759">
        <w:t xml:space="preserve"> (each a, “</w:t>
      </w:r>
      <w:r w:rsidRPr="00F875E0" w:rsidR="000F3759">
        <w:rPr>
          <w:b/>
          <w:bCs/>
        </w:rPr>
        <w:t>Billing Dispute</w:t>
      </w:r>
      <w:r w:rsidRPr="00F875E0" w:rsidR="000F3759">
        <w:t>”)</w:t>
      </w:r>
      <w:r w:rsidRPr="00F875E0">
        <w:t>,</w:t>
      </w:r>
      <w:r w:rsidR="00B07621">
        <w:t xml:space="preserve"> </w:t>
      </w:r>
      <w:r w:rsidRPr="00F875E0">
        <w:t>will</w:t>
      </w:r>
      <w:r w:rsidRPr="00F875E0" w:rsidDel="00283F17">
        <w:t xml:space="preserve"> </w:t>
      </w:r>
      <w:r w:rsidRPr="00F875E0">
        <w:t>be resolved by arbitration as set forth in this Section 19.3.</w:t>
      </w:r>
      <w:bookmarkEnd w:id="854"/>
    </w:p>
    <w:p w:rsidRPr="00F875E0" w:rsidR="002D54C4" w:rsidP="008759EF" w:rsidRDefault="002D54C4" w14:paraId="5EE0A10A" w14:textId="77777777">
      <w:pPr>
        <w:pStyle w:val="zGTC03"/>
        <w:rPr>
          <w:rFonts w:cs="Arial"/>
          <w:b/>
          <w:vanish/>
          <w:specVanish/>
        </w:rPr>
      </w:pPr>
      <w:bookmarkStart w:name="_Hlk37508021" w:id="856"/>
      <w:r w:rsidRPr="00F875E0">
        <w:rPr>
          <w:rFonts w:cs="Arial"/>
          <w:b/>
        </w:rPr>
        <w:t xml:space="preserve">JAMS. </w:t>
      </w:r>
    </w:p>
    <w:p w:rsidRPr="00F875E0" w:rsidR="002D54C4" w:rsidRDefault="002D54C4" w14:paraId="6A8EEBF9" w14:textId="6A67474F">
      <w:pPr>
        <w:pStyle w:val="zGNormal"/>
      </w:pPr>
      <w:r w:rsidRPr="00F875E0">
        <w:t>The</w:t>
      </w:r>
      <w:r w:rsidRPr="00F875E0" w:rsidDel="000F3759">
        <w:t xml:space="preserve"> </w:t>
      </w:r>
      <w:r w:rsidRPr="00F875E0" w:rsidR="000F3759">
        <w:t>Billing Dispute</w:t>
      </w:r>
      <w:r w:rsidRPr="00F875E0">
        <w:t xml:space="preserve"> will be resolved under the Federal Arbitration Act by binding arbitration </w:t>
      </w:r>
      <w:bookmarkEnd w:id="856"/>
      <w:r w:rsidRPr="00F875E0">
        <w:t>following the JAMS Comprehensive Arbitration Rules and Procedures (“</w:t>
      </w:r>
      <w:r w:rsidRPr="00F875E0">
        <w:rPr>
          <w:b/>
          <w:bCs/>
        </w:rPr>
        <w:t>Rules</w:t>
      </w:r>
      <w:r w:rsidRPr="00F875E0">
        <w:t>”) of Judicial Arbitration and Mediation Services (“</w:t>
      </w:r>
      <w:r w:rsidRPr="00F875E0">
        <w:rPr>
          <w:b/>
          <w:bCs/>
        </w:rPr>
        <w:t>JAMS</w:t>
      </w:r>
      <w:r w:rsidRPr="00F875E0">
        <w:t xml:space="preserve">”) then in effect, including its evidentiary and procedural rules, except as modified in this PPA. It is the Parties’ intent that the arbitration, including the selection and qualification of arbitrators, will be conducted in accordance with the Rules, as amended and supplemented, except where specifically modified by this PPA, and not by the terms of any state arbitration act or other </w:t>
      </w:r>
      <w:r w:rsidRPr="00F875E0" w:rsidR="0095688B">
        <w:t>applicable law</w:t>
      </w:r>
      <w:r w:rsidRPr="00F875E0">
        <w:t>.</w:t>
      </w:r>
    </w:p>
    <w:p w:rsidRPr="00F875E0" w:rsidR="002D54C4" w:rsidP="008759EF" w:rsidRDefault="002D54C4" w14:paraId="07FFAC84" w14:textId="77777777">
      <w:pPr>
        <w:pStyle w:val="zGTC03"/>
        <w:rPr>
          <w:rFonts w:cs="Arial"/>
          <w:b/>
        </w:rPr>
      </w:pPr>
      <w:bookmarkStart w:name="_Hlk37508045" w:id="857"/>
      <w:r w:rsidRPr="00F875E0">
        <w:rPr>
          <w:rFonts w:cs="Arial"/>
          <w:b/>
        </w:rPr>
        <w:t>Initiation of Arbitration; Selection of Arbitrators.</w:t>
      </w:r>
      <w:bookmarkEnd w:id="857"/>
    </w:p>
    <w:p w:rsidRPr="00F875E0" w:rsidR="002D54C4" w:rsidP="00C1276B" w:rsidRDefault="002D54C4" w14:paraId="7689FD7F" w14:textId="49FC5248">
      <w:pPr>
        <w:pStyle w:val="zGTC04"/>
        <w:numPr>
          <w:ilvl w:val="3"/>
          <w:numId w:val="14"/>
        </w:numPr>
        <w:rPr>
          <w:rFonts w:cs="Arial"/>
          <w:szCs w:val="20"/>
        </w:rPr>
      </w:pPr>
      <w:bookmarkStart w:name="_Hlk37508079" w:id="858"/>
      <w:r w:rsidRPr="00F875E0">
        <w:rPr>
          <w:rFonts w:cs="Arial"/>
          <w:b/>
          <w:bCs/>
          <w:szCs w:val="20"/>
        </w:rPr>
        <w:t xml:space="preserve">Initiation of Arbitration; Selection of Party-Appointed Arbitrators. </w:t>
      </w:r>
      <w:r w:rsidRPr="00F875E0">
        <w:rPr>
          <w:rFonts w:cs="Arial"/>
          <w:szCs w:val="20"/>
        </w:rPr>
        <w:t>Within 10 Business Days after delivering an Impasse Notice, the delivering Party must contact JAMS to commence arbitration and must provide notice to the other Party. Arbitration will be deemed to be commenced when JAMS issues a Commencement Letter (as defined</w:t>
      </w:r>
      <w:r w:rsidRPr="002D2A8F">
        <w:rPr>
          <w:rFonts w:cs="Arial"/>
          <w:szCs w:val="20"/>
        </w:rPr>
        <w:t xml:space="preserve"> in the Rules) in accordance with the Rules. The Party initiating arbitration will nominate one arbitrator at the same time it initiates arbitration. The other Party will nominate one arbitrator within 10 Business Days </w:t>
      </w:r>
      <w:r w:rsidR="00D755DA">
        <w:rPr>
          <w:rFonts w:cs="Arial"/>
          <w:szCs w:val="20"/>
        </w:rPr>
        <w:t>after</w:t>
      </w:r>
      <w:r w:rsidRPr="002D2A8F" w:rsidR="00D755DA">
        <w:rPr>
          <w:rFonts w:cs="Arial"/>
          <w:szCs w:val="20"/>
        </w:rPr>
        <w:t xml:space="preserve"> </w:t>
      </w:r>
      <w:r w:rsidRPr="002D2A8F">
        <w:rPr>
          <w:rFonts w:cs="Arial"/>
          <w:szCs w:val="20"/>
        </w:rPr>
        <w:t>receiving the Commencement Letter. The two Party-nominated arbitrators will be deemed neutrals and not the representative of the appointing Party. The two</w:t>
      </w:r>
      <w:r w:rsidRPr="002D2A8F" w:rsidDel="00E327FB">
        <w:rPr>
          <w:rFonts w:cs="Arial"/>
          <w:szCs w:val="20"/>
        </w:rPr>
        <w:t xml:space="preserve"> </w:t>
      </w:r>
      <w:r w:rsidRPr="002D2A8F">
        <w:rPr>
          <w:rFonts w:cs="Arial"/>
          <w:szCs w:val="20"/>
        </w:rPr>
        <w:t>arbitrators (“</w:t>
      </w:r>
      <w:r w:rsidRPr="002D2A8F">
        <w:rPr>
          <w:rFonts w:cs="Arial"/>
          <w:b/>
          <w:szCs w:val="20"/>
        </w:rPr>
        <w:t>Party-Appointed Arbitrators</w:t>
      </w:r>
      <w:r w:rsidRPr="002D2A8F">
        <w:rPr>
          <w:rFonts w:cs="Arial"/>
          <w:szCs w:val="20"/>
        </w:rPr>
        <w:t>”) will appoint a third arbitrator (“</w:t>
      </w:r>
      <w:r w:rsidRPr="002D2A8F">
        <w:rPr>
          <w:rFonts w:cs="Arial"/>
          <w:b/>
          <w:szCs w:val="20"/>
        </w:rPr>
        <w:t>Third Arbitrator</w:t>
      </w:r>
      <w:r w:rsidRPr="002D2A8F">
        <w:rPr>
          <w:rFonts w:cs="Arial"/>
          <w:szCs w:val="20"/>
        </w:rPr>
        <w:t xml:space="preserve">”). </w:t>
      </w:r>
      <w:r w:rsidR="00C35E27">
        <w:rPr>
          <w:rFonts w:cs="Arial"/>
          <w:szCs w:val="20"/>
        </w:rPr>
        <w:t>The “</w:t>
      </w:r>
      <w:r w:rsidRPr="00814BD8" w:rsidR="00C35E27">
        <w:rPr>
          <w:rFonts w:cs="Arial"/>
          <w:b/>
          <w:bCs/>
          <w:szCs w:val="20"/>
        </w:rPr>
        <w:t>Arbitration Panel</w:t>
      </w:r>
      <w:r w:rsidR="00C35E27">
        <w:rPr>
          <w:rFonts w:cs="Arial"/>
          <w:szCs w:val="20"/>
        </w:rPr>
        <w:t xml:space="preserve">” will include the two Party-Appointed Arbitrators and the Third Arbitrator. </w:t>
      </w:r>
      <w:r w:rsidRPr="002D2A8F">
        <w:rPr>
          <w:rFonts w:cs="Arial"/>
          <w:szCs w:val="20"/>
        </w:rPr>
        <w:t>All arbitrators must: (</w:t>
      </w:r>
      <w:r w:rsidR="00D415F3">
        <w:rPr>
          <w:rFonts w:cs="Arial"/>
          <w:szCs w:val="20"/>
        </w:rPr>
        <w:t>a</w:t>
      </w:r>
      <w:r w:rsidRPr="002D2A8F">
        <w:rPr>
          <w:rFonts w:cs="Arial"/>
          <w:szCs w:val="20"/>
        </w:rPr>
        <w:t>) be competent and experienced in matters involving the electric energy business in the United States, with at least 10 years of legal, engineering, or business experience in the electric industry; (</w:t>
      </w:r>
      <w:r w:rsidR="00D415F3">
        <w:rPr>
          <w:rFonts w:cs="Arial"/>
          <w:szCs w:val="20"/>
        </w:rPr>
        <w:t>b</w:t>
      </w:r>
      <w:r w:rsidRPr="002D2A8F">
        <w:rPr>
          <w:rFonts w:cs="Arial"/>
          <w:szCs w:val="20"/>
        </w:rPr>
        <w:t>) have no interest, financial or otherwise, in the Parties or this PPA beyond payment of their fees and expenses for serving on the Arbitration Panel; and (</w:t>
      </w:r>
      <w:r w:rsidR="00D415F3">
        <w:rPr>
          <w:rFonts w:cs="Arial"/>
          <w:szCs w:val="20"/>
        </w:rPr>
        <w:t>c</w:t>
      </w:r>
      <w:r w:rsidRPr="002D2A8F">
        <w:rPr>
          <w:rFonts w:cs="Arial"/>
          <w:szCs w:val="20"/>
        </w:rPr>
        <w:t xml:space="preserve">) have not </w:t>
      </w:r>
      <w:r w:rsidR="001017FC">
        <w:rPr>
          <w:rFonts w:cs="Arial"/>
          <w:szCs w:val="20"/>
        </w:rPr>
        <w:t xml:space="preserve">performed, or </w:t>
      </w:r>
      <w:r w:rsidRPr="002D2A8F">
        <w:rPr>
          <w:rFonts w:cs="Arial"/>
          <w:szCs w:val="20"/>
        </w:rPr>
        <w:t xml:space="preserve">been </w:t>
      </w:r>
      <w:r w:rsidR="000D79BE">
        <w:rPr>
          <w:rFonts w:cs="Arial"/>
          <w:szCs w:val="20"/>
        </w:rPr>
        <w:t>employed by a f</w:t>
      </w:r>
      <w:r w:rsidR="00D273BF">
        <w:rPr>
          <w:rFonts w:cs="Arial"/>
          <w:szCs w:val="20"/>
        </w:rPr>
        <w:t xml:space="preserve">irm that has provided, services for either Party, and otherwise have not </w:t>
      </w:r>
      <w:r w:rsidRPr="002D2A8F">
        <w:rPr>
          <w:rFonts w:cs="Arial"/>
          <w:szCs w:val="20"/>
        </w:rPr>
        <w:t xml:space="preserve">been previously or currently employed or engaged in any capacity </w:t>
      </w:r>
      <w:r w:rsidR="0064277D">
        <w:rPr>
          <w:rFonts w:cs="Arial"/>
          <w:szCs w:val="20"/>
        </w:rPr>
        <w:t>by, and not have a personal</w:t>
      </w:r>
      <w:r w:rsidR="00D5400C">
        <w:rPr>
          <w:rFonts w:cs="Arial"/>
          <w:szCs w:val="20"/>
        </w:rPr>
        <w:t xml:space="preserve"> or professional relationship with, either Party </w:t>
      </w:r>
      <w:r w:rsidR="00267799">
        <w:rPr>
          <w:rFonts w:cs="Arial"/>
          <w:szCs w:val="20"/>
        </w:rPr>
        <w:t>other than as a member of the Arbitration Panel</w:t>
      </w:r>
      <w:r w:rsidRPr="00F875E0">
        <w:rPr>
          <w:rFonts w:cs="Arial"/>
          <w:szCs w:val="20"/>
        </w:rPr>
        <w:t>, unless the employment, engagement, or relationship has been disclosed in writing to all Parties prior to the selection of the Arbitration Panel</w:t>
      </w:r>
      <w:r w:rsidR="00EA1073">
        <w:rPr>
          <w:rFonts w:cs="Arial"/>
          <w:szCs w:val="20"/>
        </w:rPr>
        <w:t xml:space="preserve"> without </w:t>
      </w:r>
      <w:r w:rsidR="001F0794">
        <w:rPr>
          <w:rFonts w:cs="Arial"/>
          <w:szCs w:val="20"/>
        </w:rPr>
        <w:t xml:space="preserve">any unresolved </w:t>
      </w:r>
      <w:r w:rsidR="00EA1073">
        <w:rPr>
          <w:rFonts w:cs="Arial"/>
          <w:szCs w:val="20"/>
        </w:rPr>
        <w:t>objection by either Party</w:t>
      </w:r>
      <w:r w:rsidRPr="00F875E0" w:rsidR="00AD76CB">
        <w:rPr>
          <w:rFonts w:cs="Arial"/>
          <w:szCs w:val="20"/>
        </w:rPr>
        <w:t>.</w:t>
      </w:r>
      <w:r w:rsidRPr="00F875E0" w:rsidR="00C70BA9">
        <w:rPr>
          <w:rFonts w:cs="Arial"/>
          <w:szCs w:val="20"/>
        </w:rPr>
        <w:t xml:space="preserve"> </w:t>
      </w:r>
      <w:r w:rsidRPr="00F875E0" w:rsidR="00AD76CB">
        <w:rPr>
          <w:rFonts w:cs="Arial"/>
          <w:szCs w:val="20"/>
        </w:rPr>
        <w:t>Arbitrators</w:t>
      </w:r>
      <w:r w:rsidRPr="00F875E0">
        <w:rPr>
          <w:rFonts w:cs="Arial"/>
          <w:szCs w:val="20"/>
        </w:rPr>
        <w:t xml:space="preserve"> must not advise or otherwise communicate ex parte in any way with either Party following appointment to the Arbitration Panel</w:t>
      </w:r>
      <w:r w:rsidRPr="00F875E0" w:rsidR="001E4ACC">
        <w:rPr>
          <w:rFonts w:cs="Arial"/>
          <w:szCs w:val="20"/>
        </w:rPr>
        <w:t xml:space="preserve"> </w:t>
      </w:r>
      <w:r w:rsidRPr="00F875E0">
        <w:rPr>
          <w:rFonts w:cs="Arial"/>
          <w:szCs w:val="20"/>
        </w:rPr>
        <w:t>and</w:t>
      </w:r>
      <w:r w:rsidRPr="00F875E0" w:rsidR="00780050">
        <w:rPr>
          <w:rFonts w:cs="Arial"/>
          <w:szCs w:val="20"/>
        </w:rPr>
        <w:t xml:space="preserve"> </w:t>
      </w:r>
      <w:r w:rsidRPr="00F875E0">
        <w:rPr>
          <w:rFonts w:cs="Arial"/>
          <w:szCs w:val="20"/>
        </w:rPr>
        <w:t xml:space="preserve">must treat the details of this PPA and all Arbitration Panel activity as private and confidential, and not publish or disclose any information related to the arbitration without the prior written consent of both Parties. </w:t>
      </w:r>
      <w:r w:rsidRPr="00F875E0">
        <w:rPr>
          <w:rFonts w:cs="Arial"/>
          <w:szCs w:val="20"/>
        </w:rPr>
        <w:lastRenderedPageBreak/>
        <w:t>Further, the Third Arbitrator will be independent of the Parties and the Party-Appointed Arbitrators. Each Party will pay the fees and expenses incurred by its Party-Appointed Arbitrator and the fees and expenses of the Third Arbitrator will be divided equally between the Parties.</w:t>
      </w:r>
      <w:bookmarkEnd w:id="858"/>
    </w:p>
    <w:p w:rsidRPr="00F875E0" w:rsidR="002D54C4" w:rsidP="00D94D93" w:rsidRDefault="002D54C4" w14:paraId="26CEDE29" w14:textId="50A8318B">
      <w:pPr>
        <w:pStyle w:val="zGTC04"/>
        <w:numPr>
          <w:ilvl w:val="3"/>
          <w:numId w:val="16"/>
        </w:numPr>
        <w:rPr>
          <w:rFonts w:cs="Arial"/>
        </w:rPr>
      </w:pPr>
      <w:bookmarkStart w:name="_Hlk37508126" w:id="859"/>
      <w:r w:rsidRPr="00F875E0">
        <w:rPr>
          <w:rFonts w:cs="Arial"/>
          <w:b/>
          <w:bCs/>
        </w:rPr>
        <w:t>Appointment of Third Arbitrator.</w:t>
      </w:r>
      <w:r w:rsidRPr="00F875E0">
        <w:rPr>
          <w:rFonts w:cs="Arial"/>
        </w:rPr>
        <w:t xml:space="preserve"> If the Party-Appointed Arbitrators are unable to agree on the Third Arbitrator within 10 Business Days </w:t>
      </w:r>
      <w:r w:rsidRPr="00F875E0" w:rsidR="009E0726">
        <w:rPr>
          <w:rFonts w:cs="Arial"/>
        </w:rPr>
        <w:t>after</w:t>
      </w:r>
      <w:r w:rsidRPr="00F875E0" w:rsidR="001762FF">
        <w:rPr>
          <w:rFonts w:cs="Arial"/>
        </w:rPr>
        <w:t xml:space="preserve"> the</w:t>
      </w:r>
      <w:r w:rsidRPr="00F875E0" w:rsidR="009E0726">
        <w:rPr>
          <w:rFonts w:cs="Arial"/>
        </w:rPr>
        <w:t xml:space="preserve"> </w:t>
      </w:r>
      <w:r w:rsidRPr="00F875E0">
        <w:rPr>
          <w:rFonts w:cs="Arial"/>
        </w:rPr>
        <w:t>initiation of arbitration, then the Third Arbitrator will be selected by JAMS with due regard given to the selection criteria in Section 19.3.2(i) (</w:t>
      </w:r>
      <w:r w:rsidRPr="00F875E0">
        <w:rPr>
          <w:rFonts w:cs="Arial"/>
          <w:i/>
        </w:rPr>
        <w:t>Initiation of Arbitration</w:t>
      </w:r>
      <w:r w:rsidRPr="00F875E0" w:rsidR="00585C00">
        <w:rPr>
          <w:rFonts w:cs="Arial"/>
          <w:i/>
          <w:iCs/>
        </w:rPr>
        <w:t xml:space="preserve">; Selection of </w:t>
      </w:r>
      <w:r w:rsidRPr="00F875E0">
        <w:rPr>
          <w:rFonts w:cs="Arial"/>
          <w:i/>
        </w:rPr>
        <w:t>Party-Appointed Arbitrators</w:t>
      </w:r>
      <w:r w:rsidRPr="00F875E0">
        <w:rPr>
          <w:rFonts w:cs="Arial"/>
        </w:rPr>
        <w:t xml:space="preserve">) and input from the Parties and the Party-Appointed Arbitrators. Parties will undertake to request JAMS to complete selection of the Third Arbitrator no later than 60 Days </w:t>
      </w:r>
      <w:r w:rsidRPr="00F875E0" w:rsidR="00E831EF">
        <w:rPr>
          <w:rFonts w:cs="Arial"/>
        </w:rPr>
        <w:t xml:space="preserve">after </w:t>
      </w:r>
      <w:r w:rsidRPr="00F875E0">
        <w:rPr>
          <w:rFonts w:cs="Arial"/>
        </w:rPr>
        <w:t>initiation of arbitration. Costs charged by JAMS for this service will be borne by the Parties equally.</w:t>
      </w:r>
      <w:r w:rsidRPr="00F875E0">
        <w:rPr>
          <w:rFonts w:cs="Arial" w:eastAsiaTheme="minorHAnsi"/>
        </w:rPr>
        <w:t xml:space="preserve"> </w:t>
      </w:r>
      <w:r w:rsidRPr="00F875E0">
        <w:rPr>
          <w:rFonts w:cs="Arial"/>
        </w:rPr>
        <w:t xml:space="preserve">If JAMS should fail to select the Third Arbitrator within 60 Days </w:t>
      </w:r>
      <w:r w:rsidRPr="00F875E0" w:rsidR="00B64A02">
        <w:rPr>
          <w:rFonts w:cs="Arial"/>
        </w:rPr>
        <w:t xml:space="preserve">after </w:t>
      </w:r>
      <w:r w:rsidRPr="00F875E0">
        <w:rPr>
          <w:rFonts w:cs="Arial"/>
        </w:rPr>
        <w:t>initiation of arbitration, then either Party may petition a court of competent jurisdiction in Atlanta, Fulton County, Georgia to select the Third Arbitrator. Due regard will be given to the selection criteria in Section 19.3.2(i) and input from the Parties and the Party-Appointed Arbitrators.</w:t>
      </w:r>
      <w:bookmarkStart w:name="_Hlk37508157" w:id="860"/>
      <w:bookmarkEnd w:id="859"/>
      <w:r w:rsidRPr="00F875E0">
        <w:rPr>
          <w:rFonts w:cs="Arial"/>
        </w:rPr>
        <w:t xml:space="preserve"> If, before the conclusion of the arbitration, any member of the Arbitration Panel becomes incapacitated or otherwise unable to serve, then a replacement arbitrator will be appointed in the manner set forth in this Section 19.3.2 (</w:t>
      </w:r>
      <w:r w:rsidRPr="00F875E0">
        <w:rPr>
          <w:rFonts w:cs="Arial"/>
          <w:i/>
        </w:rPr>
        <w:t>Initiation of Arbitration; Selection of Arbitrators</w:t>
      </w:r>
      <w:r w:rsidRPr="00F875E0">
        <w:rPr>
          <w:rFonts w:cs="Arial"/>
        </w:rPr>
        <w:t>).</w:t>
      </w:r>
      <w:bookmarkEnd w:id="860"/>
    </w:p>
    <w:p w:rsidRPr="00F875E0" w:rsidR="002D54C4" w:rsidP="008759EF" w:rsidRDefault="002D54C4" w14:paraId="692D8975" w14:textId="6AF743F5">
      <w:pPr>
        <w:pStyle w:val="zGTC03"/>
        <w:rPr>
          <w:rFonts w:cs="Arial"/>
          <w:b/>
          <w:vanish/>
          <w:specVanish/>
        </w:rPr>
      </w:pPr>
      <w:bookmarkStart w:name="_Hlk37508192" w:id="861"/>
      <w:r w:rsidRPr="00F875E0">
        <w:rPr>
          <w:rFonts w:cs="Arial"/>
          <w:b/>
        </w:rPr>
        <w:t>Discovery; Hearing.</w:t>
      </w:r>
    </w:p>
    <w:p w:rsidRPr="00F875E0" w:rsidR="002D54C4" w:rsidRDefault="002D54C4" w14:paraId="12FF410C" w14:textId="5415BFDC">
      <w:pPr>
        <w:pStyle w:val="zGNormal"/>
      </w:pPr>
      <w:r w:rsidRPr="00F875E0">
        <w:t xml:space="preserve"> Discovery and other pre-hearing procedures will be conducted as agreed by the Parties, including at least one corporate representative deposition, or if they cannot agree, as determined by a majority of the Arbitration Panel</w:t>
      </w:r>
      <w:r w:rsidRPr="00F875E0" w:rsidR="002A7F49">
        <w:t xml:space="preserve"> so long as</w:t>
      </w:r>
      <w:r w:rsidRPr="00F875E0">
        <w:t xml:space="preserve"> all pre-hearing discovery </w:t>
      </w:r>
      <w:r w:rsidRPr="00F875E0" w:rsidR="00F875E0">
        <w:t xml:space="preserve">is </w:t>
      </w:r>
      <w:r w:rsidRPr="00F875E0">
        <w:t xml:space="preserve">be completed within 90 Days </w:t>
      </w:r>
      <w:r w:rsidRPr="00F875E0" w:rsidR="00531259">
        <w:t xml:space="preserve">after </w:t>
      </w:r>
      <w:r w:rsidRPr="00F875E0">
        <w:t xml:space="preserve">selection of the Third Arbitrator. Within 15 Business Days after completion of the pre-hearing discovery, </w:t>
      </w:r>
      <w:bookmarkStart w:name="_DV_M243" w:id="862"/>
      <w:bookmarkStart w:name="_DV_C66" w:id="863"/>
      <w:bookmarkEnd w:id="862"/>
      <w:r w:rsidRPr="00F875E0">
        <w:t>each Party</w:t>
      </w:r>
      <w:bookmarkStart w:name="_DV_M244" w:id="864"/>
      <w:bookmarkEnd w:id="863"/>
      <w:bookmarkEnd w:id="864"/>
      <w:r w:rsidRPr="00F875E0">
        <w:t xml:space="preserve"> will submit, either individually or jointly, by overnight delivery to </w:t>
      </w:r>
      <w:bookmarkStart w:name="_DV_C68" w:id="865"/>
      <w:r w:rsidRPr="00F875E0">
        <w:t>the</w:t>
      </w:r>
      <w:bookmarkStart w:name="_DV_M245" w:id="866"/>
      <w:bookmarkEnd w:id="865"/>
      <w:bookmarkEnd w:id="866"/>
      <w:r w:rsidRPr="00F875E0">
        <w:t xml:space="preserve"> other </w:t>
      </w:r>
      <w:bookmarkStart w:name="_DV_M246" w:id="867"/>
      <w:bookmarkStart w:name="_DV_C70" w:id="868"/>
      <w:bookmarkEnd w:id="867"/>
      <w:r w:rsidRPr="00F875E0">
        <w:t>Party</w:t>
      </w:r>
      <w:bookmarkStart w:name="_DV_M247" w:id="869"/>
      <w:bookmarkEnd w:id="868"/>
      <w:bookmarkEnd w:id="869"/>
      <w:r w:rsidRPr="00F875E0">
        <w:t xml:space="preserve"> and the Arbitration Panel a separate, precise statement for each issue in dispute, that Party’s proposed means of resolving each issue, and the factual or legal support for such proposal (“</w:t>
      </w:r>
      <w:r w:rsidRPr="00F875E0">
        <w:rPr>
          <w:b/>
        </w:rPr>
        <w:t>Proposed Resolutions</w:t>
      </w:r>
      <w:r w:rsidRPr="00F875E0">
        <w:t>”). No later than 30 Business Days after all pre-hearing discovery has been completed, a hearing will be conducted at which Seller and GPC</w:t>
      </w:r>
      <w:r w:rsidRPr="00F875E0" w:rsidDel="00E45AF8">
        <w:t xml:space="preserve"> </w:t>
      </w:r>
      <w:r w:rsidRPr="00F875E0">
        <w:t>will each present evidence and witnesses as it may choose. Arbitration will be conducted in accordance with the Rules, as amended and supplemented, except where specifically modified by this PPA.</w:t>
      </w:r>
      <w:bookmarkEnd w:id="861"/>
    </w:p>
    <w:p w:rsidRPr="00F875E0" w:rsidR="002D54C4" w:rsidP="008759EF" w:rsidRDefault="002D54C4" w14:paraId="656F2048" w14:textId="2AF6F16F">
      <w:pPr>
        <w:pStyle w:val="zGTC03"/>
        <w:rPr>
          <w:rFonts w:cs="Arial"/>
          <w:b/>
          <w:vanish/>
          <w:specVanish/>
        </w:rPr>
      </w:pPr>
      <w:bookmarkStart w:name="_Hlk37508226" w:id="870"/>
      <w:r w:rsidRPr="00F875E0">
        <w:rPr>
          <w:rFonts w:cs="Arial"/>
          <w:b/>
        </w:rPr>
        <w:t>Confidential Proceeding.</w:t>
      </w:r>
    </w:p>
    <w:p w:rsidRPr="002D2A8F" w:rsidR="002D54C4" w:rsidRDefault="002D54C4" w14:paraId="73364976" w14:textId="778B4750">
      <w:pPr>
        <w:pStyle w:val="zGNormal"/>
      </w:pPr>
      <w:r w:rsidRPr="00F875E0">
        <w:t xml:space="preserve"> Each Party</w:t>
      </w:r>
      <w:r w:rsidRPr="00F875E0" w:rsidDel="00204E44">
        <w:t xml:space="preserve"> </w:t>
      </w:r>
      <w:r w:rsidRPr="00F875E0">
        <w:t xml:space="preserve">must maintain the confidentiality of the arbitration proceedings, except as reasonably necessary to effectively represent itself in the proceeding to enforce the arbitration award or determination, or as otherwise required by law. All discovery materials will remain confidential </w:t>
      </w:r>
      <w:r w:rsidRPr="00F875E0" w:rsidR="007C07DE">
        <w:t xml:space="preserve">in accordance </w:t>
      </w:r>
      <w:r w:rsidRPr="00F875E0">
        <w:t>with Section 20.1</w:t>
      </w:r>
      <w:r w:rsidRPr="00F875E0" w:rsidR="007B2262">
        <w:t>6</w:t>
      </w:r>
      <w:r w:rsidRPr="00F875E0">
        <w:t xml:space="preserve"> (</w:t>
      </w:r>
      <w:r w:rsidRPr="00F875E0">
        <w:rPr>
          <w:i/>
        </w:rPr>
        <w:t>Confidentiality</w:t>
      </w:r>
      <w:r w:rsidRPr="00F875E0">
        <w:t>).</w:t>
      </w:r>
      <w:bookmarkEnd w:id="870"/>
    </w:p>
    <w:p w:rsidRPr="002D2A8F" w:rsidR="002D54C4" w:rsidP="008759EF" w:rsidRDefault="002D54C4" w14:paraId="04AD35DF" w14:textId="5E990AA9">
      <w:pPr>
        <w:pStyle w:val="zGTC03"/>
        <w:rPr>
          <w:rFonts w:cs="Arial"/>
          <w:b/>
          <w:vanish/>
          <w:specVanish/>
        </w:rPr>
      </w:pPr>
      <w:bookmarkStart w:name="_Hlk37506695" w:id="871"/>
      <w:bookmarkStart w:name="_Hlk37508245" w:id="872"/>
      <w:r w:rsidRPr="002D2A8F">
        <w:rPr>
          <w:rFonts w:cs="Arial"/>
          <w:b/>
        </w:rPr>
        <w:t>Arbitration Cost.</w:t>
      </w:r>
      <w:bookmarkStart w:name="_Hlk37506714" w:id="873"/>
      <w:bookmarkEnd w:id="871"/>
    </w:p>
    <w:p w:rsidRPr="002D2A8F" w:rsidR="002D54C4" w:rsidRDefault="002D54C4" w14:paraId="03F86530" w14:textId="77777777">
      <w:pPr>
        <w:pStyle w:val="zGNormal"/>
      </w:pPr>
      <w:r w:rsidRPr="002D2A8F">
        <w:t xml:space="preserve"> Each Party will be responsible for its own legal and arbitration expenses incurred in connection with the arbitration proceeding, including attorneys’ fees, investigation, or discovery (including e-discovery) costs, and expert, consultant or arbitrator fees and expenses.</w:t>
      </w:r>
      <w:bookmarkEnd w:id="872"/>
      <w:bookmarkEnd w:id="873"/>
    </w:p>
    <w:p w:rsidRPr="002D2A8F" w:rsidR="002D54C4" w:rsidP="008759EF" w:rsidRDefault="002D54C4" w14:paraId="6B4E8640" w14:textId="77777777">
      <w:pPr>
        <w:pStyle w:val="zGTC03"/>
        <w:rPr>
          <w:rFonts w:cs="Arial"/>
          <w:b/>
          <w:vanish/>
          <w:specVanish/>
        </w:rPr>
      </w:pPr>
      <w:bookmarkStart w:name="_Toc379477327" w:id="874"/>
      <w:r w:rsidRPr="002D2A8F">
        <w:rPr>
          <w:rFonts w:cs="Arial"/>
          <w:b/>
        </w:rPr>
        <w:t>Arbitrator Decisions</w:t>
      </w:r>
      <w:bookmarkStart w:name="_DV_M249" w:id="875"/>
      <w:bookmarkEnd w:id="875"/>
      <w:r w:rsidRPr="002D2A8F">
        <w:rPr>
          <w:rFonts w:cs="Arial"/>
          <w:b/>
        </w:rPr>
        <w:t>.</w:t>
      </w:r>
      <w:bookmarkEnd w:id="874"/>
    </w:p>
    <w:p w:rsidRPr="002D2A8F" w:rsidR="00C47AAE" w:rsidP="00C1276B" w:rsidRDefault="00F00682" w14:paraId="63B9AA5D" w14:textId="41D3B0F1">
      <w:pPr>
        <w:pStyle w:val="zGTC04"/>
        <w:numPr>
          <w:ilvl w:val="3"/>
          <w:numId w:val="4"/>
        </w:numPr>
        <w:tabs>
          <w:tab w:val="num" w:pos="864"/>
        </w:tabs>
        <w:ind w:left="360"/>
        <w:rPr>
          <w:rFonts w:cs="Arial"/>
          <w:szCs w:val="20"/>
        </w:rPr>
      </w:pPr>
      <w:bookmarkStart w:name="_Hlk37506777" w:id="876"/>
      <w:r w:rsidRPr="002D2A8F">
        <w:rPr>
          <w:rFonts w:cs="Arial"/>
          <w:b/>
          <w:bCs/>
          <w:szCs w:val="20"/>
        </w:rPr>
        <w:t xml:space="preserve"> </w:t>
      </w:r>
    </w:p>
    <w:p w:rsidRPr="002D2A8F" w:rsidR="002D54C4" w:rsidP="009B2B35" w:rsidRDefault="002D54C4" w14:paraId="3E813EB6" w14:textId="31705B70">
      <w:pPr>
        <w:pStyle w:val="zGTC04"/>
        <w:rPr>
          <w:rFonts w:cs="Arial"/>
          <w:szCs w:val="20"/>
        </w:rPr>
      </w:pPr>
      <w:r w:rsidRPr="002D2A8F">
        <w:rPr>
          <w:rFonts w:cs="Arial"/>
          <w:b/>
          <w:bCs/>
          <w:szCs w:val="20"/>
        </w:rPr>
        <w:t xml:space="preserve">Considerations. </w:t>
      </w:r>
      <w:r w:rsidRPr="002D2A8F">
        <w:rPr>
          <w:rFonts w:cs="Arial"/>
          <w:szCs w:val="20"/>
        </w:rPr>
        <w:t xml:space="preserve">The Arbitration Panel will consider the terms and conditions of this PPA, including all relevant evidence and testimony, and will render its decision </w:t>
      </w:r>
      <w:r w:rsidR="00B12DDB">
        <w:rPr>
          <w:rFonts w:cs="Arial"/>
          <w:szCs w:val="20"/>
        </w:rPr>
        <w:t xml:space="preserve">(by means of a written reasoned decision) </w:t>
      </w:r>
      <w:r w:rsidRPr="002D2A8F">
        <w:rPr>
          <w:rFonts w:cs="Arial"/>
          <w:szCs w:val="20"/>
        </w:rPr>
        <w:t xml:space="preserve">within 30 Days </w:t>
      </w:r>
      <w:r w:rsidR="00C4050B">
        <w:rPr>
          <w:rFonts w:cs="Arial"/>
          <w:szCs w:val="20"/>
        </w:rPr>
        <w:t>after the</w:t>
      </w:r>
      <w:r w:rsidRPr="002D2A8F" w:rsidR="00C4050B">
        <w:rPr>
          <w:rFonts w:cs="Arial"/>
          <w:szCs w:val="20"/>
        </w:rPr>
        <w:t xml:space="preserve"> </w:t>
      </w:r>
      <w:r w:rsidRPr="002D2A8F">
        <w:rPr>
          <w:rFonts w:cs="Arial"/>
          <w:szCs w:val="20"/>
        </w:rPr>
        <w:t xml:space="preserve">conclusion of the hearing. </w:t>
      </w:r>
      <w:r w:rsidRPr="002D2A8F">
        <w:rPr>
          <w:rFonts w:cs="Arial"/>
          <w:szCs w:val="20"/>
          <w:u w:val="single"/>
        </w:rPr>
        <w:t>However</w:t>
      </w:r>
      <w:r w:rsidRPr="002D2A8F">
        <w:rPr>
          <w:rFonts w:cs="Arial"/>
          <w:szCs w:val="20"/>
        </w:rPr>
        <w:t>, the Arbitration Panel is expressly and specifically limited to selecting one</w:t>
      </w:r>
      <w:r w:rsidRPr="002D2A8F" w:rsidDel="008E19E6">
        <w:rPr>
          <w:rFonts w:cs="Arial"/>
          <w:szCs w:val="20"/>
        </w:rPr>
        <w:t xml:space="preserve"> </w:t>
      </w:r>
      <w:r w:rsidRPr="002D2A8F">
        <w:rPr>
          <w:rFonts w:cs="Arial"/>
          <w:szCs w:val="20"/>
        </w:rPr>
        <w:t xml:space="preserve">of the Proposed Resolutions provided by </w:t>
      </w:r>
      <w:r w:rsidR="005A576E">
        <w:rPr>
          <w:rFonts w:cs="Arial"/>
          <w:szCs w:val="20"/>
        </w:rPr>
        <w:t xml:space="preserve">either </w:t>
      </w:r>
      <w:r w:rsidRPr="002D2A8F">
        <w:rPr>
          <w:rFonts w:cs="Arial"/>
          <w:szCs w:val="20"/>
        </w:rPr>
        <w:t xml:space="preserve">Seller </w:t>
      </w:r>
      <w:r w:rsidR="005A576E">
        <w:rPr>
          <w:rFonts w:cs="Arial"/>
          <w:szCs w:val="20"/>
        </w:rPr>
        <w:t>or</w:t>
      </w:r>
      <w:r w:rsidRPr="002D2A8F" w:rsidR="005A576E">
        <w:rPr>
          <w:rFonts w:cs="Arial"/>
          <w:szCs w:val="20"/>
        </w:rPr>
        <w:t xml:space="preserve"> </w:t>
      </w:r>
      <w:r w:rsidRPr="002D2A8F">
        <w:rPr>
          <w:rFonts w:cs="Arial"/>
        </w:rPr>
        <w:t>GPC</w:t>
      </w:r>
      <w:r w:rsidRPr="002D2A8F" w:rsidDel="00E45AF8">
        <w:rPr>
          <w:rFonts w:cs="Arial"/>
          <w:szCs w:val="20"/>
        </w:rPr>
        <w:t xml:space="preserve"> </w:t>
      </w:r>
      <w:r w:rsidRPr="002D2A8F">
        <w:rPr>
          <w:rFonts w:cs="Arial"/>
          <w:szCs w:val="20"/>
        </w:rPr>
        <w:t>for each issue in dispute. The Arbitration Panel will have no authority to award consequential, special, indirect, treble, exemplary, incidental, or punitive damages of any type under any circumstance, regardless of whether such damages may be available under applicable state law, federal law, the Federal Arbitration Act, or any other applicable law.</w:t>
      </w:r>
      <w:bookmarkEnd w:id="876"/>
    </w:p>
    <w:p w:rsidRPr="002D2A8F" w:rsidR="002D54C4" w:rsidP="00D94D93" w:rsidRDefault="002D54C4" w14:paraId="7F4F9086" w14:textId="393C8A93">
      <w:pPr>
        <w:pStyle w:val="zGTC04"/>
        <w:numPr>
          <w:ilvl w:val="3"/>
          <w:numId w:val="17"/>
        </w:numPr>
        <w:rPr>
          <w:rFonts w:cs="Arial"/>
          <w:szCs w:val="20"/>
        </w:rPr>
      </w:pPr>
      <w:bookmarkStart w:name="_Hlk37506808" w:id="877"/>
      <w:r w:rsidRPr="002D2A8F">
        <w:rPr>
          <w:rFonts w:cs="Arial"/>
          <w:b/>
          <w:bCs/>
          <w:szCs w:val="20"/>
        </w:rPr>
        <w:t>Decision</w:t>
      </w:r>
      <w:r w:rsidR="000F3628">
        <w:rPr>
          <w:rFonts w:cs="Arial"/>
          <w:b/>
          <w:bCs/>
          <w:szCs w:val="20"/>
        </w:rPr>
        <w:t xml:space="preserve"> of Arbitration Panel</w:t>
      </w:r>
      <w:r w:rsidRPr="002D2A8F">
        <w:rPr>
          <w:rFonts w:cs="Arial"/>
          <w:b/>
          <w:bCs/>
          <w:szCs w:val="20"/>
        </w:rPr>
        <w:t xml:space="preserve">. </w:t>
      </w:r>
      <w:r w:rsidRPr="002D2A8F">
        <w:rPr>
          <w:rFonts w:cs="Arial"/>
          <w:szCs w:val="20"/>
        </w:rPr>
        <w:t xml:space="preserve">The written decision rendered by a majority of the Arbitration Panel will be provided to the Parties. </w:t>
      </w:r>
      <w:r w:rsidR="00DE65AE">
        <w:rPr>
          <w:rFonts w:cs="Arial"/>
          <w:szCs w:val="20"/>
        </w:rPr>
        <w:t xml:space="preserve">The decision may be filed in a court of </w:t>
      </w:r>
      <w:r w:rsidR="00DE65AE">
        <w:rPr>
          <w:rFonts w:cs="Arial"/>
          <w:szCs w:val="20"/>
        </w:rPr>
        <w:lastRenderedPageBreak/>
        <w:t>competent jurisdiction and may be enforced by Seller or GPC as a final judgment in such court</w:t>
      </w:r>
      <w:r w:rsidRPr="002D2A8F">
        <w:rPr>
          <w:rFonts w:cs="Arial"/>
          <w:szCs w:val="20"/>
        </w:rPr>
        <w:t>.</w:t>
      </w:r>
      <w:bookmarkEnd w:id="877"/>
    </w:p>
    <w:p w:rsidRPr="002D2A8F" w:rsidR="002D54C4" w:rsidRDefault="002D54C4" w14:paraId="2A685EAA" w14:textId="77777777">
      <w:pPr>
        <w:pStyle w:val="zGTC02"/>
        <w:rPr>
          <w:rFonts w:ascii="Arial" w:hAnsi="Arial" w:cs="Arial"/>
          <w:vanish/>
          <w:specVanish/>
        </w:rPr>
      </w:pPr>
      <w:bookmarkStart w:name="_Toc169778688" w:id="878"/>
      <w:bookmarkStart w:name="_Toc227451452" w:id="879"/>
      <w:r w:rsidRPr="002D2A8F">
        <w:rPr>
          <w:rFonts w:ascii="Arial" w:hAnsi="Arial" w:cs="Arial"/>
        </w:rPr>
        <w:t>Location of Arbitration.</w:t>
      </w:r>
      <w:bookmarkStart w:name="_Toc158593290" w:id="880"/>
      <w:bookmarkStart w:name="_Toc158597569" w:id="881"/>
      <w:bookmarkStart w:name="_Toc158720193" w:id="882"/>
      <w:bookmarkStart w:name="_Toc158722947" w:id="883"/>
      <w:bookmarkStart w:name="_Toc158929479" w:id="884"/>
      <w:bookmarkEnd w:id="878"/>
      <w:bookmarkEnd w:id="879"/>
      <w:bookmarkEnd w:id="880"/>
      <w:bookmarkEnd w:id="881"/>
      <w:bookmarkEnd w:id="882"/>
      <w:bookmarkEnd w:id="883"/>
      <w:bookmarkEnd w:id="884"/>
    </w:p>
    <w:p w:rsidRPr="00F875E0" w:rsidR="002D54C4" w:rsidRDefault="002D54C4" w14:paraId="01046E83" w14:textId="2F6A39C2">
      <w:pPr>
        <w:pStyle w:val="zGNormal"/>
      </w:pPr>
      <w:r w:rsidRPr="002D2A8F">
        <w:t xml:space="preserve"> </w:t>
      </w:r>
      <w:bookmarkStart w:name="_Hlk37506861" w:id="885"/>
      <w:r w:rsidRPr="00F875E0">
        <w:t xml:space="preserve">Any arbitration under Section 19.2 </w:t>
      </w:r>
      <w:r w:rsidR="00B07621">
        <w:t>(</w:t>
      </w:r>
      <w:r w:rsidR="00B07621">
        <w:rPr>
          <w:i/>
          <w:iCs/>
        </w:rPr>
        <w:t>Expert Arbitration</w:t>
      </w:r>
      <w:r w:rsidR="00B07621">
        <w:t xml:space="preserve">) </w:t>
      </w:r>
      <w:r w:rsidRPr="00F875E0">
        <w:t xml:space="preserve">or Section 19.3 </w:t>
      </w:r>
      <w:r w:rsidR="00B07621">
        <w:t>(</w:t>
      </w:r>
      <w:r w:rsidR="00B07621">
        <w:rPr>
          <w:i/>
          <w:iCs/>
        </w:rPr>
        <w:t>JAMS Arbitration</w:t>
      </w:r>
      <w:r w:rsidR="00B07621">
        <w:t xml:space="preserve">) </w:t>
      </w:r>
      <w:r w:rsidRPr="00F875E0">
        <w:t>will take place in Atlanta, Fulton County, Georgia.</w:t>
      </w:r>
      <w:bookmarkEnd w:id="885"/>
    </w:p>
    <w:p w:rsidRPr="00F875E0" w:rsidR="002D54C4" w:rsidRDefault="002D54C4" w14:paraId="22104765" w14:textId="77777777">
      <w:pPr>
        <w:pStyle w:val="zGTC02"/>
        <w:rPr>
          <w:rFonts w:ascii="Arial" w:hAnsi="Arial" w:cs="Arial"/>
          <w:vanish/>
          <w:specVanish/>
        </w:rPr>
      </w:pPr>
      <w:bookmarkStart w:name="_Toc169778689" w:id="886"/>
      <w:bookmarkStart w:name="_Toc227451453" w:id="887"/>
      <w:r w:rsidRPr="00F875E0">
        <w:rPr>
          <w:rFonts w:ascii="Arial" w:hAnsi="Arial" w:cs="Arial"/>
        </w:rPr>
        <w:t>Mandatory Arbitration.</w:t>
      </w:r>
      <w:bookmarkStart w:name="_Toc158593291" w:id="888"/>
      <w:bookmarkStart w:name="_Toc158597570" w:id="889"/>
      <w:bookmarkStart w:name="_Toc158720194" w:id="890"/>
      <w:bookmarkStart w:name="_Toc158722948" w:id="891"/>
      <w:bookmarkStart w:name="_Toc158929480" w:id="892"/>
      <w:bookmarkEnd w:id="886"/>
      <w:bookmarkEnd w:id="887"/>
      <w:bookmarkEnd w:id="888"/>
      <w:bookmarkEnd w:id="889"/>
      <w:bookmarkEnd w:id="890"/>
      <w:bookmarkEnd w:id="891"/>
      <w:bookmarkEnd w:id="892"/>
    </w:p>
    <w:p w:rsidRPr="00F875E0" w:rsidR="002D54C4" w:rsidRDefault="002D54C4" w14:paraId="658FC32F" w14:textId="6780F55C">
      <w:pPr>
        <w:pStyle w:val="zGNormal"/>
        <w:rPr>
          <w:b/>
          <w:u w:val="single"/>
        </w:rPr>
      </w:pPr>
      <w:r w:rsidRPr="00F875E0">
        <w:t xml:space="preserve"> </w:t>
      </w:r>
      <w:bookmarkStart w:name="_Hlk37506919" w:id="893"/>
      <w:r w:rsidRPr="00F875E0">
        <w:rPr>
          <w:b/>
          <w:bCs/>
          <w:u w:val="single"/>
        </w:rPr>
        <w:t xml:space="preserve">Subject to </w:t>
      </w:r>
      <w:r w:rsidRPr="00F875E0">
        <w:rPr>
          <w:b/>
          <w:u w:val="single"/>
        </w:rPr>
        <w:t>Section 19.3.6 (</w:t>
      </w:r>
      <w:r w:rsidRPr="00F875E0">
        <w:rPr>
          <w:b/>
          <w:i/>
          <w:u w:val="single"/>
        </w:rPr>
        <w:t>Arbitrator Decisions</w:t>
      </w:r>
      <w:r w:rsidRPr="00F875E0">
        <w:rPr>
          <w:b/>
          <w:u w:val="single"/>
        </w:rPr>
        <w:t>)</w:t>
      </w:r>
      <w:r w:rsidRPr="00F875E0">
        <w:rPr>
          <w:b/>
          <w:bCs/>
          <w:u w:val="single"/>
        </w:rPr>
        <w:t xml:space="preserve">, each Party understands and agrees that when arbitration is required under this </w:t>
      </w:r>
      <w:r w:rsidRPr="00F875E0">
        <w:rPr>
          <w:b/>
          <w:u w:val="single"/>
        </w:rPr>
        <w:t>Part 19</w:t>
      </w:r>
      <w:r w:rsidRPr="00F875E0">
        <w:rPr>
          <w:b/>
          <w:bCs/>
          <w:u w:val="single"/>
        </w:rPr>
        <w:t xml:space="preserve">, arbitration is mandatory and each </w:t>
      </w:r>
      <w:r w:rsidR="00C73FBB">
        <w:rPr>
          <w:b/>
          <w:bCs/>
          <w:u w:val="single"/>
        </w:rPr>
        <w:t>P</w:t>
      </w:r>
      <w:r w:rsidRPr="00F875E0">
        <w:rPr>
          <w:b/>
          <w:bCs/>
          <w:u w:val="single"/>
        </w:rPr>
        <w:t xml:space="preserve">arty waives any right to seek judicial relief or file court proceedings to determine the specified matters under </w:t>
      </w:r>
      <w:r w:rsidRPr="00F875E0">
        <w:rPr>
          <w:b/>
          <w:u w:val="single"/>
        </w:rPr>
        <w:t>Section 19.2 (</w:t>
      </w:r>
      <w:r w:rsidRPr="00F875E0">
        <w:rPr>
          <w:b/>
          <w:i/>
          <w:u w:val="single"/>
        </w:rPr>
        <w:t>Expert Arbitration</w:t>
      </w:r>
      <w:r w:rsidRPr="00F875E0">
        <w:rPr>
          <w:b/>
          <w:u w:val="single"/>
        </w:rPr>
        <w:t>) or Section 19.3 (</w:t>
      </w:r>
      <w:r w:rsidRPr="00F875E0">
        <w:rPr>
          <w:b/>
          <w:i/>
          <w:u w:val="single"/>
        </w:rPr>
        <w:t>JAMS Arbitration</w:t>
      </w:r>
      <w:r w:rsidRPr="00F875E0">
        <w:rPr>
          <w:b/>
          <w:u w:val="single"/>
        </w:rPr>
        <w:t>)</w:t>
      </w:r>
      <w:r w:rsidRPr="00F875E0">
        <w:rPr>
          <w:b/>
          <w:bCs/>
          <w:u w:val="single"/>
        </w:rPr>
        <w:t xml:space="preserve">, other than the right to seek judicial relief to compel arbitration, to confirm an arbitration award, or to seek injunctive relief under </w:t>
      </w:r>
      <w:r w:rsidRPr="00F875E0">
        <w:rPr>
          <w:b/>
          <w:u w:val="single"/>
        </w:rPr>
        <w:t xml:space="preserve">Section 19.6 </w:t>
      </w:r>
      <w:r w:rsidRPr="00F875E0" w:rsidR="00EC5C5D">
        <w:rPr>
          <w:b/>
          <w:bCs/>
          <w:u w:val="single"/>
        </w:rPr>
        <w:t>(</w:t>
      </w:r>
      <w:r w:rsidRPr="00F875E0" w:rsidR="00EC5C5D">
        <w:rPr>
          <w:b/>
          <w:bCs/>
          <w:i/>
          <w:iCs/>
          <w:u w:val="single"/>
        </w:rPr>
        <w:t>Injunctive Relief</w:t>
      </w:r>
      <w:r w:rsidRPr="00F875E0" w:rsidR="00EC5C5D">
        <w:rPr>
          <w:b/>
          <w:bCs/>
          <w:u w:val="single"/>
        </w:rPr>
        <w:t>)</w:t>
      </w:r>
      <w:r w:rsidRPr="00F875E0">
        <w:rPr>
          <w:b/>
          <w:bCs/>
          <w:u w:val="single"/>
        </w:rPr>
        <w:t xml:space="preserve"> of this PPA.</w:t>
      </w:r>
      <w:bookmarkEnd w:id="893"/>
    </w:p>
    <w:p w:rsidRPr="00F875E0" w:rsidR="002D54C4" w:rsidRDefault="002D54C4" w14:paraId="573FD114" w14:textId="77777777">
      <w:pPr>
        <w:pStyle w:val="zGTC02"/>
        <w:rPr>
          <w:rFonts w:ascii="Arial" w:hAnsi="Arial" w:cs="Arial"/>
          <w:vanish/>
          <w:specVanish/>
        </w:rPr>
      </w:pPr>
      <w:bookmarkStart w:name="_Toc169778690" w:id="894"/>
      <w:bookmarkStart w:name="_Toc227451454" w:id="895"/>
      <w:r w:rsidRPr="00F875E0">
        <w:rPr>
          <w:rFonts w:ascii="Arial" w:hAnsi="Arial" w:cs="Arial"/>
        </w:rPr>
        <w:t>Injunctive Relief.</w:t>
      </w:r>
      <w:bookmarkStart w:name="_Toc158593292" w:id="896"/>
      <w:bookmarkStart w:name="_Toc158597571" w:id="897"/>
      <w:bookmarkStart w:name="_Toc158720195" w:id="898"/>
      <w:bookmarkStart w:name="_Toc158722949" w:id="899"/>
      <w:bookmarkStart w:name="_Toc158929481" w:id="900"/>
      <w:bookmarkEnd w:id="894"/>
      <w:bookmarkEnd w:id="895"/>
      <w:bookmarkEnd w:id="896"/>
      <w:bookmarkEnd w:id="897"/>
      <w:bookmarkEnd w:id="898"/>
      <w:bookmarkEnd w:id="899"/>
      <w:bookmarkEnd w:id="900"/>
    </w:p>
    <w:p w:rsidRPr="00F875E0" w:rsidR="002D54C4" w:rsidRDefault="002D54C4" w14:paraId="4644DD1C" w14:textId="620C7B72">
      <w:pPr>
        <w:pStyle w:val="zGNormal"/>
      </w:pPr>
      <w:r w:rsidRPr="00F875E0">
        <w:t xml:space="preserve"> Despite</w:t>
      </w:r>
      <w:bookmarkStart w:name="_Hlk37506964" w:id="901"/>
      <w:r w:rsidRPr="00F875E0">
        <w:t xml:space="preserve"> any other provision of this Part </w:t>
      </w:r>
      <w:r w:rsidRPr="00F875E0" w:rsidR="00097BCF">
        <w:t>19</w:t>
      </w:r>
      <w:r w:rsidR="00C91B5C">
        <w:t xml:space="preserve"> (</w:t>
      </w:r>
      <w:r w:rsidRPr="00C91B5C" w:rsidR="00C91B5C">
        <w:rPr>
          <w:i/>
          <w:iCs/>
        </w:rPr>
        <w:t>Dispute Resolution</w:t>
      </w:r>
      <w:r w:rsidR="00C91B5C">
        <w:t>)</w:t>
      </w:r>
      <w:r w:rsidRPr="00F875E0">
        <w:t>, the Parties acknowledge that an award of damages may not afford complete relief or furnish an adequate legal remedy as between them (such as when Seller’s Event of Default arises from Seller’s actions designed to achieve an economic gain by selling energy, capacity, or Ancillary Services to a third party in violation of this PPA). Accordingly, the Parties agree that a Party will be permitted to seek at any time, in accordance with applicable laws, procedures, and the terms of this PPA, injunctive relief relating to the performance of this PPA from an arbitrator, a Governmental Authority of appropriate jurisdiction, or a court of competent jurisdiction located in Atlanta, Fulton County, Georgia. The Parties expressly agree that this Section 19.6 does not present a question of substantive arbitrability and waive any right to have an arbitrator decide whether preliminary injunctive relief is available in court. In the event of entry of any interlocutory injunctive relief, the Party against whom such relief is entered waives the right to have a bond or security posted pending resolution of the dispute giving rise to the issuance of the injunction.</w:t>
      </w:r>
      <w:bookmarkEnd w:id="901"/>
    </w:p>
    <w:p w:rsidRPr="00F875E0" w:rsidR="002D54C4" w:rsidRDefault="002D54C4" w14:paraId="5AE343C7" w14:textId="77777777">
      <w:pPr>
        <w:pStyle w:val="zGTC02"/>
        <w:rPr>
          <w:rFonts w:ascii="Arial" w:hAnsi="Arial" w:cs="Arial"/>
          <w:vanish/>
          <w:specVanish/>
        </w:rPr>
      </w:pPr>
      <w:bookmarkStart w:name="_Toc169778691" w:id="902"/>
      <w:bookmarkStart w:name="_Toc227451455" w:id="903"/>
      <w:r w:rsidRPr="00F875E0">
        <w:rPr>
          <w:rFonts w:ascii="Arial" w:hAnsi="Arial" w:cs="Arial"/>
        </w:rPr>
        <w:t>Continued Performance.</w:t>
      </w:r>
      <w:bookmarkStart w:name="_Toc158593293" w:id="904"/>
      <w:bookmarkStart w:name="_Toc158597572" w:id="905"/>
      <w:bookmarkStart w:name="_Toc158720196" w:id="906"/>
      <w:bookmarkStart w:name="_Toc158722950" w:id="907"/>
      <w:bookmarkStart w:name="_Toc158929482" w:id="908"/>
      <w:bookmarkEnd w:id="902"/>
      <w:bookmarkEnd w:id="903"/>
      <w:bookmarkEnd w:id="904"/>
      <w:bookmarkEnd w:id="905"/>
      <w:bookmarkEnd w:id="906"/>
      <w:bookmarkEnd w:id="907"/>
      <w:bookmarkEnd w:id="908"/>
    </w:p>
    <w:p w:rsidRPr="00F875E0" w:rsidR="002D54C4" w:rsidRDefault="002D54C4" w14:paraId="5BAC0381" w14:textId="6882E393">
      <w:pPr>
        <w:pStyle w:val="zGNormal"/>
      </w:pPr>
      <w:r w:rsidRPr="00F875E0">
        <w:t xml:space="preserve"> </w:t>
      </w:r>
      <w:bookmarkStart w:name="_Hlk37507003" w:id="909"/>
      <w:r w:rsidRPr="00F875E0">
        <w:t>The Parties agree to continue performing their respective obligations under this PPA while the dispute is being resolved, unless and until such obligations are terminated or expire in accordance with this PPA.</w:t>
      </w:r>
      <w:bookmarkEnd w:id="909"/>
    </w:p>
    <w:p w:rsidRPr="00F875E0" w:rsidR="002D54C4" w:rsidP="00ED6839" w:rsidRDefault="002D54C4" w14:paraId="710F6060" w14:textId="77777777">
      <w:pPr>
        <w:pStyle w:val="zGTC01"/>
        <w:rPr>
          <w:rFonts w:ascii="Arial" w:hAnsi="Arial"/>
          <w:szCs w:val="20"/>
        </w:rPr>
      </w:pPr>
      <w:bookmarkStart w:name="_Toc169778692" w:id="910"/>
      <w:bookmarkStart w:name="_Toc227451456" w:id="911"/>
      <w:r w:rsidRPr="00F875E0">
        <w:rPr>
          <w:rFonts w:ascii="Arial" w:hAnsi="Arial"/>
        </w:rPr>
        <w:t>Miscellaneous Provisions</w:t>
      </w:r>
      <w:bookmarkEnd w:id="910"/>
      <w:bookmarkEnd w:id="911"/>
    </w:p>
    <w:p w:rsidRPr="00F875E0" w:rsidR="002D54C4" w:rsidRDefault="002D54C4" w14:paraId="75F12E05" w14:textId="77777777">
      <w:pPr>
        <w:pStyle w:val="zGTC02"/>
        <w:rPr>
          <w:rFonts w:ascii="Arial" w:hAnsi="Arial" w:cs="Arial"/>
          <w:vanish/>
          <w:specVanish/>
        </w:rPr>
      </w:pPr>
      <w:bookmarkStart w:name="_Toc169778693" w:id="912"/>
      <w:bookmarkStart w:name="_Toc227451457" w:id="913"/>
      <w:r w:rsidRPr="00F875E0">
        <w:rPr>
          <w:rFonts w:ascii="Arial" w:hAnsi="Arial" w:cs="Arial"/>
        </w:rPr>
        <w:t>Amendments.</w:t>
      </w:r>
      <w:bookmarkStart w:name="_Toc158593295" w:id="914"/>
      <w:bookmarkStart w:name="_Toc158597574" w:id="915"/>
      <w:bookmarkStart w:name="_Toc158720198" w:id="916"/>
      <w:bookmarkStart w:name="_Toc158722952" w:id="917"/>
      <w:bookmarkStart w:name="_Toc158929484" w:id="918"/>
      <w:bookmarkEnd w:id="912"/>
      <w:bookmarkEnd w:id="913"/>
      <w:bookmarkEnd w:id="914"/>
      <w:bookmarkEnd w:id="915"/>
      <w:bookmarkEnd w:id="916"/>
      <w:bookmarkEnd w:id="917"/>
      <w:bookmarkEnd w:id="918"/>
    </w:p>
    <w:p w:rsidRPr="00F875E0" w:rsidR="002D54C4" w:rsidRDefault="002D54C4" w14:paraId="407F6C6E" w14:textId="77777777">
      <w:pPr>
        <w:pStyle w:val="zGNormal"/>
      </w:pPr>
      <w:r w:rsidRPr="00F875E0">
        <w:t xml:space="preserve"> This PPA may be amended only by a written document duly executed by authorized representatives of GPC</w:t>
      </w:r>
      <w:r w:rsidRPr="00F875E0" w:rsidDel="00E45AF8">
        <w:t xml:space="preserve"> </w:t>
      </w:r>
      <w:r w:rsidRPr="00F875E0">
        <w:t>and Seller, each of GPC and Seller having received all approvals of Governmental Authorities necessary for the effectiveness of the Amendment.</w:t>
      </w:r>
    </w:p>
    <w:p w:rsidRPr="00F875E0" w:rsidR="002D54C4" w:rsidRDefault="002D54C4" w14:paraId="736F801D" w14:textId="77777777">
      <w:pPr>
        <w:pStyle w:val="zGTC02"/>
        <w:rPr>
          <w:rFonts w:ascii="Arial" w:hAnsi="Arial" w:cs="Arial"/>
          <w:b w:val="0"/>
          <w:bCs/>
          <w:iCs/>
          <w:vanish/>
          <w:specVanish/>
        </w:rPr>
      </w:pPr>
      <w:bookmarkStart w:name="_Toc169778694" w:id="919"/>
      <w:bookmarkStart w:name="_Toc227451458" w:id="920"/>
      <w:r w:rsidRPr="00F875E0">
        <w:rPr>
          <w:rFonts w:ascii="Arial" w:hAnsi="Arial" w:cs="Arial"/>
        </w:rPr>
        <w:t>Binding Effect</w:t>
      </w:r>
      <w:r w:rsidRPr="00F875E0">
        <w:rPr>
          <w:rFonts w:ascii="Arial" w:hAnsi="Arial" w:cs="Arial"/>
          <w:i/>
          <w:iCs/>
        </w:rPr>
        <w:t>.</w:t>
      </w:r>
      <w:bookmarkStart w:name="_Toc158593296" w:id="921"/>
      <w:bookmarkStart w:name="_Toc158597575" w:id="922"/>
      <w:bookmarkStart w:name="_Toc158720199" w:id="923"/>
      <w:bookmarkStart w:name="_Toc158722953" w:id="924"/>
      <w:bookmarkStart w:name="_Toc158929485" w:id="925"/>
      <w:bookmarkEnd w:id="919"/>
      <w:bookmarkEnd w:id="920"/>
      <w:bookmarkEnd w:id="921"/>
      <w:bookmarkEnd w:id="922"/>
      <w:bookmarkEnd w:id="923"/>
      <w:bookmarkEnd w:id="924"/>
      <w:bookmarkEnd w:id="925"/>
    </w:p>
    <w:p w:rsidRPr="00F875E0" w:rsidR="002D54C4" w:rsidRDefault="002D54C4" w14:paraId="1792D5AB" w14:textId="77777777">
      <w:pPr>
        <w:pStyle w:val="zGNormal"/>
      </w:pPr>
      <w:r w:rsidRPr="00F875E0">
        <w:t xml:space="preserve"> This PPA and any extension will</w:t>
      </w:r>
      <w:r w:rsidRPr="00F875E0" w:rsidDel="00283F17">
        <w:t xml:space="preserve"> </w:t>
      </w:r>
      <w:r w:rsidRPr="00F875E0">
        <w:t>inure to the benefit of and will</w:t>
      </w:r>
      <w:r w:rsidRPr="00F875E0" w:rsidDel="00283F17">
        <w:t xml:space="preserve"> </w:t>
      </w:r>
      <w:r w:rsidRPr="00F875E0">
        <w:t>be binding upon the Parties and their respective permitted successors and permitted assigns.</w:t>
      </w:r>
    </w:p>
    <w:p w:rsidRPr="00F875E0" w:rsidR="002D54C4" w:rsidRDefault="002D54C4" w14:paraId="771BC1C8" w14:textId="1C025187">
      <w:pPr>
        <w:pStyle w:val="zGTC02"/>
        <w:rPr>
          <w:rFonts w:ascii="Arial" w:hAnsi="Arial" w:cs="Arial"/>
          <w:vanish/>
          <w:specVanish/>
        </w:rPr>
      </w:pPr>
      <w:bookmarkStart w:name="_Toc169778695" w:id="926"/>
      <w:bookmarkStart w:name="_Toc227451459" w:id="927"/>
      <w:r w:rsidRPr="00F875E0">
        <w:rPr>
          <w:rFonts w:ascii="Arial" w:hAnsi="Arial" w:cs="Arial"/>
        </w:rPr>
        <w:t>Counterparts.</w:t>
      </w:r>
      <w:bookmarkStart w:name="_Toc158593297" w:id="928"/>
      <w:bookmarkStart w:name="_Toc158597576" w:id="929"/>
      <w:bookmarkStart w:name="_Toc158720200" w:id="930"/>
      <w:bookmarkStart w:name="_Toc158722954" w:id="931"/>
      <w:bookmarkStart w:name="_Toc158929486" w:id="932"/>
      <w:bookmarkEnd w:id="926"/>
      <w:bookmarkEnd w:id="927"/>
      <w:bookmarkEnd w:id="928"/>
      <w:bookmarkEnd w:id="929"/>
      <w:bookmarkEnd w:id="930"/>
      <w:bookmarkEnd w:id="931"/>
      <w:bookmarkEnd w:id="932"/>
    </w:p>
    <w:p w:rsidRPr="00F875E0" w:rsidR="002D54C4" w:rsidRDefault="002D54C4" w14:paraId="7EE60C7D" w14:textId="3238EDC9">
      <w:pPr>
        <w:pStyle w:val="zGNormal"/>
      </w:pPr>
      <w:r w:rsidRPr="00F875E0">
        <w:t xml:space="preserve"> </w:t>
      </w:r>
      <w:r w:rsidRPr="00F875E0" w:rsidR="0038229E">
        <w:t xml:space="preserve">This PPA may be executed in two or more counterparts </w:t>
      </w:r>
      <w:r w:rsidRPr="00F875E0" w:rsidR="0038229E">
        <w:rPr>
          <w:rFonts w:eastAsia="Times New Roman"/>
        </w:rPr>
        <w:t>and by electronic transmission of signatures in portable document format (PDF) or another electronic format</w:t>
      </w:r>
      <w:r w:rsidRPr="00F875E0" w:rsidR="0038229E">
        <w:t>, each of which will be deemed an original but all of which together will constitute one and the same agreement.</w:t>
      </w:r>
    </w:p>
    <w:p w:rsidRPr="00F875E0" w:rsidR="002D54C4" w:rsidRDefault="002D54C4" w14:paraId="5A7A1AE8" w14:textId="0651E044">
      <w:pPr>
        <w:pStyle w:val="zGTC02"/>
        <w:rPr>
          <w:rFonts w:ascii="Arial" w:hAnsi="Arial" w:cs="Arial"/>
          <w:vanish/>
          <w:specVanish/>
        </w:rPr>
      </w:pPr>
      <w:bookmarkStart w:name="_Toc169778696" w:id="933"/>
      <w:bookmarkStart w:name="_Toc227451460" w:id="934"/>
      <w:r w:rsidRPr="00F875E0">
        <w:rPr>
          <w:rFonts w:ascii="Arial" w:hAnsi="Arial" w:cs="Arial"/>
        </w:rPr>
        <w:t>Notice.</w:t>
      </w:r>
      <w:bookmarkStart w:name="_Toc158593298" w:id="935"/>
      <w:bookmarkStart w:name="_Toc158597577" w:id="936"/>
      <w:bookmarkStart w:name="_Toc158720201" w:id="937"/>
      <w:bookmarkStart w:name="_Toc158722955" w:id="938"/>
      <w:bookmarkStart w:name="_Toc158929487" w:id="939"/>
      <w:bookmarkEnd w:id="933"/>
      <w:bookmarkEnd w:id="934"/>
      <w:bookmarkEnd w:id="935"/>
      <w:bookmarkEnd w:id="936"/>
      <w:bookmarkEnd w:id="937"/>
      <w:bookmarkEnd w:id="938"/>
      <w:bookmarkEnd w:id="939"/>
    </w:p>
    <w:p w:rsidRPr="00F875E0" w:rsidR="002D54C4" w:rsidRDefault="002D54C4" w14:paraId="19672E18" w14:textId="55AA26C6">
      <w:pPr>
        <w:pStyle w:val="zGNormal"/>
      </w:pPr>
      <w:r w:rsidRPr="00F875E0">
        <w:t xml:space="preserve"> </w:t>
      </w:r>
      <w:r w:rsidR="0030327D">
        <w:t xml:space="preserve">Except as otherwise provided in this PPA, </w:t>
      </w:r>
      <w:r w:rsidR="0030327D">
        <w:rPr>
          <w:rFonts w:eastAsia="PMingLiU"/>
        </w:rPr>
        <w:t>a</w:t>
      </w:r>
      <w:r w:rsidRPr="00F875E0">
        <w:rPr>
          <w:rFonts w:eastAsia="PMingLiU"/>
        </w:rPr>
        <w:t>ll notices, requests, consents, claims, demands, waivers</w:t>
      </w:r>
      <w:r w:rsidRPr="00F875E0" w:rsidR="00AC2F18">
        <w:rPr>
          <w:rFonts w:eastAsia="PMingLiU"/>
        </w:rPr>
        <w:t>,</w:t>
      </w:r>
      <w:r w:rsidRPr="00F875E0">
        <w:rPr>
          <w:rFonts w:eastAsia="PMingLiU"/>
        </w:rPr>
        <w:t xml:space="preserve"> and other communications under this PPA must be in writing</w:t>
      </w:r>
      <w:r w:rsidR="0030327D">
        <w:rPr>
          <w:rFonts w:eastAsia="PMingLiU"/>
        </w:rPr>
        <w:t xml:space="preserve"> (email being sufficient if</w:t>
      </w:r>
      <w:r w:rsidRPr="00F875E0">
        <w:rPr>
          <w:rFonts w:eastAsia="PMingLiU"/>
        </w:rPr>
        <w:t xml:space="preserve"> </w:t>
      </w:r>
      <w:r w:rsidRPr="00F875E0">
        <w:rPr>
          <w:rFonts w:eastAsia="Times New Roman"/>
        </w:rPr>
        <w:t xml:space="preserve">Exhibit </w:t>
      </w:r>
      <w:r w:rsidRPr="00F875E0" w:rsidR="00F51ABE">
        <w:rPr>
          <w:rFonts w:eastAsia="Times New Roman"/>
        </w:rPr>
        <w:t>Q</w:t>
      </w:r>
      <w:r w:rsidRPr="00F875E0">
        <w:rPr>
          <w:rFonts w:eastAsia="Times New Roman"/>
        </w:rPr>
        <w:t xml:space="preserve"> (</w:t>
      </w:r>
      <w:r w:rsidRPr="00F875E0">
        <w:rPr>
          <w:rFonts w:eastAsia="Times New Roman"/>
          <w:i/>
        </w:rPr>
        <w:t>Notices</w:t>
      </w:r>
      <w:r w:rsidRPr="00F875E0">
        <w:rPr>
          <w:rFonts w:eastAsia="Times New Roman"/>
        </w:rPr>
        <w:t>)</w:t>
      </w:r>
      <w:r w:rsidR="0030327D">
        <w:rPr>
          <w:rFonts w:eastAsia="Times New Roman"/>
        </w:rPr>
        <w:t xml:space="preserve"> includes an email address for the recei</w:t>
      </w:r>
      <w:r w:rsidR="00C97958">
        <w:rPr>
          <w:rFonts w:eastAsia="Times New Roman"/>
        </w:rPr>
        <w:t>ving Party),</w:t>
      </w:r>
      <w:r w:rsidRPr="00F875E0">
        <w:rPr>
          <w:rFonts w:eastAsia="Times New Roman"/>
        </w:rPr>
        <w:t xml:space="preserve"> must include this PPA’s title</w:t>
      </w:r>
      <w:r w:rsidRPr="00F875E0">
        <w:t xml:space="preserve"> and </w:t>
      </w:r>
      <w:r w:rsidR="00DA6EA8">
        <w:t xml:space="preserve">the </w:t>
      </w:r>
      <w:r w:rsidRPr="00F875E0">
        <w:t>Facility name</w:t>
      </w:r>
      <w:r w:rsidR="00C97958">
        <w:t xml:space="preserve">, must be addressed to the receiving Party’s point-of-contact specified on Exhibit </w:t>
      </w:r>
      <w:r w:rsidR="006D3F2F">
        <w:t>Q</w:t>
      </w:r>
      <w:r w:rsidR="00C97958">
        <w:t>,</w:t>
      </w:r>
      <w:r w:rsidRPr="00F875E0">
        <w:t xml:space="preserve"> and </w:t>
      </w:r>
      <w:r w:rsidR="00C97958">
        <w:t>will be deemed to have been delivered when</w:t>
      </w:r>
      <w:r w:rsidRPr="00F875E0" w:rsidR="00C97958">
        <w:t xml:space="preserve"> </w:t>
      </w:r>
      <w:r w:rsidR="00C97958">
        <w:t>sent</w:t>
      </w:r>
      <w:r w:rsidRPr="00F875E0">
        <w:t xml:space="preserve"> by: (i) personal delivery (effective the date of delivery); (ii) if </w:t>
      </w:r>
      <w:r w:rsidR="00AF48EA">
        <w:t>Exhibit Q includes an</w:t>
      </w:r>
      <w:r w:rsidRPr="00F875E0">
        <w:t xml:space="preserve"> email address for </w:t>
      </w:r>
      <w:r w:rsidR="00AF48EA">
        <w:t>the receiving Party</w:t>
      </w:r>
      <w:r w:rsidRPr="00F875E0">
        <w:t>, email delivery (effective that date if sent by 5:00 p.m. (recipient’s time); otherwise, the next Business Day</w:t>
      </w:r>
      <w:r w:rsidR="00AF48EA">
        <w:t>)</w:t>
      </w:r>
      <w:r w:rsidRPr="00F875E0">
        <w:t>;</w:t>
      </w:r>
      <w:r w:rsidRPr="00F875E0" w:rsidDel="00115AA4">
        <w:t xml:space="preserve"> </w:t>
      </w:r>
      <w:r w:rsidRPr="00F875E0">
        <w:t xml:space="preserve"> (iii) </w:t>
      </w:r>
      <w:r w:rsidR="009C5AA3">
        <w:t>p</w:t>
      </w:r>
      <w:r w:rsidRPr="00F875E0">
        <w:rPr>
          <w:rFonts w:eastAsia="Times New Roman"/>
        </w:rPr>
        <w:t xml:space="preserve">repaid nationally- or internationally- recognized commercial overnight courier (receipt requested; effective the next Business Day); or (iv) </w:t>
      </w:r>
      <w:r w:rsidRPr="00F875E0">
        <w:t xml:space="preserve">registered or certified U.S. mail, with proper postage (effective after the fourth Business Day). </w:t>
      </w:r>
    </w:p>
    <w:p w:rsidRPr="00F875E0" w:rsidR="002D54C4" w:rsidRDefault="002D54C4" w14:paraId="687F5A71" w14:textId="22E61B48">
      <w:pPr>
        <w:pStyle w:val="zGTC02"/>
        <w:rPr>
          <w:rFonts w:ascii="Arial" w:hAnsi="Arial" w:cs="Arial"/>
          <w:vanish/>
          <w:specVanish/>
        </w:rPr>
      </w:pPr>
      <w:bookmarkStart w:name="_Toc169778697" w:id="940"/>
      <w:bookmarkStart w:name="_Toc227451461" w:id="941"/>
      <w:r w:rsidRPr="00F875E0">
        <w:rPr>
          <w:rFonts w:ascii="Arial" w:hAnsi="Arial" w:cs="Arial"/>
        </w:rPr>
        <w:t>Entire Agreement.</w:t>
      </w:r>
      <w:bookmarkStart w:name="_Toc158593299" w:id="942"/>
      <w:bookmarkStart w:name="_Toc158597578" w:id="943"/>
      <w:bookmarkStart w:name="_Toc158720202" w:id="944"/>
      <w:bookmarkStart w:name="_Toc158722956" w:id="945"/>
      <w:bookmarkStart w:name="_Toc158929488" w:id="946"/>
      <w:bookmarkEnd w:id="940"/>
      <w:bookmarkEnd w:id="941"/>
      <w:bookmarkEnd w:id="942"/>
      <w:bookmarkEnd w:id="943"/>
      <w:bookmarkEnd w:id="944"/>
      <w:bookmarkEnd w:id="945"/>
      <w:bookmarkEnd w:id="946"/>
    </w:p>
    <w:p w:rsidRPr="00C22425" w:rsidR="002D54C4" w:rsidRDefault="002D54C4" w14:paraId="78BD7D0F" w14:textId="0936340D">
      <w:pPr>
        <w:pStyle w:val="zGNormal"/>
      </w:pPr>
      <w:r w:rsidRPr="00F875E0">
        <w:t xml:space="preserve"> This PPA</w:t>
      </w:r>
      <w:r w:rsidRPr="00F875E0" w:rsidDel="00363F00">
        <w:t xml:space="preserve"> </w:t>
      </w:r>
      <w:r w:rsidRPr="00F875E0">
        <w:t xml:space="preserve">constitutes the entire understanding between the Parties and </w:t>
      </w:r>
      <w:r w:rsidRPr="00F875E0" w:rsidR="0038187B">
        <w:t xml:space="preserve">replaces </w:t>
      </w:r>
      <w:r w:rsidRPr="00F875E0">
        <w:t xml:space="preserve">any </w:t>
      </w:r>
      <w:r w:rsidRPr="00F875E0" w:rsidR="0038187B">
        <w:t>previous or contemporaneous oral or written discussion, representation, promise, arrangement, understanding, or agreement</w:t>
      </w:r>
      <w:r w:rsidRPr="00F875E0" w:rsidDel="0038187B" w:rsidR="0038187B">
        <w:t xml:space="preserve"> </w:t>
      </w:r>
      <w:r w:rsidRPr="00F875E0" w:rsidR="00065B28">
        <w:t xml:space="preserve">between the Parties </w:t>
      </w:r>
      <w:r w:rsidRPr="00F875E0">
        <w:t>related to the subject matter of this PPA. The Parties have entered this PPA in reliance upon the representations and m</w:t>
      </w:r>
      <w:r w:rsidRPr="002D2A8F">
        <w:t xml:space="preserve">utual </w:t>
      </w:r>
      <w:r w:rsidRPr="00C22425">
        <w:t>undertakings contained in this PPA and not in reliance upon any oral or written representations or information provided by one Party to the other Party not contained or incorporated in this PPA.</w:t>
      </w:r>
    </w:p>
    <w:p w:rsidRPr="00C22425" w:rsidR="002D54C4" w:rsidRDefault="002D54C4" w14:paraId="1873AAC1" w14:textId="77777777">
      <w:pPr>
        <w:pStyle w:val="zGTC02"/>
        <w:rPr>
          <w:rFonts w:ascii="Arial" w:hAnsi="Arial" w:cs="Arial"/>
          <w:vanish/>
          <w:specVanish/>
        </w:rPr>
      </w:pPr>
      <w:bookmarkStart w:name="_Toc169778698" w:id="947"/>
      <w:bookmarkStart w:name="_Toc227451462" w:id="948"/>
      <w:r w:rsidRPr="00C22425">
        <w:rPr>
          <w:rFonts w:ascii="Arial" w:hAnsi="Arial" w:cs="Arial"/>
        </w:rPr>
        <w:lastRenderedPageBreak/>
        <w:t>Governing Law.</w:t>
      </w:r>
      <w:bookmarkStart w:name="_Toc158593300" w:id="949"/>
      <w:bookmarkStart w:name="_Toc158597579" w:id="950"/>
      <w:bookmarkStart w:name="_Toc158720203" w:id="951"/>
      <w:bookmarkStart w:name="_Toc158722957" w:id="952"/>
      <w:bookmarkStart w:name="_Toc158929489" w:id="953"/>
      <w:bookmarkEnd w:id="947"/>
      <w:bookmarkEnd w:id="948"/>
      <w:bookmarkEnd w:id="949"/>
      <w:bookmarkEnd w:id="950"/>
      <w:bookmarkEnd w:id="951"/>
      <w:bookmarkEnd w:id="952"/>
      <w:bookmarkEnd w:id="953"/>
    </w:p>
    <w:p w:rsidRPr="00C22425" w:rsidR="002D54C4" w:rsidRDefault="002D54C4" w14:paraId="286A5CCC" w14:textId="06C67E4C">
      <w:pPr>
        <w:pStyle w:val="zGNormal"/>
      </w:pPr>
      <w:r w:rsidRPr="00C22425">
        <w:t xml:space="preserve"> The validity, interpretation, and performance of this PPA will be governed by the laws of the state of Georgia, without giving effect to any conflict of law principles that would require the application of the laws of another jurisdiction</w:t>
      </w:r>
      <w:r w:rsidR="00741A4F">
        <w:t xml:space="preserve">, except that the Federal Arbitration Act, 9 U.S.C. </w:t>
      </w:r>
      <w:r w:rsidRPr="00F67040" w:rsidR="00741A4F">
        <w:t>§§</w:t>
      </w:r>
      <w:r w:rsidR="00741A4F">
        <w:t xml:space="preserve"> 1 et seq. will govern the Parties’ agreement to arbitrate certain disputes as described in Part 19 (</w:t>
      </w:r>
      <w:r w:rsidR="00741A4F">
        <w:rPr>
          <w:i/>
        </w:rPr>
        <w:t>Dispute Resolution</w:t>
      </w:r>
      <w:r w:rsidR="00741A4F">
        <w:t>)</w:t>
      </w:r>
      <w:r w:rsidRPr="00C22425">
        <w:t xml:space="preserve">. Subject to Part 19 regarding arbitration, each Party agrees that the state and federal courts, as applicable, of the state of Georgia will have exclusive jurisdiction for resolution of disputes under this PPA and each Party </w:t>
      </w:r>
      <w:r w:rsidRPr="00C22425" w:rsidR="00C21437">
        <w:t xml:space="preserve">irrevocably </w:t>
      </w:r>
      <w:r w:rsidRPr="00C22425" w:rsidR="00BF66D4">
        <w:t xml:space="preserve">consents </w:t>
      </w:r>
      <w:r w:rsidRPr="00C22425">
        <w:t>to the jurisdiction</w:t>
      </w:r>
      <w:r w:rsidRPr="00C22425" w:rsidR="00C21437">
        <w:t xml:space="preserve"> of</w:t>
      </w:r>
      <w:r w:rsidRPr="00C22425" w:rsidR="001A080B">
        <w:t xml:space="preserve"> and venue in</w:t>
      </w:r>
      <w:r w:rsidRPr="00C22425" w:rsidR="00C21437">
        <w:t xml:space="preserve"> those courts.</w:t>
      </w:r>
    </w:p>
    <w:p w:rsidRPr="00C22425" w:rsidR="00C63A88" w:rsidP="00C63A88" w:rsidRDefault="00C63A88" w14:paraId="00362A84" w14:textId="77777777">
      <w:pPr>
        <w:pStyle w:val="zGTC02"/>
        <w:widowControl w:val="0"/>
        <w:tabs>
          <w:tab w:val="num" w:pos="720"/>
        </w:tabs>
        <w:spacing w:after="120"/>
        <w:rPr>
          <w:vanish/>
          <w:specVanish/>
        </w:rPr>
      </w:pPr>
      <w:bookmarkStart w:name="_Toc137409374" w:id="954"/>
      <w:bookmarkStart w:name="_Toc153987158" w:id="955"/>
      <w:bookmarkStart w:name="_Toc169778699" w:id="956"/>
      <w:bookmarkStart w:name="_Toc227451463" w:id="957"/>
      <w:bookmarkStart w:name="_Toc379477350" w:id="958"/>
      <w:r w:rsidRPr="00C22425">
        <w:t>Liability.</w:t>
      </w:r>
      <w:bookmarkEnd w:id="954"/>
      <w:bookmarkEnd w:id="955"/>
      <w:bookmarkEnd w:id="956"/>
      <w:bookmarkEnd w:id="957"/>
    </w:p>
    <w:p w:rsidRPr="00C22425" w:rsidR="00C63A88" w:rsidP="00C63A88" w:rsidRDefault="00C63A88" w14:paraId="3909BB8E" w14:textId="77777777">
      <w:pPr>
        <w:pStyle w:val="zGNormal"/>
        <w:widowControl w:val="0"/>
      </w:pPr>
      <w:r w:rsidRPr="00C22425">
        <w:t xml:space="preserve"> Neither Party will be responsible for the other Party’s performance, non-performance, or delay in performance under this PPA.</w:t>
      </w:r>
      <w:bookmarkEnd w:id="958"/>
    </w:p>
    <w:p w:rsidRPr="00C22425" w:rsidR="0032738F" w:rsidP="0032738F" w:rsidRDefault="0032738F" w14:paraId="461434AE" w14:textId="77777777">
      <w:pPr>
        <w:pStyle w:val="zGTC02"/>
        <w:widowControl w:val="0"/>
        <w:tabs>
          <w:tab w:val="num" w:pos="720"/>
        </w:tabs>
        <w:spacing w:after="120"/>
        <w:rPr>
          <w:vanish/>
          <w:specVanish/>
        </w:rPr>
      </w:pPr>
      <w:bookmarkStart w:name="_Toc137409375" w:id="959"/>
      <w:bookmarkStart w:name="_Toc153987159" w:id="960"/>
      <w:bookmarkStart w:name="_Toc169778700" w:id="961"/>
      <w:bookmarkStart w:name="_Toc227451464" w:id="962"/>
      <w:bookmarkStart w:name="_Toc379477351" w:id="963"/>
      <w:r w:rsidRPr="00C22425">
        <w:t>GPC’s Agent.</w:t>
      </w:r>
      <w:bookmarkEnd w:id="959"/>
      <w:bookmarkEnd w:id="960"/>
      <w:bookmarkEnd w:id="961"/>
      <w:bookmarkEnd w:id="962"/>
    </w:p>
    <w:p w:rsidRPr="00C22425" w:rsidR="0032738F" w:rsidP="0032738F" w:rsidRDefault="0032738F" w14:paraId="6E2C2612" w14:textId="7DCCF27A">
      <w:pPr>
        <w:pStyle w:val="zGNormal"/>
        <w:widowControl w:val="0"/>
      </w:pPr>
      <w:r w:rsidRPr="00C22425">
        <w:t xml:space="preserve"> Wherever this PPA requires Seller to provide information, schedules, notice or the like to, or to take direction from, GPC, Seller will provide information, schedules, notice, or the like to, or receive from, GPC or such agent of GPC as GPC may direct from time to time pursuant to a notice given to Seller.</w:t>
      </w:r>
      <w:bookmarkEnd w:id="963"/>
    </w:p>
    <w:p w:rsidRPr="00C22425" w:rsidR="00C31A80" w:rsidP="00C31A80" w:rsidRDefault="00C31A80" w14:paraId="34F11642" w14:textId="77777777">
      <w:pPr>
        <w:pStyle w:val="zGTC02"/>
        <w:widowControl w:val="0"/>
        <w:tabs>
          <w:tab w:val="num" w:pos="720"/>
        </w:tabs>
        <w:spacing w:after="120"/>
        <w:rPr>
          <w:vanish/>
          <w:specVanish/>
        </w:rPr>
      </w:pPr>
      <w:bookmarkStart w:name="_Toc137409364" w:id="964"/>
      <w:bookmarkStart w:name="_Toc140068897" w:id="965"/>
      <w:bookmarkStart w:name="_Toc153987147" w:id="966"/>
      <w:bookmarkStart w:name="_Toc169778701" w:id="967"/>
      <w:bookmarkStart w:name="_Toc227451465" w:id="968"/>
      <w:bookmarkStart w:name="_Toc379477339" w:id="969"/>
      <w:r w:rsidRPr="00C22425">
        <w:t>No GPC Affiliate Liability.</w:t>
      </w:r>
      <w:bookmarkEnd w:id="964"/>
      <w:bookmarkEnd w:id="965"/>
      <w:bookmarkEnd w:id="966"/>
      <w:bookmarkEnd w:id="967"/>
      <w:bookmarkEnd w:id="968"/>
    </w:p>
    <w:p w:rsidRPr="00C22425" w:rsidR="00C31A80" w:rsidP="00C31A80" w:rsidRDefault="00C31A80" w14:paraId="1FEFB3F3" w14:textId="7634E837">
      <w:pPr>
        <w:pStyle w:val="zGNormal"/>
        <w:widowControl w:val="0"/>
      </w:pPr>
      <w:r w:rsidRPr="00C22425">
        <w:t xml:space="preserve"> Notwithstanding any other provision of this PPA, no Affiliate of GPC (including any Affiliate of GPC acting as GPC’s agent where GPC’s agent is given certain authorities) will have any liability whatsoever for any performance, nonperformance, or delay in performance under this PPA, except in the event of an assignment of this PPA to an Affiliate of GPC pursuant to Section 18.1.</w:t>
      </w:r>
      <w:r w:rsidR="00A573D5">
        <w:t>3</w:t>
      </w:r>
      <w:r w:rsidRPr="00C22425">
        <w:t xml:space="preserve"> (</w:t>
      </w:r>
      <w:r w:rsidRPr="00C22425" w:rsidR="00093289">
        <w:rPr>
          <w:i/>
          <w:iCs/>
        </w:rPr>
        <w:t>Assignment</w:t>
      </w:r>
      <w:r w:rsidR="00A573D5">
        <w:rPr>
          <w:i/>
          <w:iCs/>
        </w:rPr>
        <w:t xml:space="preserve"> by GPC</w:t>
      </w:r>
      <w:r w:rsidRPr="00C22425">
        <w:t xml:space="preserve">), in which case, such assignee will be liable for GPCs obligations arising under this PPA from and after the date of assignment. </w:t>
      </w:r>
      <w:bookmarkEnd w:id="969"/>
    </w:p>
    <w:p w:rsidRPr="00C22425" w:rsidR="002D54C4" w:rsidRDefault="002D54C4" w14:paraId="6CE00E92" w14:textId="638D3D45">
      <w:pPr>
        <w:pStyle w:val="zGTC02"/>
        <w:rPr>
          <w:rFonts w:ascii="Arial" w:hAnsi="Arial" w:cs="Arial"/>
          <w:vanish/>
          <w:specVanish/>
        </w:rPr>
      </w:pPr>
      <w:bookmarkStart w:name="_Toc169778702" w:id="970"/>
      <w:bookmarkStart w:name="_Toc227451466" w:id="971"/>
      <w:r w:rsidRPr="00C22425">
        <w:rPr>
          <w:rFonts w:ascii="Arial" w:hAnsi="Arial" w:cs="Arial"/>
        </w:rPr>
        <w:t>Time of Essence; No Waiver.</w:t>
      </w:r>
      <w:bookmarkStart w:name="_Toc158593302" w:id="972"/>
      <w:bookmarkStart w:name="_Toc158597581" w:id="973"/>
      <w:bookmarkStart w:name="_Toc158720205" w:id="974"/>
      <w:bookmarkStart w:name="_Toc158722959" w:id="975"/>
      <w:bookmarkStart w:name="_Toc158929491" w:id="976"/>
      <w:bookmarkEnd w:id="970"/>
      <w:bookmarkEnd w:id="971"/>
      <w:bookmarkEnd w:id="972"/>
      <w:bookmarkEnd w:id="973"/>
      <w:bookmarkEnd w:id="974"/>
      <w:bookmarkEnd w:id="975"/>
      <w:bookmarkEnd w:id="976"/>
    </w:p>
    <w:p w:rsidRPr="00C22425" w:rsidR="002D54C4" w:rsidRDefault="002D54C4" w14:paraId="6A9BE45B" w14:textId="5259A3FD">
      <w:pPr>
        <w:pStyle w:val="zGNormal6"/>
      </w:pPr>
      <w:r w:rsidRPr="00C22425">
        <w:t xml:space="preserve"> Time is of the essence </w:t>
      </w:r>
      <w:r w:rsidRPr="00C22425" w:rsidR="008D735D">
        <w:t>with respect to</w:t>
      </w:r>
      <w:r w:rsidRPr="00C22425">
        <w:t xml:space="preserve"> performance under this PPA. A Party’s failure to enforce a PPA provision, or to require at any time performance by the other Party of any of the provisions</w:t>
      </w:r>
      <w:r w:rsidRPr="00C22425" w:rsidDel="00463252">
        <w:t xml:space="preserve"> </w:t>
      </w:r>
      <w:r w:rsidRPr="00C22425">
        <w:t>under this PPA, does not constitute a waiver of that, or any other PPA provision or any right or remedy in the future. Acquiescence to or acceptance of late performance, with or without reservation does not waive a future right to require timely performance. No modification or waiver of all or any part of this PPA will</w:t>
      </w:r>
      <w:r w:rsidRPr="00C22425" w:rsidDel="00283F17">
        <w:t xml:space="preserve"> </w:t>
      </w:r>
      <w:r w:rsidRPr="00C22425">
        <w:t>be valid unless it is reduced to a writing, signed by both Parties, that expressly states that the Parties agree to a waiver or modification, as applicable.</w:t>
      </w:r>
    </w:p>
    <w:p w:rsidRPr="00C22425" w:rsidR="002D54C4" w:rsidRDefault="002D54C4" w14:paraId="799477DB" w14:textId="77777777">
      <w:pPr>
        <w:pStyle w:val="zGTC02"/>
        <w:rPr>
          <w:rFonts w:ascii="Arial" w:hAnsi="Arial" w:cs="Arial"/>
          <w:vanish/>
          <w:specVanish/>
        </w:rPr>
      </w:pPr>
      <w:bookmarkStart w:name="_Toc169778703" w:id="977"/>
      <w:bookmarkStart w:name="_Toc227451467" w:id="978"/>
      <w:r w:rsidRPr="00C22425">
        <w:rPr>
          <w:rFonts w:ascii="Arial" w:hAnsi="Arial" w:cs="Arial"/>
        </w:rPr>
        <w:t>Headings.</w:t>
      </w:r>
      <w:bookmarkStart w:name="_Toc158593303" w:id="979"/>
      <w:bookmarkStart w:name="_Toc158597582" w:id="980"/>
      <w:bookmarkStart w:name="_Toc158720206" w:id="981"/>
      <w:bookmarkStart w:name="_Toc158722960" w:id="982"/>
      <w:bookmarkStart w:name="_Toc158929492" w:id="983"/>
      <w:bookmarkEnd w:id="977"/>
      <w:bookmarkEnd w:id="978"/>
      <w:bookmarkEnd w:id="979"/>
      <w:bookmarkEnd w:id="980"/>
      <w:bookmarkEnd w:id="981"/>
      <w:bookmarkEnd w:id="982"/>
      <w:bookmarkEnd w:id="983"/>
    </w:p>
    <w:p w:rsidRPr="00C22425" w:rsidR="002D54C4" w:rsidRDefault="002D54C4" w14:paraId="4FC715FA" w14:textId="15AA0CA0">
      <w:pPr>
        <w:pStyle w:val="zGNormal"/>
      </w:pPr>
      <w:r w:rsidRPr="00C22425">
        <w:t xml:space="preserve"> The headings contained in this PPA are used solely for convenience and do not constitute a part of this PPA between the Parties, nor should they be used to aid in any manner in the construction of this PPA.</w:t>
      </w:r>
    </w:p>
    <w:p w:rsidRPr="00C22425" w:rsidR="002D54C4" w:rsidRDefault="002D54C4" w14:paraId="23A2F6C2" w14:textId="77777777">
      <w:pPr>
        <w:pStyle w:val="zGTC02"/>
        <w:rPr>
          <w:rFonts w:ascii="Arial" w:hAnsi="Arial" w:cs="Arial"/>
          <w:vanish/>
          <w:specVanish/>
        </w:rPr>
      </w:pPr>
      <w:bookmarkStart w:name="_Toc169778704" w:id="984"/>
      <w:bookmarkStart w:name="_Toc227451468" w:id="985"/>
      <w:r w:rsidRPr="00C22425">
        <w:rPr>
          <w:rFonts w:ascii="Arial" w:hAnsi="Arial" w:cs="Arial"/>
        </w:rPr>
        <w:t>Third Parties.</w:t>
      </w:r>
      <w:bookmarkStart w:name="_Toc158593304" w:id="986"/>
      <w:bookmarkStart w:name="_Toc158597583" w:id="987"/>
      <w:bookmarkStart w:name="_Toc158720207" w:id="988"/>
      <w:bookmarkStart w:name="_Toc158722961" w:id="989"/>
      <w:bookmarkStart w:name="_Toc158929493" w:id="990"/>
      <w:bookmarkEnd w:id="984"/>
      <w:bookmarkEnd w:id="985"/>
      <w:bookmarkEnd w:id="986"/>
      <w:bookmarkEnd w:id="987"/>
      <w:bookmarkEnd w:id="988"/>
      <w:bookmarkEnd w:id="989"/>
      <w:bookmarkEnd w:id="990"/>
    </w:p>
    <w:p w:rsidRPr="00C22425" w:rsidR="002D54C4" w:rsidRDefault="002D54C4" w14:paraId="3DE12946" w14:textId="20BBF217">
      <w:pPr>
        <w:pStyle w:val="zGNormal"/>
      </w:pPr>
      <w:r w:rsidRPr="00C22425">
        <w:t xml:space="preserve"> </w:t>
      </w:r>
      <w:r w:rsidRPr="00C22425" w:rsidR="00A50628">
        <w:t>Except as provided in Section 14.3 (</w:t>
      </w:r>
      <w:r w:rsidRPr="00E73F2F" w:rsidR="00E73F2F">
        <w:rPr>
          <w:i/>
          <w:iCs/>
        </w:rPr>
        <w:t>Scope of</w:t>
      </w:r>
      <w:r w:rsidR="00E73F2F">
        <w:t xml:space="preserve"> </w:t>
      </w:r>
      <w:r w:rsidRPr="00C22425" w:rsidR="00A50628">
        <w:rPr>
          <w:i/>
          <w:iCs/>
        </w:rPr>
        <w:t>Indemnity</w:t>
      </w:r>
      <w:r w:rsidRPr="00C22425" w:rsidR="00A50628">
        <w:t>), nothing in this PPA will be construed to create any duty, obligation or liability of GPC or Seller to any Person not a party to this PPA.</w:t>
      </w:r>
    </w:p>
    <w:p w:rsidRPr="00C22425" w:rsidR="002D54C4" w:rsidRDefault="002D54C4" w14:paraId="01F93022" w14:textId="77777777">
      <w:pPr>
        <w:pStyle w:val="zGTC02"/>
        <w:rPr>
          <w:rFonts w:ascii="Arial" w:hAnsi="Arial" w:cs="Arial"/>
          <w:vanish/>
          <w:specVanish/>
        </w:rPr>
      </w:pPr>
      <w:bookmarkStart w:name="_Toc169778705" w:id="991"/>
      <w:bookmarkStart w:name="_Toc227451469" w:id="992"/>
      <w:r w:rsidRPr="00C22425">
        <w:rPr>
          <w:rFonts w:ascii="Arial" w:hAnsi="Arial" w:cs="Arial"/>
        </w:rPr>
        <w:t>Agency.</w:t>
      </w:r>
      <w:bookmarkStart w:name="_Toc158593305" w:id="993"/>
      <w:bookmarkStart w:name="_Toc158597584" w:id="994"/>
      <w:bookmarkStart w:name="_Toc158720208" w:id="995"/>
      <w:bookmarkStart w:name="_Toc158722962" w:id="996"/>
      <w:bookmarkStart w:name="_Toc158929494" w:id="997"/>
      <w:bookmarkEnd w:id="991"/>
      <w:bookmarkEnd w:id="992"/>
      <w:bookmarkEnd w:id="993"/>
      <w:bookmarkEnd w:id="994"/>
      <w:bookmarkEnd w:id="995"/>
      <w:bookmarkEnd w:id="996"/>
      <w:bookmarkEnd w:id="997"/>
    </w:p>
    <w:p w:rsidRPr="00C22425" w:rsidR="002D54C4" w:rsidRDefault="002D54C4" w14:paraId="4FB849B0" w14:textId="77777777">
      <w:pPr>
        <w:pStyle w:val="zGNormal"/>
      </w:pPr>
      <w:r w:rsidRPr="00C22425">
        <w:t xml:space="preserve"> This PPA will</w:t>
      </w:r>
      <w:r w:rsidRPr="00C22425" w:rsidDel="00283F17">
        <w:t xml:space="preserve"> </w:t>
      </w:r>
      <w:r w:rsidRPr="00C22425">
        <w:t>not be interpreted or construed to create an association, joint venture, or partnership between the Parties or to impose any partnership obligation or liability upon either Party. Neither Party will</w:t>
      </w:r>
      <w:r w:rsidRPr="00C22425" w:rsidDel="00283F17">
        <w:t xml:space="preserve"> </w:t>
      </w:r>
      <w:r w:rsidRPr="00C22425">
        <w:t>have any right, power, or authority to enter into any agreement or undertaking for, or act on behalf of, or to act as or be an agent or representative of, or to otherwise bind, the other Party.</w:t>
      </w:r>
    </w:p>
    <w:p w:rsidRPr="00C22425" w:rsidR="002D54C4" w:rsidRDefault="002D54C4" w14:paraId="6BEFCDC3" w14:textId="77777777">
      <w:pPr>
        <w:pStyle w:val="zGTC02"/>
        <w:rPr>
          <w:rFonts w:ascii="Arial" w:hAnsi="Arial" w:cs="Arial"/>
          <w:vanish/>
          <w:specVanish/>
        </w:rPr>
      </w:pPr>
      <w:bookmarkStart w:name="_Toc169778706" w:id="998"/>
      <w:bookmarkStart w:name="_Toc227451470" w:id="999"/>
      <w:r w:rsidRPr="00C22425">
        <w:rPr>
          <w:rFonts w:ascii="Arial" w:hAnsi="Arial" w:cs="Arial"/>
        </w:rPr>
        <w:t>Severability.</w:t>
      </w:r>
      <w:bookmarkStart w:name="_Toc158593306" w:id="1000"/>
      <w:bookmarkStart w:name="_Toc158597585" w:id="1001"/>
      <w:bookmarkStart w:name="_Toc158720209" w:id="1002"/>
      <w:bookmarkStart w:name="_Toc158722963" w:id="1003"/>
      <w:bookmarkStart w:name="_Toc158929495" w:id="1004"/>
      <w:bookmarkEnd w:id="998"/>
      <w:bookmarkEnd w:id="999"/>
      <w:bookmarkEnd w:id="1000"/>
      <w:bookmarkEnd w:id="1001"/>
      <w:bookmarkEnd w:id="1002"/>
      <w:bookmarkEnd w:id="1003"/>
      <w:bookmarkEnd w:id="1004"/>
    </w:p>
    <w:p w:rsidRPr="00C22425" w:rsidR="002D54C4" w:rsidRDefault="002D54C4" w14:paraId="69B5A71A" w14:textId="7D46BD78">
      <w:pPr>
        <w:pStyle w:val="zGNormal"/>
      </w:pPr>
      <w:r w:rsidRPr="00C22425">
        <w:t xml:space="preserve"> </w:t>
      </w:r>
      <w:r w:rsidRPr="00C22425" w:rsidR="009F2F74">
        <w:t>If any term or provision of this PPA or its application to any Person or circumstance is determined to any extent to be invalid or unenforceable, the remainder of this PPA, or the application of such term or provision to Persons or circumstances other than those as to which it is invalid or unenforceable, will not be affected by such determination, and each term and provision of this PPA will be valid and enforceable to the fullest extent permitted by law. The Parties agree to negotiate in good faith</w:t>
      </w:r>
      <w:r w:rsidRPr="00C22425" w:rsidR="009F2F74">
        <w:rPr>
          <w:color w:val="000000"/>
        </w:rPr>
        <w:t xml:space="preserve"> to modify this PPA to replace </w:t>
      </w:r>
      <w:r w:rsidRPr="00C22425" w:rsidR="009F2F74">
        <w:t xml:space="preserve">or modify such </w:t>
      </w:r>
      <w:r w:rsidRPr="00C22425" w:rsidR="009F2F74">
        <w:rPr>
          <w:color w:val="000000"/>
        </w:rPr>
        <w:t>term or provision so as to effect the original intent of the parties as closely as possible.</w:t>
      </w:r>
    </w:p>
    <w:p w:rsidRPr="00C22425" w:rsidR="002D54C4" w:rsidRDefault="002D54C4" w14:paraId="78D8749F" w14:textId="77777777">
      <w:pPr>
        <w:pStyle w:val="zGTC02"/>
        <w:rPr>
          <w:rFonts w:ascii="Arial" w:hAnsi="Arial" w:cs="Arial"/>
          <w:vanish/>
          <w:specVanish/>
        </w:rPr>
      </w:pPr>
      <w:bookmarkStart w:name="_Toc169778707" w:id="1005"/>
      <w:bookmarkStart w:name="_Toc227451471" w:id="1006"/>
      <w:r w:rsidRPr="00C22425">
        <w:rPr>
          <w:rFonts w:ascii="Arial" w:hAnsi="Arial" w:cs="Arial"/>
        </w:rPr>
        <w:t>Negotiated Agreement.</w:t>
      </w:r>
      <w:bookmarkStart w:name="_Toc158593307" w:id="1007"/>
      <w:bookmarkStart w:name="_Toc158597586" w:id="1008"/>
      <w:bookmarkStart w:name="_Toc158720210" w:id="1009"/>
      <w:bookmarkStart w:name="_Toc158722964" w:id="1010"/>
      <w:bookmarkStart w:name="_Toc158929496" w:id="1011"/>
      <w:bookmarkEnd w:id="1005"/>
      <w:bookmarkEnd w:id="1006"/>
      <w:bookmarkEnd w:id="1007"/>
      <w:bookmarkEnd w:id="1008"/>
      <w:bookmarkEnd w:id="1009"/>
      <w:bookmarkEnd w:id="1010"/>
      <w:bookmarkEnd w:id="1011"/>
    </w:p>
    <w:p w:rsidRPr="00C22425" w:rsidR="002D54C4" w:rsidRDefault="002D54C4" w14:paraId="22FEF259" w14:textId="77777777">
      <w:pPr>
        <w:pStyle w:val="zGNormal"/>
      </w:pPr>
      <w:r w:rsidRPr="00C22425">
        <w:t xml:space="preserve"> This PPA will</w:t>
      </w:r>
      <w:r w:rsidRPr="00C22425" w:rsidDel="00283F17">
        <w:t xml:space="preserve"> </w:t>
      </w:r>
      <w:r w:rsidRPr="00C22425">
        <w:t>be considered for all purposes as prepared through the joint efforts of the Parties and will</w:t>
      </w:r>
      <w:r w:rsidRPr="00C22425" w:rsidDel="00283F17">
        <w:t xml:space="preserve"> </w:t>
      </w:r>
      <w:r w:rsidRPr="00C22425">
        <w:t>not be construed against one Party or the other because of the preparation, substitution, or other event of negotiation, drafting or execution of this PPA.</w:t>
      </w:r>
    </w:p>
    <w:p w:rsidRPr="00C22425" w:rsidR="002D54C4" w:rsidRDefault="002D54C4" w14:paraId="29A3FA1A" w14:textId="5B8F3291">
      <w:pPr>
        <w:pStyle w:val="zGTC02"/>
        <w:rPr>
          <w:rFonts w:ascii="Arial" w:hAnsi="Arial" w:cs="Arial"/>
          <w:specVanish/>
        </w:rPr>
      </w:pPr>
      <w:bookmarkStart w:name="_Toc169778708" w:id="1012"/>
      <w:bookmarkStart w:name="_Toc227451472" w:id="1013"/>
      <w:r w:rsidRPr="00C22425">
        <w:rPr>
          <w:rFonts w:ascii="Arial" w:hAnsi="Arial" w:cs="Arial"/>
        </w:rPr>
        <w:t>Confidentiality.</w:t>
      </w:r>
      <w:bookmarkStart w:name="_Toc158593308" w:id="1014"/>
      <w:bookmarkStart w:name="_Toc158597587" w:id="1015"/>
      <w:bookmarkStart w:name="_Toc158720211" w:id="1016"/>
      <w:bookmarkStart w:name="_Toc158722965" w:id="1017"/>
      <w:bookmarkStart w:name="_Toc158929497" w:id="1018"/>
      <w:bookmarkEnd w:id="1012"/>
      <w:bookmarkEnd w:id="1013"/>
      <w:bookmarkEnd w:id="1014"/>
      <w:bookmarkEnd w:id="1015"/>
      <w:bookmarkEnd w:id="1016"/>
      <w:bookmarkEnd w:id="1017"/>
      <w:bookmarkEnd w:id="1018"/>
    </w:p>
    <w:p w:rsidRPr="00C22425" w:rsidR="002D54C4" w:rsidP="008759EF" w:rsidRDefault="002D54C4" w14:paraId="341A8C38" w14:textId="1FCE3DEF">
      <w:pPr>
        <w:pStyle w:val="zGTC03"/>
        <w:rPr>
          <w:rFonts w:cs="Arial"/>
          <w:b/>
          <w:vanish/>
          <w:specVanish/>
        </w:rPr>
      </w:pPr>
      <w:bookmarkStart w:name="_Toc158593309" w:id="1019"/>
      <w:bookmarkStart w:name="_Toc158597588" w:id="1020"/>
      <w:bookmarkStart w:name="_Toc158720212" w:id="1021"/>
      <w:bookmarkStart w:name="_Toc158722966" w:id="1022"/>
      <w:bookmarkStart w:name="_Toc158929498" w:id="1023"/>
      <w:bookmarkStart w:name="_Toc159141590" w:id="1024"/>
      <w:bookmarkEnd w:id="1019"/>
      <w:bookmarkEnd w:id="1020"/>
      <w:bookmarkEnd w:id="1021"/>
      <w:bookmarkEnd w:id="1022"/>
      <w:bookmarkEnd w:id="1023"/>
      <w:bookmarkEnd w:id="1024"/>
      <w:r w:rsidRPr="00C22425">
        <w:rPr>
          <w:rFonts w:cs="Arial"/>
          <w:b/>
        </w:rPr>
        <w:t>Confidentiality Obligations.</w:t>
      </w:r>
    </w:p>
    <w:p w:rsidRPr="00C22425" w:rsidR="002D54C4" w:rsidRDefault="002D54C4" w14:paraId="798207AC" w14:textId="7420340B">
      <w:pPr>
        <w:pStyle w:val="zGNormal"/>
      </w:pPr>
      <w:r w:rsidRPr="00C22425">
        <w:t xml:space="preserve"> Each</w:t>
      </w:r>
      <w:r w:rsidRPr="00C22425" w:rsidDel="00F005DB">
        <w:t xml:space="preserve"> </w:t>
      </w:r>
      <w:r w:rsidRPr="00C22425">
        <w:t>Party acknowledges that portions of this PPA contain Confidential Information and may require the Parties to disclose additional Confidential Information to one another.  Each Party agrees that</w:t>
      </w:r>
      <w:r w:rsidRPr="00C22425" w:rsidR="0075117C">
        <w:t xml:space="preserve"> it will not, without the written consent of the </w:t>
      </w:r>
      <w:r w:rsidRPr="00C22425" w:rsidR="0075117C">
        <w:lastRenderedPageBreak/>
        <w:t>other Party or as otherwise provided in this PPA, disclose a disclosing Party’s Confidential Information to any third party, except that receiving Party may disclose Confidential Information: (i) to its Affiliates, consultants, agents, advisors</w:t>
      </w:r>
      <w:r w:rsidR="002B41E8">
        <w:t xml:space="preserve">, </w:t>
      </w:r>
      <w:r w:rsidR="003E1226">
        <w:t xml:space="preserve">or actual and potential funding sources </w:t>
      </w:r>
      <w:r w:rsidRPr="00C22425" w:rsidR="0075117C">
        <w:t xml:space="preserve">who: (a) need to know </w:t>
      </w:r>
      <w:r w:rsidR="007A171D">
        <w:t>or have a contractual right to the</w:t>
      </w:r>
      <w:r w:rsidRPr="00C22425" w:rsidR="007A171D">
        <w:t xml:space="preserve"> </w:t>
      </w:r>
      <w:r w:rsidRPr="00C22425" w:rsidR="0075117C">
        <w:t xml:space="preserve">information </w:t>
      </w:r>
      <w:r w:rsidR="007A171D">
        <w:t>concerning</w:t>
      </w:r>
      <w:r w:rsidRPr="00C22425" w:rsidR="0075117C">
        <w:t xml:space="preserve"> the receiving Party’s performance of its obligations under this PPA; and (b) are subject to an obligation in writing or pursuant to a legally recognized fiduciary o</w:t>
      </w:r>
      <w:r w:rsidR="007F6C06">
        <w:t>r</w:t>
      </w:r>
      <w:r w:rsidRPr="00C22425" w:rsidR="0075117C">
        <w:t xml:space="preserve"> professional duty to maintain confidentiality of Confidential Information; (ii) to </w:t>
      </w:r>
      <w:r w:rsidR="00630A98">
        <w:t>its contractors, vendors, and purchasers who require access to the Confidential Information and are subject to legally binding confidentiality obligations that are at least as protective of the Confidential Information as those set forth in this PPA;</w:t>
      </w:r>
      <w:r w:rsidR="008860E1">
        <w:t xml:space="preserve"> </w:t>
      </w:r>
      <w:r w:rsidRPr="00C22425" w:rsidR="0075117C">
        <w:t>and (ii</w:t>
      </w:r>
      <w:r w:rsidR="008860E1">
        <w:t>i</w:t>
      </w:r>
      <w:r w:rsidRPr="00C22425" w:rsidR="0075117C">
        <w:t xml:space="preserve">) to the extent required by applicable law. Seller acknowledges and agrees that all price and payment information provided by GPC to Seller is Confidential Information. </w:t>
      </w:r>
    </w:p>
    <w:p w:rsidRPr="00C22425" w:rsidR="002D54C4" w:rsidP="008759EF" w:rsidRDefault="002D54C4" w14:paraId="0C6D4EB1" w14:textId="17BCC00F">
      <w:pPr>
        <w:pStyle w:val="zGTC03"/>
        <w:rPr>
          <w:rFonts w:cs="Arial"/>
          <w:b/>
          <w:vanish/>
          <w:specVanish/>
        </w:rPr>
      </w:pPr>
      <w:r w:rsidRPr="00C22425">
        <w:rPr>
          <w:rFonts w:cs="Arial"/>
          <w:b/>
        </w:rPr>
        <w:t xml:space="preserve">Disclosure of Confidential Information to </w:t>
      </w:r>
      <w:r w:rsidR="00F66CAE">
        <w:rPr>
          <w:rFonts w:cs="Arial"/>
          <w:b/>
        </w:rPr>
        <w:t>a Governmental Authority</w:t>
      </w:r>
      <w:r w:rsidRPr="00C22425">
        <w:rPr>
          <w:rFonts w:cs="Arial"/>
          <w:b/>
        </w:rPr>
        <w:t>.</w:t>
      </w:r>
    </w:p>
    <w:p w:rsidRPr="00C22425" w:rsidR="002D54C4" w:rsidRDefault="008C6A35" w14:paraId="5870A3DB" w14:textId="4676E687">
      <w:pPr>
        <w:pStyle w:val="zGNormal"/>
      </w:pPr>
      <w:r>
        <w:t xml:space="preserve"> </w:t>
      </w:r>
      <w:r w:rsidRPr="00C22425" w:rsidR="002D54C4">
        <w:t xml:space="preserve"> </w:t>
      </w:r>
      <w:r w:rsidR="00FE70F8">
        <w:t>Each Party agrees that if applicable law requires the disclosure of Confidential Information</w:t>
      </w:r>
      <w:r w:rsidR="00393ECF">
        <w:t xml:space="preserve"> to a Governmental Authority</w:t>
      </w:r>
      <w:r w:rsidR="00FE70F8">
        <w:t>,</w:t>
      </w:r>
      <w:r w:rsidR="00F0536A">
        <w:t xml:space="preserve"> including the Commission or FERC</w:t>
      </w:r>
      <w:r w:rsidR="00FE70F8">
        <w:t xml:space="preserve">, </w:t>
      </w:r>
      <w:r w:rsidR="007C2CC6">
        <w:t xml:space="preserve">the disclosing Party will take reasonable efforts to obtain protection from disclosure </w:t>
      </w:r>
      <w:r w:rsidR="00F204BB">
        <w:t xml:space="preserve">of such Confidential Information </w:t>
      </w:r>
      <w:r w:rsidR="007C2CC6">
        <w:t xml:space="preserve">under the trade secret </w:t>
      </w:r>
      <w:r w:rsidR="00E640AF">
        <w:t>rules or other rules concerning confidentiality</w:t>
      </w:r>
      <w:r w:rsidR="007C2CC6">
        <w:t xml:space="preserve"> of the </w:t>
      </w:r>
      <w:r w:rsidR="00452062">
        <w:t xml:space="preserve">applicable </w:t>
      </w:r>
      <w:r w:rsidR="007C2CC6">
        <w:t>Governmental Authority</w:t>
      </w:r>
      <w:r w:rsidR="00E74BEB">
        <w:t xml:space="preserve">; provided that </w:t>
      </w:r>
      <w:r w:rsidR="0044459B">
        <w:t xml:space="preserve">nothing in this </w:t>
      </w:r>
      <w:r w:rsidR="00665B82">
        <w:t>Section 20.16.2 (</w:t>
      </w:r>
      <w:r w:rsidRPr="00665B82" w:rsidR="00665B82">
        <w:rPr>
          <w:i/>
          <w:iCs/>
        </w:rPr>
        <w:t>Disclosure of Confidential Information to a Governmental Authority</w:t>
      </w:r>
      <w:r w:rsidR="00665B82">
        <w:t>)</w:t>
      </w:r>
      <w:r w:rsidR="0044459B">
        <w:t xml:space="preserve"> will require </w:t>
      </w:r>
      <w:r w:rsidR="00E74BEB">
        <w:t xml:space="preserve">GPC to </w:t>
      </w:r>
      <w:r w:rsidR="0044459B">
        <w:t>take</w:t>
      </w:r>
      <w:r w:rsidR="00A8709E">
        <w:t xml:space="preserve"> any</w:t>
      </w:r>
      <w:r w:rsidR="0044459B">
        <w:t xml:space="preserve"> legal action against </w:t>
      </w:r>
      <w:r w:rsidR="00166B20">
        <w:t>any Governmental Authority</w:t>
      </w:r>
      <w:r w:rsidR="00665B82">
        <w:t>, including</w:t>
      </w:r>
      <w:r w:rsidR="00D516F4">
        <w:t xml:space="preserve"> any requirement to</w:t>
      </w:r>
      <w:r w:rsidR="00665B82">
        <w:t xml:space="preserve"> </w:t>
      </w:r>
      <w:r w:rsidR="00E74BEB">
        <w:t xml:space="preserve">appeal a determination concerning Confidential Information. </w:t>
      </w:r>
      <w:r w:rsidRPr="00C22425" w:rsidR="00A843D7">
        <w:t xml:space="preserve">Seller understands and acknowledges that certain terms, conditions, and provisions of this PPA </w:t>
      </w:r>
      <w:r w:rsidR="00A843D7">
        <w:t>must</w:t>
      </w:r>
      <w:r w:rsidRPr="00C22425" w:rsidR="00A843D7">
        <w:t xml:space="preserve"> be disclosed in connection with GPC’s regulatory obligations before the Commission, including the application for the Commission Certificate. </w:t>
      </w:r>
      <w:r>
        <w:t>GPC makes no</w:t>
      </w:r>
      <w:r w:rsidRPr="00C22425">
        <w:t xml:space="preserve"> assurance or commitment regarding GPC’s ability to obtain requested confidential treatment from </w:t>
      </w:r>
      <w:r>
        <w:t>any Governmental Authority, including the</w:t>
      </w:r>
      <w:r w:rsidRPr="00C22425">
        <w:t xml:space="preserve"> Commission</w:t>
      </w:r>
      <w:r w:rsidR="0055617B">
        <w:t xml:space="preserve"> or FERC</w:t>
      </w:r>
      <w:r w:rsidRPr="00C22425">
        <w:t>.</w:t>
      </w:r>
      <w:r w:rsidR="007C2CC6">
        <w:t xml:space="preserve"> </w:t>
      </w:r>
    </w:p>
    <w:p w:rsidRPr="00C22425" w:rsidR="002D54C4" w:rsidRDefault="002D54C4" w14:paraId="7A8B35D0" w14:textId="40C91A8B">
      <w:pPr>
        <w:pStyle w:val="zGNormal"/>
      </w:pPr>
      <w:r w:rsidRPr="00C22425">
        <w:t xml:space="preserve"> </w:t>
      </w:r>
    </w:p>
    <w:p w:rsidRPr="00C22425" w:rsidR="002D54C4" w:rsidP="008759EF" w:rsidRDefault="002D54C4" w14:paraId="499C78E7" w14:textId="799A2F14">
      <w:pPr>
        <w:pStyle w:val="zGTC03"/>
        <w:rPr>
          <w:rFonts w:cs="Arial"/>
          <w:b/>
          <w:vanish/>
          <w:specVanish/>
        </w:rPr>
      </w:pPr>
      <w:r w:rsidRPr="00C22425">
        <w:rPr>
          <w:rFonts w:cs="Arial"/>
          <w:b/>
        </w:rPr>
        <w:t>Public Statements.</w:t>
      </w:r>
    </w:p>
    <w:p w:rsidRPr="00C22425" w:rsidR="002D54C4" w:rsidRDefault="002D54C4" w14:paraId="12D71801" w14:textId="7E0C1578">
      <w:pPr>
        <w:pStyle w:val="zGNormal"/>
      </w:pPr>
      <w:r w:rsidRPr="00C22425">
        <w:rPr>
          <w:b/>
        </w:rPr>
        <w:t xml:space="preserve"> </w:t>
      </w:r>
      <w:r w:rsidRPr="00C22425">
        <w:t>Any public statement or other announcement by a Party concerning the transaction described in this PPA will be reviewed and agreed upon by the Parties before release, which agreement will not be unreasonably withheld, conditioned, or delayed.</w:t>
      </w:r>
      <w:r w:rsidRPr="00C22425" w:rsidR="001B5EC1">
        <w:t xml:space="preserve"> Seller and its Affiliates must not issue any public statement (including any news release, internet, website, social media posting, or other publication) concerning: (i) this PPA or the transactions described in this PPA; (ii) the Facility with respect to this PPA; or (iii) Seller’s relationship with GPC without the communication first being reviewed and agreed upon by the Parties before release to the public. In addition, Seller is responsible for ensuring that its contractors, Affiliates, and contractual counterparties, and each of their respective employees, contractors, and agents, fully comply with this Section </w:t>
      </w:r>
      <w:r w:rsidRPr="00C22425" w:rsidR="00266B77">
        <w:t>20.1</w:t>
      </w:r>
      <w:r w:rsidR="00B6680B">
        <w:t>6</w:t>
      </w:r>
      <w:r w:rsidRPr="00C22425" w:rsidR="00266B77">
        <w:t>.</w:t>
      </w:r>
      <w:r w:rsidR="00F659C4">
        <w:t>3</w:t>
      </w:r>
      <w:r w:rsidRPr="00C22425" w:rsidR="001B5EC1">
        <w:t xml:space="preserve"> (</w:t>
      </w:r>
      <w:r w:rsidRPr="00C22425" w:rsidR="001B5EC1">
        <w:rPr>
          <w:i/>
          <w:iCs/>
        </w:rPr>
        <w:t>Public Statements</w:t>
      </w:r>
      <w:r w:rsidRPr="00C22425" w:rsidR="001B5EC1">
        <w:t>).</w:t>
      </w:r>
    </w:p>
    <w:p w:rsidRPr="00C22425" w:rsidR="002D54C4" w:rsidP="008759EF" w:rsidRDefault="002D54C4" w14:paraId="60C088EC" w14:textId="0FA88533">
      <w:pPr>
        <w:pStyle w:val="zGTC03"/>
        <w:rPr>
          <w:rFonts w:cs="Arial"/>
          <w:b/>
          <w:vanish/>
          <w:specVanish/>
        </w:rPr>
      </w:pPr>
      <w:r w:rsidRPr="00C22425">
        <w:rPr>
          <w:rFonts w:cs="Arial"/>
        </w:rPr>
        <w:t xml:space="preserve"> </w:t>
      </w:r>
      <w:r w:rsidRPr="00C22425">
        <w:rPr>
          <w:rFonts w:cs="Arial"/>
          <w:b/>
        </w:rPr>
        <w:t>Designation of Confidential Information.</w:t>
      </w:r>
    </w:p>
    <w:p w:rsidRPr="00C22425" w:rsidR="002D54C4" w:rsidRDefault="002D54C4" w14:paraId="5551A62B" w14:textId="5BAE17EA">
      <w:pPr>
        <w:pStyle w:val="zGNormal"/>
      </w:pPr>
      <w:r w:rsidRPr="00C22425">
        <w:rPr>
          <w:b/>
        </w:rPr>
        <w:t xml:space="preserve"> </w:t>
      </w:r>
      <w:r w:rsidRPr="00C22425">
        <w:rPr>
          <w:rFonts w:eastAsia="Arial"/>
        </w:rPr>
        <w:t>Confidential Information not designated by this PPA as Confidential Information must be designated in writing as confidential by the disclosing Party to the receiving Party contemporaneously with the supply of the information to the receiving Party. In addition to</w:t>
      </w:r>
      <w:r w:rsidRPr="00C22425" w:rsidR="005264A9">
        <w:rPr>
          <w:rFonts w:eastAsia="Arial"/>
        </w:rPr>
        <w:t xml:space="preserve"> any</w:t>
      </w:r>
      <w:r w:rsidRPr="00C22425">
        <w:rPr>
          <w:rFonts w:eastAsia="Arial"/>
        </w:rPr>
        <w:t xml:space="preserve"> information designated as Confidential Information in other sections of this PPA, the Parties designate the following information as Confidential Information: (i) PPA pricing and payment information; (ii) non-public Electric System information; and (iii) GPC technical requirements.</w:t>
      </w:r>
    </w:p>
    <w:p w:rsidRPr="00C22425" w:rsidR="002D54C4" w:rsidP="008759EF" w:rsidRDefault="002D54C4" w14:paraId="386090B2" w14:textId="64B4B47C">
      <w:pPr>
        <w:pStyle w:val="zGTC03"/>
        <w:rPr>
          <w:rFonts w:cs="Arial"/>
          <w:b/>
          <w:vanish/>
          <w:specVanish/>
        </w:rPr>
      </w:pPr>
      <w:r w:rsidRPr="00C22425">
        <w:rPr>
          <w:rFonts w:eastAsia="Arial" w:cs="Arial"/>
          <w:b/>
        </w:rPr>
        <w:t>GPC use of Facility Operational Data.</w:t>
      </w:r>
    </w:p>
    <w:p w:rsidRPr="00C22425" w:rsidR="002D54C4" w:rsidRDefault="002D54C4" w14:paraId="6B9BC4AB" w14:textId="22529EDC">
      <w:pPr>
        <w:pStyle w:val="zGNormal"/>
      </w:pPr>
      <w:r w:rsidRPr="00C22425">
        <w:t xml:space="preserve"> </w:t>
      </w:r>
      <w:r w:rsidRPr="00C22425">
        <w:rPr>
          <w:rFonts w:eastAsia="Arial"/>
        </w:rPr>
        <w:t>Despite any other provision in this PPA, GPC may share Facility operational data (but not pricing information)</w:t>
      </w:r>
      <w:r w:rsidRPr="00C22425" w:rsidR="009D12F3">
        <w:rPr>
          <w:rFonts w:eastAsia="Arial"/>
        </w:rPr>
        <w:t>,</w:t>
      </w:r>
      <w:r w:rsidRPr="00C22425">
        <w:rPr>
          <w:rFonts w:eastAsia="Arial"/>
        </w:rPr>
        <w:t xml:space="preserve"> including actual </w:t>
      </w:r>
      <w:r w:rsidR="000844BB">
        <w:rPr>
          <w:rFonts w:eastAsia="Arial"/>
        </w:rPr>
        <w:t xml:space="preserve">delivery data, </w:t>
      </w:r>
      <w:r w:rsidRPr="00C22425">
        <w:rPr>
          <w:rFonts w:eastAsia="Arial"/>
        </w:rPr>
        <w:t>generation data, generation forecast data, PHL estimate data and data components, weather station data, and loss and efficiency data with third parties for the purpose of analysis, modeling, model development and validation, and forecasting.</w:t>
      </w:r>
    </w:p>
    <w:p w:rsidRPr="00C22425" w:rsidR="002D54C4" w:rsidP="008759EF" w:rsidRDefault="002D54C4" w14:paraId="51D4C350" w14:textId="6FCD7D6E">
      <w:pPr>
        <w:pStyle w:val="zGTC03"/>
        <w:rPr>
          <w:rFonts w:cs="Arial"/>
          <w:b/>
          <w:vanish/>
          <w:specVanish/>
        </w:rPr>
      </w:pPr>
      <w:r w:rsidRPr="00C22425">
        <w:rPr>
          <w:rFonts w:cs="Arial"/>
          <w:b/>
        </w:rPr>
        <w:t>Survival of Confidentiality Obligations.</w:t>
      </w:r>
    </w:p>
    <w:p w:rsidRPr="00C22425" w:rsidR="002D54C4" w:rsidRDefault="002D54C4" w14:paraId="6A55C32E" w14:textId="1563C466">
      <w:pPr>
        <w:pStyle w:val="zGNormal"/>
      </w:pPr>
      <w:r w:rsidRPr="00C22425">
        <w:t xml:space="preserve"> </w:t>
      </w:r>
      <w:r w:rsidRPr="00C22425">
        <w:rPr>
          <w:rFonts w:eastAsia="PMingLiU"/>
        </w:rPr>
        <w:t>Despite any other PPA provision, the terms of this Section 20.1</w:t>
      </w:r>
      <w:r w:rsidRPr="00C22425" w:rsidR="0076229B">
        <w:rPr>
          <w:rFonts w:eastAsia="PMingLiU"/>
        </w:rPr>
        <w:t>6</w:t>
      </w:r>
      <w:r w:rsidRPr="00C22425">
        <w:rPr>
          <w:rFonts w:eastAsia="PMingLiU"/>
        </w:rPr>
        <w:t xml:space="preserve"> (</w:t>
      </w:r>
      <w:r w:rsidRPr="00C22425">
        <w:rPr>
          <w:rFonts w:eastAsia="PMingLiU"/>
          <w:i/>
        </w:rPr>
        <w:t>Confidentiality</w:t>
      </w:r>
      <w:r w:rsidRPr="00C22425">
        <w:rPr>
          <w:rFonts w:eastAsia="PMingLiU"/>
        </w:rPr>
        <w:t xml:space="preserve">) will survive for a period of </w:t>
      </w:r>
      <w:r w:rsidRPr="00C22425" w:rsidR="009D12F3">
        <w:rPr>
          <w:rFonts w:eastAsia="PMingLiU"/>
        </w:rPr>
        <w:t>three</w:t>
      </w:r>
      <w:r w:rsidRPr="00C22425">
        <w:rPr>
          <w:rFonts w:eastAsia="PMingLiU"/>
        </w:rPr>
        <w:t xml:space="preserve"> years after the termination or expiration of this PPA, except that, to the extent any Confidential Information constitutes a “trade secret” under any applicable law, the receiving Party’s obligations under Section 20.1</w:t>
      </w:r>
      <w:r w:rsidRPr="00C22425" w:rsidR="0076229B">
        <w:rPr>
          <w:rFonts w:eastAsia="PMingLiU"/>
        </w:rPr>
        <w:t>6</w:t>
      </w:r>
      <w:r w:rsidRPr="00C22425">
        <w:rPr>
          <w:rFonts w:eastAsia="PMingLiU"/>
        </w:rPr>
        <w:t xml:space="preserve"> will apply for the life of such trade secret.</w:t>
      </w:r>
    </w:p>
    <w:p w:rsidRPr="00C22425" w:rsidR="002D54C4" w:rsidRDefault="002D54C4" w14:paraId="2BC412C6" w14:textId="18F38400">
      <w:pPr>
        <w:pStyle w:val="zGTC02"/>
        <w:rPr>
          <w:rFonts w:ascii="Arial" w:hAnsi="Arial" w:cs="Arial"/>
          <w:vanish/>
          <w:specVanish/>
        </w:rPr>
      </w:pPr>
      <w:bookmarkStart w:name="_Toc169778709" w:id="1025"/>
      <w:bookmarkStart w:name="_Toc227451473" w:id="1026"/>
      <w:r w:rsidRPr="00C22425">
        <w:rPr>
          <w:rFonts w:ascii="Arial" w:hAnsi="Arial" w:cs="Arial"/>
        </w:rPr>
        <w:lastRenderedPageBreak/>
        <w:t>Contract Interpretation.</w:t>
      </w:r>
      <w:bookmarkStart w:name="_Toc158593311" w:id="1027"/>
      <w:bookmarkStart w:name="_Toc158597590" w:id="1028"/>
      <w:bookmarkStart w:name="_Toc158720214" w:id="1029"/>
      <w:bookmarkStart w:name="_Toc158722968" w:id="1030"/>
      <w:bookmarkStart w:name="_Toc158929500" w:id="1031"/>
      <w:bookmarkEnd w:id="1025"/>
      <w:bookmarkEnd w:id="1026"/>
      <w:bookmarkEnd w:id="1027"/>
      <w:bookmarkEnd w:id="1028"/>
      <w:bookmarkEnd w:id="1029"/>
      <w:bookmarkEnd w:id="1030"/>
      <w:bookmarkEnd w:id="1031"/>
    </w:p>
    <w:p w:rsidRPr="00C22425" w:rsidR="002D54C4" w:rsidRDefault="002D54C4" w14:paraId="1C1105F5" w14:textId="3043FABD">
      <w:pPr>
        <w:pStyle w:val="zGNormal"/>
        <w:rPr>
          <w:rFonts w:eastAsia="Times New Roman"/>
        </w:rPr>
      </w:pPr>
      <w:r w:rsidRPr="00C22425">
        <w:rPr>
          <w:rFonts w:eastAsia="Times New Roman"/>
        </w:rPr>
        <w:t xml:space="preserve"> Each exhibit, attachment, appendix, schedule, regulatory requirement, policy, procedure, standard, or other document attached to or referenced in this PPA (expressly including the </w:t>
      </w:r>
      <w:r w:rsidRPr="00C22425">
        <w:rPr>
          <w:rFonts w:eastAsia="Times New Roman"/>
          <w:i/>
          <w:iCs/>
        </w:rPr>
        <w:t>Schedule of Defined Terms</w:t>
      </w:r>
      <w:r w:rsidRPr="00C22425">
        <w:rPr>
          <w:rFonts w:eastAsia="Times New Roman"/>
        </w:rPr>
        <w:t>) is incorporated into, and is integral to, this PPA as if included in the main body. In this PPA and in all attached or incorporated documents: (i) whenever the term “</w:t>
      </w:r>
      <w:r w:rsidRPr="00C22425">
        <w:rPr>
          <w:rFonts w:eastAsia="Times New Roman"/>
          <w:b/>
          <w:bCs/>
        </w:rPr>
        <w:t>include</w:t>
      </w:r>
      <w:r w:rsidRPr="00C22425">
        <w:rPr>
          <w:rFonts w:eastAsia="Times New Roman"/>
        </w:rPr>
        <w:t>,” “</w:t>
      </w:r>
      <w:r w:rsidRPr="00C22425">
        <w:rPr>
          <w:rFonts w:eastAsia="Times New Roman"/>
          <w:b/>
          <w:bCs/>
        </w:rPr>
        <w:t>including</w:t>
      </w:r>
      <w:r w:rsidRPr="00C22425">
        <w:rPr>
          <w:rFonts w:eastAsia="Times New Roman"/>
        </w:rPr>
        <w:t>,” or “</w:t>
      </w:r>
      <w:r w:rsidRPr="00C22425">
        <w:rPr>
          <w:rFonts w:eastAsia="Times New Roman"/>
          <w:b/>
          <w:bCs/>
        </w:rPr>
        <w:t>e.g.</w:t>
      </w:r>
      <w:r w:rsidRPr="00C22425">
        <w:rPr>
          <w:rFonts w:eastAsia="Times New Roman"/>
        </w:rPr>
        <w:t>” is used in connection with a listing of items included within or an example of the prior reference, the listing will be interpreted to be illustrative only, and will not be interpreted as a limitation on or exclusive listing of the items included in the prior reference; and (ii) “</w:t>
      </w:r>
      <w:r w:rsidRPr="00C22425">
        <w:rPr>
          <w:rFonts w:eastAsia="Times New Roman"/>
          <w:b/>
          <w:bCs/>
        </w:rPr>
        <w:t>or</w:t>
      </w:r>
      <w:r w:rsidRPr="00C22425">
        <w:rPr>
          <w:rFonts w:eastAsia="Times New Roman"/>
        </w:rPr>
        <w:t>” means either or all (i.e., “A or B” means “A or B or both A and B”).</w:t>
      </w:r>
    </w:p>
    <w:p w:rsidRPr="00C22425" w:rsidR="00A56D8E" w:rsidRDefault="00A56D8E" w14:paraId="733F8BF5" w14:textId="5433BFEE">
      <w:pPr>
        <w:pStyle w:val="zGNormal"/>
        <w:rPr>
          <w:rFonts w:eastAsia="Times New Roman"/>
        </w:rPr>
      </w:pPr>
    </w:p>
    <w:p w:rsidRPr="00C22425" w:rsidR="002D54C4" w:rsidRDefault="002D54C4" w14:paraId="541E3B2E" w14:textId="7F9EDF1C">
      <w:pPr>
        <w:pStyle w:val="zGNormal"/>
        <w:rPr>
          <w:rFonts w:eastAsia="Times New Roman"/>
        </w:rPr>
      </w:pPr>
      <w:r w:rsidRPr="00C22425">
        <w:rPr>
          <w:rFonts w:eastAsia="Times New Roman"/>
        </w:rPr>
        <w:t>Unless otherwise specified, a reference to a given agreement or document, and all the schedules, exhibits, appendices, and attachments to the agreement or document, will be a reference to that agreement or document as modified, amended, supplemented, or restated, and in effect from time to time. Whenever the term “</w:t>
      </w:r>
      <w:r w:rsidRPr="00C22425">
        <w:rPr>
          <w:rFonts w:eastAsia="Times New Roman"/>
          <w:b/>
          <w:bCs/>
        </w:rPr>
        <w:t>consent</w:t>
      </w:r>
      <w:r w:rsidRPr="00C22425">
        <w:rPr>
          <w:rFonts w:eastAsia="Times New Roman"/>
        </w:rPr>
        <w:t>” or “</w:t>
      </w:r>
      <w:r w:rsidRPr="00C22425">
        <w:rPr>
          <w:rFonts w:eastAsia="Times New Roman"/>
          <w:b/>
          <w:bCs/>
        </w:rPr>
        <w:t>approval</w:t>
      </w:r>
      <w:r w:rsidRPr="00C22425">
        <w:rPr>
          <w:rFonts w:eastAsia="Times New Roman"/>
        </w:rPr>
        <w:t>” is used, the consent or approval will not be unreasonably withheld, conditioned, or delayed by the consenting or approving Party, unless this PPA provides that the consent or approval is in the sole discretion of the consenting Party. If the Party has provided email contact information, “</w:t>
      </w:r>
      <w:r w:rsidRPr="00C22425">
        <w:rPr>
          <w:rFonts w:eastAsia="Times New Roman"/>
          <w:b/>
          <w:bCs/>
        </w:rPr>
        <w:t>written</w:t>
      </w:r>
      <w:r w:rsidRPr="00C22425">
        <w:rPr>
          <w:rFonts w:eastAsia="Times New Roman"/>
        </w:rPr>
        <w:t>” or “</w:t>
      </w:r>
      <w:r w:rsidRPr="00C22425">
        <w:rPr>
          <w:rFonts w:eastAsia="Times New Roman"/>
          <w:b/>
          <w:bCs/>
        </w:rPr>
        <w:t>in writing</w:t>
      </w:r>
      <w:r w:rsidRPr="00C22425">
        <w:rPr>
          <w:rFonts w:eastAsia="Times New Roman"/>
        </w:rPr>
        <w:t xml:space="preserve">” includes email communication, absent express statement otherwise. </w:t>
      </w:r>
    </w:p>
    <w:p w:rsidRPr="00C22425" w:rsidR="00A56D8E" w:rsidRDefault="00A56D8E" w14:paraId="5A69F7A5" w14:textId="13663DE3">
      <w:pPr>
        <w:pStyle w:val="zGNormal"/>
        <w:rPr>
          <w:rFonts w:eastAsia="Times New Roman"/>
        </w:rPr>
      </w:pPr>
    </w:p>
    <w:p w:rsidRPr="00C22425" w:rsidR="002D54C4" w:rsidRDefault="002D54C4" w14:paraId="26D12FE0" w14:textId="66EB5431">
      <w:pPr>
        <w:pStyle w:val="zGNormal"/>
        <w:rPr>
          <w:rFonts w:eastAsia="Times New Roman"/>
        </w:rPr>
      </w:pPr>
      <w:r w:rsidRPr="00C22425">
        <w:rPr>
          <w:rFonts w:eastAsia="Times New Roman"/>
        </w:rPr>
        <w:t xml:space="preserve">Reference to: (i) a Party or Person includes any allowed successor or assign; (ii) a regulatory authority includes an authority succeeding to the same function; and (iii) an applicable law is to the law as modified or amended and then effective. </w:t>
      </w:r>
      <w:r w:rsidRPr="00C22425">
        <w:rPr>
          <w:rFonts w:eastAsia="PMingLiU"/>
        </w:rPr>
        <w:t xml:space="preserve">Reference to a PPA part by caption (e.g., </w:t>
      </w:r>
      <w:r w:rsidRPr="00C22425">
        <w:rPr>
          <w:rFonts w:eastAsia="PMingLiU"/>
          <w:i/>
          <w:iCs/>
        </w:rPr>
        <w:t>Facility Operations</w:t>
      </w:r>
      <w:r w:rsidRPr="00C22425">
        <w:rPr>
          <w:rFonts w:eastAsia="PMingLiU"/>
        </w:rPr>
        <w:t>) or number (e.g., Part 6 (</w:t>
      </w:r>
      <w:r w:rsidRPr="00C22425">
        <w:rPr>
          <w:rFonts w:eastAsia="PMingLiU"/>
          <w:i/>
          <w:iCs/>
        </w:rPr>
        <w:t>Performance Security</w:t>
      </w:r>
      <w:r w:rsidRPr="00C22425">
        <w:rPr>
          <w:rFonts w:eastAsia="PMingLiU"/>
        </w:rPr>
        <w:t>)) includes all separate sections (e.g., Section 6.</w:t>
      </w:r>
      <w:r w:rsidR="00C556B7">
        <w:rPr>
          <w:rFonts w:eastAsia="PMingLiU"/>
        </w:rPr>
        <w:t>2</w:t>
      </w:r>
      <w:r w:rsidRPr="00C22425">
        <w:rPr>
          <w:rFonts w:eastAsia="PMingLiU"/>
        </w:rPr>
        <w:t xml:space="preserve"> (</w:t>
      </w:r>
      <w:r w:rsidRPr="00C22425">
        <w:rPr>
          <w:rFonts w:eastAsia="PMingLiU"/>
          <w:i/>
          <w:iCs/>
        </w:rPr>
        <w:t>Replacement Collateral; Substitu</w:t>
      </w:r>
      <w:r w:rsidRPr="00C22425" w:rsidR="00270463">
        <w:rPr>
          <w:rFonts w:eastAsia="PMingLiU"/>
          <w:i/>
          <w:iCs/>
        </w:rPr>
        <w:t>ted</w:t>
      </w:r>
      <w:r w:rsidRPr="00C22425">
        <w:rPr>
          <w:rFonts w:eastAsia="PMingLiU"/>
          <w:i/>
          <w:iCs/>
        </w:rPr>
        <w:t xml:space="preserve"> Collateral; Release of Collateral</w:t>
      </w:r>
      <w:r w:rsidRPr="00C22425">
        <w:rPr>
          <w:rFonts w:eastAsia="PMingLiU"/>
        </w:rPr>
        <w:t>) and subsections (</w:t>
      </w:r>
      <w:r w:rsidRPr="00C22425">
        <w:rPr>
          <w:rFonts w:eastAsia="PMingLiU"/>
          <w:i/>
          <w:iCs/>
        </w:rPr>
        <w:t>e.g</w:t>
      </w:r>
      <w:r w:rsidRPr="00C22425">
        <w:rPr>
          <w:rFonts w:eastAsia="PMingLiU"/>
        </w:rPr>
        <w:t>., Section 6.</w:t>
      </w:r>
      <w:r w:rsidR="00C556B7">
        <w:rPr>
          <w:rFonts w:eastAsia="PMingLiU"/>
        </w:rPr>
        <w:t>2</w:t>
      </w:r>
      <w:r w:rsidRPr="00C22425">
        <w:rPr>
          <w:rFonts w:eastAsia="PMingLiU"/>
        </w:rPr>
        <w:t>.1 (</w:t>
      </w:r>
      <w:r w:rsidRPr="00C22425">
        <w:rPr>
          <w:rFonts w:eastAsia="PMingLiU"/>
          <w:i/>
          <w:iCs/>
        </w:rPr>
        <w:t>Replacement Collateral</w:t>
      </w:r>
      <w:r w:rsidRPr="00C22425">
        <w:rPr>
          <w:rFonts w:eastAsia="PMingLiU"/>
        </w:rPr>
        <w:t>)) within that part and reference to a section by caption or number includes all separate clauses within that section.</w:t>
      </w:r>
      <w:r w:rsidRPr="00C22425">
        <w:rPr>
          <w:rFonts w:eastAsia="Times New Roman"/>
        </w:rPr>
        <w:t xml:space="preserve"> </w:t>
      </w:r>
      <w:r w:rsidRPr="00C22425" w:rsidR="001C4E89">
        <w:rPr>
          <w:rFonts w:eastAsia="Times New Roman"/>
        </w:rPr>
        <w:t>To the extent there is a conflict between CPT and ET, CPT will prevail.</w:t>
      </w:r>
    </w:p>
    <w:p w:rsidRPr="00C22425" w:rsidR="006F03D1" w:rsidRDefault="006F03D1" w14:paraId="3CB38374" w14:textId="6AEA771E">
      <w:pPr>
        <w:pStyle w:val="zGNormal"/>
        <w:rPr>
          <w:rFonts w:eastAsia="Times New Roman"/>
        </w:rPr>
      </w:pPr>
    </w:p>
    <w:p w:rsidRPr="002D2A8F" w:rsidR="002D54C4" w:rsidRDefault="002D54C4" w14:paraId="422667E3" w14:textId="77777777">
      <w:pPr>
        <w:pStyle w:val="zGNormal"/>
      </w:pPr>
      <w:r w:rsidRPr="00C22425">
        <w:rPr>
          <w:rFonts w:eastAsia="Times New Roman"/>
        </w:rPr>
        <w:t>A defined term may be singular or plural, as the context requires, and, absent</w:t>
      </w:r>
      <w:r w:rsidRPr="002D2A8F">
        <w:rPr>
          <w:rFonts w:eastAsia="Times New Roman"/>
        </w:rPr>
        <w:t xml:space="preserve"> an express statement otherwise, each defined term has the same meaning in all PPA documents. Captions are for convenience only and do not affect PPA interpretation.</w:t>
      </w:r>
    </w:p>
    <w:p w:rsidRPr="002D2A8F" w:rsidR="002D54C4" w:rsidRDefault="002D54C4" w14:paraId="566C3C31" w14:textId="77777777">
      <w:pPr>
        <w:pStyle w:val="zGTC02"/>
        <w:rPr>
          <w:rFonts w:ascii="Arial" w:hAnsi="Arial" w:cs="Arial"/>
          <w:vanish/>
          <w:specVanish/>
        </w:rPr>
      </w:pPr>
      <w:bookmarkStart w:name="_Toc169778710" w:id="1032"/>
      <w:bookmarkStart w:name="_Toc227451474" w:id="1033"/>
      <w:r w:rsidRPr="002D2A8F">
        <w:rPr>
          <w:rFonts w:ascii="Arial" w:hAnsi="Arial" w:cs="Arial"/>
        </w:rPr>
        <w:t>Replacement Index.</w:t>
      </w:r>
      <w:bookmarkStart w:name="_Toc158593312" w:id="1034"/>
      <w:bookmarkStart w:name="_Toc158597591" w:id="1035"/>
      <w:bookmarkStart w:name="_Toc158720215" w:id="1036"/>
      <w:bookmarkStart w:name="_Toc158722969" w:id="1037"/>
      <w:bookmarkStart w:name="_Toc158929501" w:id="1038"/>
      <w:bookmarkEnd w:id="1032"/>
      <w:bookmarkEnd w:id="1033"/>
      <w:bookmarkEnd w:id="1034"/>
      <w:bookmarkEnd w:id="1035"/>
      <w:bookmarkEnd w:id="1036"/>
      <w:bookmarkEnd w:id="1037"/>
      <w:bookmarkEnd w:id="1038"/>
    </w:p>
    <w:p w:rsidRPr="002D2A8F" w:rsidR="002D54C4" w:rsidRDefault="002D54C4" w14:paraId="114DFDA5" w14:textId="77777777">
      <w:pPr>
        <w:pStyle w:val="zGNormal"/>
      </w:pPr>
      <w:r w:rsidRPr="002D2A8F">
        <w:t xml:space="preserve"> </w:t>
      </w:r>
      <w:r w:rsidRPr="002D2A8F">
        <w:rPr>
          <w:w w:val="0"/>
        </w:rPr>
        <w:t>Should any index or tariff referenced in this PPA be discontinued, no longer published, or deemed unrepresentative, the Parties will cooperate in establishing substitute benchmarks through reference to equivalent indices or tariffs</w:t>
      </w:r>
      <w:r w:rsidRPr="002D2A8F">
        <w:t>.</w:t>
      </w:r>
    </w:p>
    <w:p w:rsidRPr="002D2A8F" w:rsidR="002D54C4" w:rsidRDefault="002D54C4" w14:paraId="78084E3F" w14:textId="77777777">
      <w:pPr>
        <w:pStyle w:val="zGTC02"/>
        <w:rPr>
          <w:rFonts w:ascii="Arial" w:hAnsi="Arial" w:cs="Arial"/>
          <w:vanish/>
          <w:specVanish/>
        </w:rPr>
      </w:pPr>
      <w:bookmarkStart w:name="_Toc169778711" w:id="1039"/>
      <w:bookmarkStart w:name="_Toc227451475" w:id="1040"/>
      <w:r w:rsidRPr="002D2A8F">
        <w:rPr>
          <w:rFonts w:ascii="Arial" w:hAnsi="Arial" w:cs="Arial"/>
        </w:rPr>
        <w:t>Recording.</w:t>
      </w:r>
      <w:bookmarkStart w:name="_Toc158593313" w:id="1041"/>
      <w:bookmarkStart w:name="_Toc158597592" w:id="1042"/>
      <w:bookmarkStart w:name="_Toc158720216" w:id="1043"/>
      <w:bookmarkStart w:name="_Toc158722970" w:id="1044"/>
      <w:bookmarkStart w:name="_Toc158929502" w:id="1045"/>
      <w:bookmarkEnd w:id="1039"/>
      <w:bookmarkEnd w:id="1040"/>
      <w:bookmarkEnd w:id="1041"/>
      <w:bookmarkEnd w:id="1042"/>
      <w:bookmarkEnd w:id="1043"/>
      <w:bookmarkEnd w:id="1044"/>
      <w:bookmarkEnd w:id="1045"/>
    </w:p>
    <w:p w:rsidRPr="002D2A8F" w:rsidR="002D54C4" w:rsidRDefault="002D54C4" w14:paraId="71AEC6A3" w14:textId="77777777">
      <w:pPr>
        <w:pStyle w:val="zGNormal"/>
      </w:pPr>
      <w:r w:rsidRPr="002D2A8F">
        <w:t xml:space="preserve"> Each Party acknowledges and consents to the tape or electronic recording of all telephone conversations between the Parties, and that any recordings will be retained in confidence, secured from improper access, and may be submitted in evidence in any proceeding or action relating to this PPA. Each Party waives any further notice of such monitoring or recording and agrees to notify its officers and employees of any monitoring or recording and to obtain any necessary consent of such officers and employees.</w:t>
      </w:r>
    </w:p>
    <w:p w:rsidRPr="002D2A8F" w:rsidR="002D54C4" w:rsidRDefault="002D54C4" w14:paraId="59074FE1" w14:textId="77777777">
      <w:pPr>
        <w:pStyle w:val="zGTC02"/>
        <w:rPr>
          <w:rFonts w:ascii="Arial" w:hAnsi="Arial" w:cs="Arial"/>
          <w:vanish/>
          <w:specVanish/>
        </w:rPr>
      </w:pPr>
      <w:bookmarkStart w:name="_Toc169778712" w:id="1046"/>
      <w:bookmarkStart w:name="_Toc227451476" w:id="1047"/>
      <w:r w:rsidRPr="002D2A8F">
        <w:rPr>
          <w:rFonts w:ascii="Arial" w:hAnsi="Arial" w:cs="Arial"/>
        </w:rPr>
        <w:t>Further Assurances.</w:t>
      </w:r>
      <w:bookmarkStart w:name="_Toc158593314" w:id="1048"/>
      <w:bookmarkStart w:name="_Toc158597593" w:id="1049"/>
      <w:bookmarkStart w:name="_Toc158720217" w:id="1050"/>
      <w:bookmarkStart w:name="_Toc158722971" w:id="1051"/>
      <w:bookmarkStart w:name="_Toc158929503" w:id="1052"/>
      <w:bookmarkEnd w:id="1046"/>
      <w:bookmarkEnd w:id="1047"/>
      <w:bookmarkEnd w:id="1048"/>
      <w:bookmarkEnd w:id="1049"/>
      <w:bookmarkEnd w:id="1050"/>
      <w:bookmarkEnd w:id="1051"/>
      <w:bookmarkEnd w:id="1052"/>
    </w:p>
    <w:p w:rsidRPr="002D2A8F" w:rsidR="002D54C4" w:rsidRDefault="002D54C4" w14:paraId="08903D8A" w14:textId="77777777">
      <w:pPr>
        <w:pStyle w:val="zGNormal"/>
      </w:pPr>
      <w:r w:rsidRPr="002D2A8F" w:rsidDel="00BA36AB">
        <w:t xml:space="preserve"> </w:t>
      </w:r>
      <w:r w:rsidRPr="002D2A8F">
        <w:t>Each Party agrees to provide reasonable cooperation to the other Party as necessary to give effect to the terms of this PPA.</w:t>
      </w:r>
    </w:p>
    <w:p w:rsidRPr="002D2A8F" w:rsidR="002D54C4" w:rsidRDefault="002D54C4" w14:paraId="20957F99" w14:textId="77777777">
      <w:pPr>
        <w:pStyle w:val="zGTC02"/>
        <w:rPr>
          <w:rFonts w:ascii="Arial" w:hAnsi="Arial" w:cs="Arial"/>
          <w:vanish/>
          <w:specVanish/>
        </w:rPr>
      </w:pPr>
      <w:bookmarkStart w:name="_Toc169778713" w:id="1053"/>
      <w:bookmarkStart w:name="_Toc227451477" w:id="1054"/>
      <w:r w:rsidRPr="002D2A8F">
        <w:rPr>
          <w:rFonts w:ascii="Arial" w:hAnsi="Arial" w:cs="Arial"/>
        </w:rPr>
        <w:t>Transfer of Information Acknowledgement.</w:t>
      </w:r>
      <w:bookmarkStart w:name="_Toc158593315" w:id="1055"/>
      <w:bookmarkStart w:name="_Toc158597594" w:id="1056"/>
      <w:bookmarkStart w:name="_Toc158720218" w:id="1057"/>
      <w:bookmarkStart w:name="_Toc158722972" w:id="1058"/>
      <w:bookmarkStart w:name="_Toc158929504" w:id="1059"/>
      <w:bookmarkEnd w:id="1053"/>
      <w:bookmarkEnd w:id="1054"/>
      <w:bookmarkEnd w:id="1055"/>
      <w:bookmarkEnd w:id="1056"/>
      <w:bookmarkEnd w:id="1057"/>
      <w:bookmarkEnd w:id="1058"/>
      <w:bookmarkEnd w:id="1059"/>
    </w:p>
    <w:p w:rsidR="00BD1CA5" w:rsidRDefault="002D54C4" w14:paraId="334ECA1D" w14:textId="25843D26">
      <w:pPr>
        <w:pStyle w:val="zGNormal"/>
      </w:pPr>
      <w:r w:rsidRPr="002D2A8F">
        <w:t xml:space="preserve"> Seller agrees to execute contemporaneous with the execution of this PPA, the Transfer of Information Acknowledgement attached as </w:t>
      </w:r>
      <w:r w:rsidRPr="00534192">
        <w:t>Exhibit</w:t>
      </w:r>
      <w:r w:rsidRPr="00534192" w:rsidDel="00782E37">
        <w:t xml:space="preserve"> </w:t>
      </w:r>
      <w:r w:rsidR="00E53435">
        <w:t>O</w:t>
      </w:r>
      <w:r w:rsidRPr="00534192">
        <w:t xml:space="preserve"> (</w:t>
      </w:r>
      <w:r w:rsidRPr="00534192">
        <w:rPr>
          <w:i/>
        </w:rPr>
        <w:t>Transfer of Information Acknowledgement</w:t>
      </w:r>
      <w:r w:rsidRPr="00534192">
        <w:t>)</w:t>
      </w:r>
      <w:r w:rsidRPr="002D2A8F">
        <w:t>, and GPC</w:t>
      </w:r>
      <w:r w:rsidRPr="002D2A8F" w:rsidDel="00E45AF8">
        <w:t xml:space="preserve"> </w:t>
      </w:r>
      <w:r w:rsidRPr="002D2A8F">
        <w:t>agrees to the limited use and confidential treatment of the information a</w:t>
      </w:r>
      <w:r w:rsidR="00AE53B2">
        <w:t>s</w:t>
      </w:r>
      <w:r w:rsidRPr="002D2A8F">
        <w:t xml:space="preserve"> set forth in </w:t>
      </w:r>
      <w:r w:rsidRPr="00534192">
        <w:t>Exhibit</w:t>
      </w:r>
      <w:r w:rsidRPr="00534192" w:rsidDel="00782E37">
        <w:t xml:space="preserve"> </w:t>
      </w:r>
      <w:r w:rsidR="00E53435">
        <w:t>O</w:t>
      </w:r>
      <w:r w:rsidRPr="00534192">
        <w:t>.</w:t>
      </w:r>
    </w:p>
    <w:p w:rsidRPr="002D2A8F" w:rsidR="00504EBE" w:rsidP="00504EBE" w:rsidRDefault="00504EBE" w14:paraId="1BB0B616" w14:textId="3AC58728">
      <w:pPr>
        <w:pStyle w:val="zGTC02"/>
        <w:rPr>
          <w:rFonts w:ascii="Arial" w:hAnsi="Arial" w:cs="Arial"/>
          <w:vanish/>
          <w:specVanish/>
        </w:rPr>
      </w:pPr>
      <w:bookmarkStart w:name="_Toc227451478" w:id="1060"/>
      <w:r>
        <w:rPr>
          <w:rFonts w:ascii="Arial" w:hAnsi="Arial" w:cs="Arial"/>
        </w:rPr>
        <w:t>Service Contract</w:t>
      </w:r>
      <w:r w:rsidRPr="002D2A8F">
        <w:rPr>
          <w:rFonts w:ascii="Arial" w:hAnsi="Arial" w:cs="Arial"/>
        </w:rPr>
        <w:t>.</w:t>
      </w:r>
      <w:bookmarkEnd w:id="1060"/>
    </w:p>
    <w:p w:rsidR="00504EBE" w:rsidP="00504EBE" w:rsidRDefault="00504EBE" w14:paraId="654629FB" w14:textId="65905598">
      <w:pPr>
        <w:pStyle w:val="zGNormal"/>
      </w:pPr>
      <w:r w:rsidRPr="002D2A8F">
        <w:t xml:space="preserve"> </w:t>
      </w:r>
      <w:r w:rsidR="00880CC8">
        <w:t>Each Party intends this PPA to be a “service contract” within the meaning of Section 7701(o) of the Internal Revenue Code of 1986</w:t>
      </w:r>
      <w:r w:rsidRPr="00534192">
        <w:t>.</w:t>
      </w:r>
    </w:p>
    <w:p w:rsidRPr="002D2A8F" w:rsidR="00BD1CA5" w:rsidP="00504EBE" w:rsidRDefault="00BD1CA5" w14:paraId="6386FCAA" w14:textId="77777777">
      <w:pPr>
        <w:pStyle w:val="zGTC02"/>
        <w:numPr>
          <w:ilvl w:val="0"/>
          <w:numId w:val="0"/>
        </w:numPr>
      </w:pPr>
    </w:p>
    <w:p w:rsidR="002D54C4" w:rsidRDefault="002D54C4" w14:paraId="7688BF6D" w14:textId="587CAC55">
      <w:pPr>
        <w:pStyle w:val="zGNormal6"/>
        <w:jc w:val="center"/>
        <w:rPr>
          <w:b/>
          <w:highlight w:val="yellow"/>
        </w:rPr>
      </w:pPr>
      <w:r w:rsidRPr="002D2A8F">
        <w:rPr>
          <w:b/>
          <w:bCs/>
          <w:highlight w:val="yellow"/>
        </w:rPr>
        <w:t>[Signature Page Follows]</w:t>
      </w:r>
    </w:p>
    <w:p w:rsidR="00E12CB5" w:rsidRDefault="00E12CB5" w14:paraId="41EC28E6" w14:textId="77777777">
      <w:pPr>
        <w:rPr>
          <w:rFonts w:ascii="Arial" w:hAnsi="Arial" w:cs="Arial" w:eastAsiaTheme="minorEastAsia"/>
          <w:b/>
          <w:bCs/>
          <w:kern w:val="14"/>
          <w:sz w:val="20"/>
          <w:szCs w:val="20"/>
          <w:highlight w:val="yellow"/>
        </w:rPr>
      </w:pPr>
      <w:r>
        <w:rPr>
          <w:b/>
          <w:bCs/>
          <w:highlight w:val="yellow"/>
        </w:rPr>
        <w:br w:type="page"/>
      </w:r>
    </w:p>
    <w:p w:rsidRPr="002D2A8F" w:rsidR="002D54C4" w:rsidRDefault="002D54C4" w14:paraId="50D362A8" w14:textId="77777777">
      <w:pPr>
        <w:pStyle w:val="zGNormal6"/>
        <w:jc w:val="center"/>
      </w:pPr>
    </w:p>
    <w:p w:rsidRPr="002D2A8F" w:rsidR="002D54C4" w:rsidP="00972E4E" w:rsidRDefault="002D54C4" w14:paraId="7724C2D6" w14:textId="7358BD2B">
      <w:pPr>
        <w:keepNext/>
        <w:keepLines/>
        <w:autoSpaceDE w:val="0"/>
        <w:autoSpaceDN w:val="0"/>
        <w:adjustRightInd w:val="0"/>
        <w:spacing w:before="240" w:after="240"/>
        <w:jc w:val="both"/>
        <w:rPr>
          <w:rFonts w:ascii="Arial" w:hAnsi="Arial" w:cs="Arial" w:eastAsiaTheme="minorEastAsia"/>
          <w:kern w:val="14"/>
          <w:sz w:val="20"/>
          <w:szCs w:val="20"/>
        </w:rPr>
      </w:pPr>
      <w:r w:rsidRPr="002D2A8F">
        <w:rPr>
          <w:rFonts w:ascii="Arial" w:hAnsi="Arial" w:cs="Arial" w:eastAsiaTheme="minorEastAsia"/>
          <w:b/>
          <w:kern w:val="14"/>
          <w:sz w:val="20"/>
          <w:szCs w:val="20"/>
        </w:rPr>
        <w:t xml:space="preserve">Each Party </w:t>
      </w:r>
      <w:r w:rsidRPr="002D2A8F">
        <w:rPr>
          <w:rFonts w:ascii="Arial" w:hAnsi="Arial" w:cs="Arial" w:eastAsiaTheme="minorEastAsia"/>
          <w:kern w:val="14"/>
          <w:sz w:val="20"/>
          <w:szCs w:val="20"/>
        </w:rPr>
        <w:t xml:space="preserve">agrees to all terms and conditions of this </w:t>
      </w:r>
      <w:r w:rsidRPr="002D2A8F">
        <w:rPr>
          <w:rFonts w:ascii="Arial" w:hAnsi="Arial" w:eastAsia="Batang" w:cs="Arial"/>
          <w:kern w:val="14"/>
          <w:sz w:val="20"/>
          <w:szCs w:val="20"/>
        </w:rPr>
        <w:t>PPA as of the Effective Date</w:t>
      </w:r>
      <w:r w:rsidRPr="00534192">
        <w:rPr>
          <w:rFonts w:ascii="Arial" w:hAnsi="Arial" w:eastAsia="Batang" w:cs="Arial"/>
          <w:kern w:val="14"/>
          <w:sz w:val="20"/>
          <w:szCs w:val="20"/>
        </w:rPr>
        <w:t xml:space="preserve"> (the date on which GPC signs, as shown below)</w:t>
      </w:r>
      <w:r w:rsidRPr="002D2A8F">
        <w:rPr>
          <w:rFonts w:ascii="Arial" w:hAnsi="Arial" w:cs="Arial" w:eastAsiaTheme="minorEastAsia"/>
          <w:kern w:val="14"/>
          <w:sz w:val="20"/>
          <w:szCs w:val="20"/>
        </w:rPr>
        <w:t xml:space="preserve">. The Parties may exchange counterparts of this </w:t>
      </w:r>
      <w:r w:rsidRPr="002D2A8F">
        <w:rPr>
          <w:rFonts w:ascii="Arial" w:hAnsi="Arial" w:eastAsia="Batang" w:cs="Arial"/>
          <w:kern w:val="14"/>
          <w:sz w:val="20"/>
          <w:szCs w:val="20"/>
        </w:rPr>
        <w:t>PPA</w:t>
      </w:r>
      <w:r w:rsidRPr="002D2A8F">
        <w:rPr>
          <w:rFonts w:ascii="Arial" w:hAnsi="Arial" w:cs="Arial" w:eastAsiaTheme="minorEastAsia"/>
          <w:kern w:val="14"/>
          <w:sz w:val="20"/>
          <w:szCs w:val="20"/>
        </w:rPr>
        <w:t xml:space="preserve"> as a scanned image (e.g., .pdf or .tiff file extension) as an attachment to email. An electronic or scanned signature is an original signature for all purposes.</w:t>
      </w:r>
    </w:p>
    <w:tbl>
      <w:tblPr>
        <w:tblW w:w="9936" w:type="dxa"/>
        <w:tblInd w:w="-29" w:type="dxa"/>
        <w:tblLayout w:type="fixed"/>
        <w:tblCellMar>
          <w:left w:w="29" w:type="dxa"/>
          <w:right w:w="29" w:type="dxa"/>
        </w:tblCellMar>
        <w:tblLook w:val="0000" w:firstRow="0" w:lastRow="0" w:firstColumn="0" w:lastColumn="0" w:noHBand="0" w:noVBand="0"/>
      </w:tblPr>
      <w:tblGrid>
        <w:gridCol w:w="647"/>
        <w:gridCol w:w="4020"/>
        <w:gridCol w:w="362"/>
        <w:gridCol w:w="700"/>
        <w:gridCol w:w="4207"/>
      </w:tblGrid>
      <w:tr w:rsidRPr="00604682" w:rsidR="002D54C4" w14:paraId="4D8D1E99" w14:textId="77777777">
        <w:trPr>
          <w:trHeight w:val="432"/>
        </w:trPr>
        <w:tc>
          <w:tcPr>
            <w:tcW w:w="4667" w:type="dxa"/>
            <w:gridSpan w:val="2"/>
            <w:tcBorders>
              <w:top w:val="nil"/>
              <w:left w:val="nil"/>
              <w:bottom w:val="nil"/>
              <w:right w:val="nil"/>
            </w:tcBorders>
            <w:tcMar>
              <w:top w:w="0" w:type="dxa"/>
              <w:left w:w="29" w:type="dxa"/>
              <w:bottom w:w="0" w:type="dxa"/>
              <w:right w:w="29" w:type="dxa"/>
            </w:tcMar>
          </w:tcPr>
          <w:p w:rsidRPr="00604682" w:rsidR="002D54C4" w:rsidP="004B3A6B" w:rsidRDefault="002D54C4" w14:paraId="585390E3" w14:textId="77777777">
            <w:pPr>
              <w:keepNext/>
              <w:spacing w:after="0"/>
              <w:rPr>
                <w:rFonts w:ascii="Arial" w:hAnsi="Arial" w:cs="Arial"/>
                <w:b/>
                <w:w w:val="0"/>
                <w:sz w:val="24"/>
                <w:szCs w:val="24"/>
              </w:rPr>
            </w:pPr>
            <w:r w:rsidRPr="00604682">
              <w:rPr>
                <w:rFonts w:ascii="Arial" w:hAnsi="Arial" w:cs="Arial"/>
                <w:b/>
                <w:w w:val="0"/>
                <w:sz w:val="24"/>
                <w:szCs w:val="24"/>
              </w:rPr>
              <w:t>Georgia Power Company</w:t>
            </w:r>
          </w:p>
        </w:tc>
        <w:tc>
          <w:tcPr>
            <w:tcW w:w="362" w:type="dxa"/>
            <w:tcBorders>
              <w:top w:val="nil"/>
              <w:left w:val="nil"/>
              <w:bottom w:val="nil"/>
              <w:right w:val="nil"/>
            </w:tcBorders>
            <w:tcMar>
              <w:top w:w="0" w:type="dxa"/>
              <w:left w:w="29" w:type="dxa"/>
              <w:bottom w:w="0" w:type="dxa"/>
              <w:right w:w="29" w:type="dxa"/>
            </w:tcMar>
          </w:tcPr>
          <w:p w:rsidRPr="00604682" w:rsidR="002D54C4" w:rsidP="004B3A6B" w:rsidRDefault="002D54C4" w14:paraId="18EA4C21" w14:textId="77777777">
            <w:pPr>
              <w:keepNext/>
              <w:spacing w:after="0"/>
              <w:rPr>
                <w:rFonts w:ascii="Arial" w:hAnsi="Arial" w:cs="Arial"/>
                <w:b/>
                <w:w w:val="0"/>
                <w:sz w:val="24"/>
                <w:szCs w:val="24"/>
              </w:rPr>
            </w:pPr>
          </w:p>
        </w:tc>
        <w:tc>
          <w:tcPr>
            <w:tcW w:w="4907" w:type="dxa"/>
            <w:gridSpan w:val="2"/>
            <w:tcBorders>
              <w:top w:val="nil"/>
              <w:left w:val="nil"/>
              <w:bottom w:val="nil"/>
              <w:right w:val="nil"/>
            </w:tcBorders>
            <w:tcMar>
              <w:top w:w="0" w:type="dxa"/>
              <w:left w:w="29" w:type="dxa"/>
              <w:bottom w:w="0" w:type="dxa"/>
              <w:right w:w="29" w:type="dxa"/>
            </w:tcMar>
          </w:tcPr>
          <w:p w:rsidRPr="00604682" w:rsidR="002D54C4" w:rsidP="004B3A6B" w:rsidRDefault="002D54C4" w14:paraId="6F774489" w14:textId="77777777">
            <w:pPr>
              <w:keepNext/>
              <w:spacing w:after="0"/>
              <w:rPr>
                <w:rFonts w:ascii="Arial" w:hAnsi="Arial" w:cs="Arial"/>
                <w:b/>
                <w:w w:val="0"/>
                <w:sz w:val="24"/>
                <w:szCs w:val="24"/>
                <w:highlight w:val="yellow"/>
              </w:rPr>
            </w:pPr>
            <w:r w:rsidRPr="00604682">
              <w:rPr>
                <w:rFonts w:ascii="Arial" w:hAnsi="Arial" w:cs="Arial"/>
                <w:b/>
                <w:w w:val="0"/>
                <w:sz w:val="24"/>
                <w:szCs w:val="24"/>
                <w:highlight w:val="yellow"/>
              </w:rPr>
              <w:t>#SellerLegalName#</w:t>
            </w:r>
          </w:p>
        </w:tc>
      </w:tr>
      <w:tr w:rsidRPr="002D2A8F" w:rsidR="00762716" w14:paraId="645539FF" w14:textId="77777777">
        <w:trPr>
          <w:trHeight w:val="432"/>
        </w:trPr>
        <w:tc>
          <w:tcPr>
            <w:tcW w:w="647" w:type="dxa"/>
            <w:tcBorders>
              <w:top w:val="nil"/>
              <w:left w:val="nil"/>
              <w:bottom w:val="nil"/>
              <w:right w:val="nil"/>
            </w:tcBorders>
            <w:tcMar>
              <w:top w:w="0" w:type="dxa"/>
              <w:left w:w="29" w:type="dxa"/>
              <w:bottom w:w="0" w:type="dxa"/>
              <w:right w:w="29" w:type="dxa"/>
            </w:tcMar>
            <w:vAlign w:val="bottom"/>
          </w:tcPr>
          <w:p w:rsidRPr="002D2A8F" w:rsidR="002D54C4" w:rsidP="004B3A6B" w:rsidRDefault="002D54C4" w14:paraId="39DBC3E6" w14:textId="77777777">
            <w:pPr>
              <w:spacing w:after="0"/>
              <w:jc w:val="right"/>
              <w:rPr>
                <w:rFonts w:ascii="Arial" w:hAnsi="Arial" w:cs="Arial"/>
                <w:w w:val="0"/>
                <w:sz w:val="20"/>
                <w:szCs w:val="20"/>
              </w:rPr>
            </w:pPr>
            <w:r w:rsidRPr="002D2A8F">
              <w:rPr>
                <w:rFonts w:ascii="Arial" w:hAnsi="Arial" w:cs="Arial"/>
                <w:w w:val="0"/>
                <w:sz w:val="20"/>
                <w:szCs w:val="20"/>
              </w:rPr>
              <w:t>By:</w:t>
            </w:r>
          </w:p>
        </w:tc>
        <w:tc>
          <w:tcPr>
            <w:tcW w:w="4020" w:type="dxa"/>
            <w:tcBorders>
              <w:top w:val="nil"/>
              <w:left w:val="nil"/>
              <w:bottom w:val="single" w:color="auto" w:sz="4" w:space="0"/>
              <w:right w:val="nil"/>
            </w:tcBorders>
            <w:tcMar>
              <w:top w:w="0" w:type="dxa"/>
              <w:left w:w="29" w:type="dxa"/>
              <w:bottom w:w="0" w:type="dxa"/>
              <w:right w:w="29" w:type="dxa"/>
            </w:tcMar>
            <w:vAlign w:val="bottom"/>
          </w:tcPr>
          <w:p w:rsidRPr="002D2A8F" w:rsidR="002D54C4" w:rsidP="004B3A6B" w:rsidRDefault="002D54C4" w14:paraId="3EF7331C" w14:textId="77777777">
            <w:pPr>
              <w:spacing w:after="0"/>
              <w:jc w:val="right"/>
              <w:rPr>
                <w:rFonts w:ascii="Arial" w:hAnsi="Arial" w:cs="Arial"/>
                <w:w w:val="0"/>
                <w:sz w:val="20"/>
                <w:szCs w:val="20"/>
              </w:rPr>
            </w:pPr>
          </w:p>
        </w:tc>
        <w:tc>
          <w:tcPr>
            <w:tcW w:w="362" w:type="dxa"/>
            <w:tcBorders>
              <w:top w:val="nil"/>
              <w:left w:val="nil"/>
              <w:bottom w:val="nil"/>
              <w:right w:val="nil"/>
            </w:tcBorders>
            <w:tcMar>
              <w:top w:w="0" w:type="dxa"/>
              <w:left w:w="29" w:type="dxa"/>
              <w:bottom w:w="0" w:type="dxa"/>
              <w:right w:w="29" w:type="dxa"/>
            </w:tcMar>
            <w:vAlign w:val="bottom"/>
          </w:tcPr>
          <w:p w:rsidRPr="002D2A8F" w:rsidR="002D54C4" w:rsidP="004B3A6B" w:rsidRDefault="002D54C4" w14:paraId="2C7089DF" w14:textId="77777777">
            <w:pPr>
              <w:spacing w:after="0"/>
              <w:jc w:val="right"/>
              <w:rPr>
                <w:rFonts w:ascii="Arial" w:hAnsi="Arial" w:cs="Arial"/>
                <w:w w:val="0"/>
                <w:sz w:val="20"/>
                <w:szCs w:val="20"/>
              </w:rPr>
            </w:pPr>
          </w:p>
        </w:tc>
        <w:tc>
          <w:tcPr>
            <w:tcW w:w="700" w:type="dxa"/>
            <w:tcBorders>
              <w:top w:val="nil"/>
              <w:left w:val="nil"/>
              <w:bottom w:val="nil"/>
              <w:right w:val="nil"/>
            </w:tcBorders>
            <w:tcMar>
              <w:top w:w="0" w:type="dxa"/>
              <w:left w:w="29" w:type="dxa"/>
              <w:bottom w:w="0" w:type="dxa"/>
              <w:right w:w="29" w:type="dxa"/>
            </w:tcMar>
            <w:vAlign w:val="bottom"/>
          </w:tcPr>
          <w:p w:rsidRPr="002D2A8F" w:rsidR="002D54C4" w:rsidP="004B3A6B" w:rsidRDefault="002D54C4" w14:paraId="7465FB89" w14:textId="77777777">
            <w:pPr>
              <w:spacing w:after="0"/>
              <w:jc w:val="right"/>
              <w:rPr>
                <w:rFonts w:ascii="Arial" w:hAnsi="Arial" w:cs="Arial"/>
                <w:w w:val="0"/>
                <w:sz w:val="20"/>
                <w:szCs w:val="20"/>
              </w:rPr>
            </w:pPr>
            <w:r w:rsidRPr="002D2A8F">
              <w:rPr>
                <w:rFonts w:ascii="Arial" w:hAnsi="Arial" w:cs="Arial"/>
                <w:w w:val="0"/>
                <w:sz w:val="20"/>
                <w:szCs w:val="20"/>
              </w:rPr>
              <w:t>By:</w:t>
            </w:r>
          </w:p>
        </w:tc>
        <w:tc>
          <w:tcPr>
            <w:tcW w:w="4207" w:type="dxa"/>
            <w:tcBorders>
              <w:top w:val="nil"/>
              <w:left w:val="nil"/>
              <w:bottom w:val="single" w:color="auto" w:sz="8" w:space="0"/>
              <w:right w:val="nil"/>
            </w:tcBorders>
            <w:tcMar>
              <w:top w:w="0" w:type="dxa"/>
              <w:left w:w="29" w:type="dxa"/>
              <w:bottom w:w="0" w:type="dxa"/>
              <w:right w:w="29" w:type="dxa"/>
            </w:tcMar>
            <w:vAlign w:val="bottom"/>
          </w:tcPr>
          <w:p w:rsidRPr="002D2A8F" w:rsidR="002D54C4" w:rsidP="004B3A6B" w:rsidRDefault="002D54C4" w14:paraId="076FBA92" w14:textId="77777777">
            <w:pPr>
              <w:spacing w:after="0"/>
              <w:jc w:val="right"/>
              <w:rPr>
                <w:rFonts w:ascii="Arial" w:hAnsi="Arial" w:cs="Arial"/>
                <w:b/>
                <w:w w:val="0"/>
                <w:sz w:val="20"/>
                <w:szCs w:val="20"/>
                <w:u w:val="single"/>
              </w:rPr>
            </w:pPr>
          </w:p>
        </w:tc>
      </w:tr>
      <w:tr w:rsidRPr="002D2A8F" w:rsidR="002D54C4" w14:paraId="5B163372" w14:textId="77777777">
        <w:tc>
          <w:tcPr>
            <w:tcW w:w="647" w:type="dxa"/>
            <w:tcBorders>
              <w:top w:val="nil"/>
              <w:left w:val="nil"/>
              <w:bottom w:val="nil"/>
              <w:right w:val="nil"/>
            </w:tcBorders>
            <w:tcMar>
              <w:top w:w="0" w:type="dxa"/>
              <w:left w:w="29" w:type="dxa"/>
              <w:bottom w:w="0" w:type="dxa"/>
              <w:right w:w="29" w:type="dxa"/>
            </w:tcMar>
            <w:vAlign w:val="bottom"/>
          </w:tcPr>
          <w:p w:rsidRPr="002D2A8F" w:rsidR="002D54C4" w:rsidP="004B3A6B" w:rsidRDefault="002D54C4" w14:paraId="349EC600" w14:textId="77777777">
            <w:pPr>
              <w:spacing w:after="0"/>
              <w:jc w:val="right"/>
              <w:rPr>
                <w:rFonts w:ascii="Arial" w:hAnsi="Arial" w:cs="Arial"/>
                <w:w w:val="0"/>
                <w:sz w:val="20"/>
                <w:szCs w:val="20"/>
              </w:rPr>
            </w:pPr>
          </w:p>
        </w:tc>
        <w:tc>
          <w:tcPr>
            <w:tcW w:w="4020" w:type="dxa"/>
            <w:tcBorders>
              <w:top w:val="nil"/>
              <w:left w:val="nil"/>
              <w:bottom w:val="nil"/>
              <w:right w:val="nil"/>
            </w:tcBorders>
            <w:tcMar>
              <w:top w:w="0" w:type="dxa"/>
              <w:left w:w="29" w:type="dxa"/>
              <w:bottom w:w="0" w:type="dxa"/>
              <w:right w:w="29" w:type="dxa"/>
            </w:tcMar>
            <w:vAlign w:val="bottom"/>
          </w:tcPr>
          <w:p w:rsidRPr="002D2A8F" w:rsidR="002D54C4" w:rsidP="004B3A6B" w:rsidRDefault="002D54C4" w14:paraId="4A1ECA16" w14:textId="77777777">
            <w:pPr>
              <w:spacing w:after="0"/>
              <w:rPr>
                <w:rFonts w:ascii="Arial" w:hAnsi="Arial" w:cs="Arial"/>
                <w:w w:val="0"/>
                <w:sz w:val="20"/>
                <w:szCs w:val="20"/>
                <w:highlight w:val="yellow"/>
              </w:rPr>
            </w:pPr>
            <w:r w:rsidRPr="002D2A8F">
              <w:rPr>
                <w:rFonts w:ascii="Arial" w:hAnsi="Arial" w:cs="Arial"/>
                <w:w w:val="0"/>
                <w:sz w:val="20"/>
                <w:szCs w:val="20"/>
                <w:highlight w:val="yellow"/>
              </w:rPr>
              <w:t>#Name</w:t>
            </w:r>
          </w:p>
        </w:tc>
        <w:tc>
          <w:tcPr>
            <w:tcW w:w="362" w:type="dxa"/>
            <w:tcBorders>
              <w:top w:val="nil"/>
              <w:left w:val="nil"/>
              <w:bottom w:val="nil"/>
              <w:right w:val="nil"/>
            </w:tcBorders>
            <w:tcMar>
              <w:top w:w="0" w:type="dxa"/>
              <w:left w:w="29" w:type="dxa"/>
              <w:bottom w:w="0" w:type="dxa"/>
              <w:right w:w="29" w:type="dxa"/>
            </w:tcMar>
            <w:vAlign w:val="bottom"/>
          </w:tcPr>
          <w:p w:rsidRPr="002D2A8F" w:rsidR="002D54C4" w:rsidP="004B3A6B" w:rsidRDefault="002D54C4" w14:paraId="1A3B90E6" w14:textId="77777777">
            <w:pPr>
              <w:spacing w:after="0"/>
              <w:rPr>
                <w:rFonts w:ascii="Arial" w:hAnsi="Arial" w:cs="Arial"/>
                <w:w w:val="0"/>
                <w:sz w:val="20"/>
                <w:szCs w:val="20"/>
                <w:highlight w:val="yellow"/>
              </w:rPr>
            </w:pPr>
          </w:p>
        </w:tc>
        <w:tc>
          <w:tcPr>
            <w:tcW w:w="700" w:type="dxa"/>
            <w:tcBorders>
              <w:top w:val="nil"/>
              <w:left w:val="nil"/>
              <w:bottom w:val="nil"/>
              <w:right w:val="nil"/>
            </w:tcBorders>
            <w:tcMar>
              <w:top w:w="0" w:type="dxa"/>
              <w:left w:w="29" w:type="dxa"/>
              <w:bottom w:w="0" w:type="dxa"/>
              <w:right w:w="29" w:type="dxa"/>
            </w:tcMar>
            <w:vAlign w:val="bottom"/>
          </w:tcPr>
          <w:p w:rsidRPr="002D2A8F" w:rsidR="002D54C4" w:rsidP="004B3A6B" w:rsidRDefault="002D54C4" w14:paraId="7A329866" w14:textId="77777777">
            <w:pPr>
              <w:spacing w:after="0"/>
              <w:rPr>
                <w:rFonts w:ascii="Arial" w:hAnsi="Arial" w:cs="Arial"/>
                <w:w w:val="0"/>
                <w:sz w:val="20"/>
                <w:szCs w:val="20"/>
              </w:rPr>
            </w:pPr>
          </w:p>
        </w:tc>
        <w:tc>
          <w:tcPr>
            <w:tcW w:w="4207" w:type="dxa"/>
            <w:tcBorders>
              <w:top w:val="nil"/>
              <w:left w:val="nil"/>
              <w:bottom w:val="nil"/>
              <w:right w:val="nil"/>
            </w:tcBorders>
            <w:tcMar>
              <w:top w:w="0" w:type="dxa"/>
              <w:left w:w="29" w:type="dxa"/>
              <w:bottom w:w="0" w:type="dxa"/>
              <w:right w:w="29" w:type="dxa"/>
            </w:tcMar>
            <w:vAlign w:val="bottom"/>
          </w:tcPr>
          <w:p w:rsidRPr="002D2A8F" w:rsidR="002D54C4" w:rsidP="004B3A6B" w:rsidRDefault="002D54C4" w14:paraId="020D80E3" w14:textId="77777777">
            <w:pPr>
              <w:spacing w:after="0"/>
              <w:rPr>
                <w:rFonts w:ascii="Arial" w:hAnsi="Arial" w:cs="Arial"/>
                <w:w w:val="0"/>
                <w:sz w:val="20"/>
                <w:szCs w:val="20"/>
                <w:highlight w:val="yellow"/>
              </w:rPr>
            </w:pPr>
            <w:r w:rsidRPr="002D2A8F">
              <w:rPr>
                <w:rFonts w:ascii="Arial" w:hAnsi="Arial" w:cs="Arial"/>
                <w:w w:val="0"/>
                <w:sz w:val="20"/>
                <w:szCs w:val="20"/>
                <w:highlight w:val="yellow"/>
              </w:rPr>
              <w:t>#SellerSignatureName</w:t>
            </w:r>
          </w:p>
        </w:tc>
      </w:tr>
      <w:tr w:rsidRPr="002D2A8F" w:rsidR="002D54C4" w14:paraId="54AC8BCB" w14:textId="77777777">
        <w:tc>
          <w:tcPr>
            <w:tcW w:w="647" w:type="dxa"/>
            <w:tcBorders>
              <w:top w:val="nil"/>
              <w:left w:val="nil"/>
              <w:bottom w:val="nil"/>
              <w:right w:val="nil"/>
            </w:tcBorders>
            <w:tcMar>
              <w:top w:w="0" w:type="dxa"/>
              <w:left w:w="29" w:type="dxa"/>
              <w:bottom w:w="0" w:type="dxa"/>
              <w:right w:w="29" w:type="dxa"/>
            </w:tcMar>
            <w:vAlign w:val="bottom"/>
          </w:tcPr>
          <w:p w:rsidRPr="002D2A8F" w:rsidR="002D54C4" w:rsidP="004B3A6B" w:rsidRDefault="002D54C4" w14:paraId="7DC071FB" w14:textId="77777777">
            <w:pPr>
              <w:spacing w:after="0"/>
              <w:jc w:val="right"/>
              <w:rPr>
                <w:rFonts w:ascii="Arial" w:hAnsi="Arial" w:cs="Arial"/>
                <w:w w:val="0"/>
                <w:sz w:val="20"/>
                <w:szCs w:val="20"/>
              </w:rPr>
            </w:pPr>
          </w:p>
        </w:tc>
        <w:tc>
          <w:tcPr>
            <w:tcW w:w="4020" w:type="dxa"/>
            <w:tcBorders>
              <w:top w:val="nil"/>
              <w:left w:val="nil"/>
              <w:bottom w:val="nil"/>
              <w:right w:val="nil"/>
            </w:tcBorders>
            <w:tcMar>
              <w:top w:w="0" w:type="dxa"/>
              <w:left w:w="29" w:type="dxa"/>
              <w:bottom w:w="0" w:type="dxa"/>
              <w:right w:w="29" w:type="dxa"/>
            </w:tcMar>
            <w:vAlign w:val="bottom"/>
          </w:tcPr>
          <w:p w:rsidRPr="002D2A8F" w:rsidR="002D54C4" w:rsidP="004B3A6B" w:rsidRDefault="002D54C4" w14:paraId="5AE1ABA9" w14:textId="77777777">
            <w:pPr>
              <w:spacing w:after="0"/>
              <w:rPr>
                <w:rFonts w:ascii="Arial" w:hAnsi="Arial" w:cs="Arial"/>
                <w:w w:val="0"/>
                <w:sz w:val="20"/>
                <w:szCs w:val="20"/>
                <w:highlight w:val="yellow"/>
              </w:rPr>
            </w:pPr>
            <w:r w:rsidRPr="002D2A8F">
              <w:rPr>
                <w:rFonts w:ascii="Arial" w:hAnsi="Arial" w:cs="Arial"/>
                <w:w w:val="0"/>
                <w:sz w:val="20"/>
                <w:szCs w:val="20"/>
                <w:highlight w:val="yellow"/>
              </w:rPr>
              <w:t>#Title</w:t>
            </w:r>
          </w:p>
        </w:tc>
        <w:tc>
          <w:tcPr>
            <w:tcW w:w="362" w:type="dxa"/>
            <w:tcBorders>
              <w:top w:val="nil"/>
              <w:left w:val="nil"/>
              <w:bottom w:val="nil"/>
              <w:right w:val="nil"/>
            </w:tcBorders>
            <w:tcMar>
              <w:top w:w="0" w:type="dxa"/>
              <w:left w:w="29" w:type="dxa"/>
              <w:bottom w:w="0" w:type="dxa"/>
              <w:right w:w="29" w:type="dxa"/>
            </w:tcMar>
            <w:vAlign w:val="bottom"/>
          </w:tcPr>
          <w:p w:rsidRPr="002D2A8F" w:rsidR="002D54C4" w:rsidP="004B3A6B" w:rsidRDefault="002D54C4" w14:paraId="1E834771" w14:textId="77777777">
            <w:pPr>
              <w:spacing w:after="0"/>
              <w:rPr>
                <w:rFonts w:ascii="Arial" w:hAnsi="Arial" w:cs="Arial"/>
                <w:w w:val="0"/>
                <w:sz w:val="20"/>
                <w:szCs w:val="20"/>
                <w:highlight w:val="yellow"/>
              </w:rPr>
            </w:pPr>
          </w:p>
        </w:tc>
        <w:tc>
          <w:tcPr>
            <w:tcW w:w="700" w:type="dxa"/>
            <w:tcBorders>
              <w:top w:val="nil"/>
              <w:left w:val="nil"/>
              <w:bottom w:val="nil"/>
              <w:right w:val="nil"/>
            </w:tcBorders>
            <w:tcMar>
              <w:top w:w="0" w:type="dxa"/>
              <w:left w:w="29" w:type="dxa"/>
              <w:bottom w:w="0" w:type="dxa"/>
              <w:right w:w="29" w:type="dxa"/>
            </w:tcMar>
            <w:vAlign w:val="bottom"/>
          </w:tcPr>
          <w:p w:rsidRPr="002D2A8F" w:rsidR="002D54C4" w:rsidP="004B3A6B" w:rsidRDefault="002D54C4" w14:paraId="2D5873BF" w14:textId="77777777">
            <w:pPr>
              <w:spacing w:after="0"/>
              <w:rPr>
                <w:rFonts w:ascii="Arial" w:hAnsi="Arial" w:cs="Arial"/>
                <w:w w:val="0"/>
                <w:sz w:val="20"/>
                <w:szCs w:val="20"/>
              </w:rPr>
            </w:pPr>
          </w:p>
        </w:tc>
        <w:tc>
          <w:tcPr>
            <w:tcW w:w="4207" w:type="dxa"/>
            <w:tcBorders>
              <w:top w:val="nil"/>
              <w:left w:val="nil"/>
              <w:bottom w:val="nil"/>
              <w:right w:val="nil"/>
            </w:tcBorders>
            <w:tcMar>
              <w:top w:w="0" w:type="dxa"/>
              <w:left w:w="29" w:type="dxa"/>
              <w:bottom w:w="0" w:type="dxa"/>
              <w:right w:w="29" w:type="dxa"/>
            </w:tcMar>
            <w:vAlign w:val="bottom"/>
          </w:tcPr>
          <w:p w:rsidRPr="002D2A8F" w:rsidR="002D54C4" w:rsidP="004B3A6B" w:rsidRDefault="002D54C4" w14:paraId="355D3AFB" w14:textId="77777777">
            <w:pPr>
              <w:spacing w:after="0"/>
              <w:rPr>
                <w:rFonts w:ascii="Arial" w:hAnsi="Arial" w:cs="Arial"/>
                <w:w w:val="0"/>
                <w:sz w:val="20"/>
                <w:szCs w:val="20"/>
                <w:highlight w:val="yellow"/>
              </w:rPr>
            </w:pPr>
            <w:r w:rsidRPr="002D2A8F">
              <w:rPr>
                <w:rFonts w:ascii="Arial" w:hAnsi="Arial" w:cs="Arial"/>
                <w:w w:val="0"/>
                <w:sz w:val="20"/>
                <w:szCs w:val="20"/>
                <w:highlight w:val="yellow"/>
              </w:rPr>
              <w:t>#SellerSignatureTitle</w:t>
            </w:r>
          </w:p>
        </w:tc>
      </w:tr>
      <w:tr w:rsidRPr="002D2A8F" w:rsidR="00762716" w14:paraId="5700F9B6" w14:textId="77777777">
        <w:trPr>
          <w:trHeight w:val="432"/>
        </w:trPr>
        <w:tc>
          <w:tcPr>
            <w:tcW w:w="647" w:type="dxa"/>
            <w:tcBorders>
              <w:top w:val="nil"/>
              <w:left w:val="nil"/>
              <w:bottom w:val="nil"/>
              <w:right w:val="nil"/>
            </w:tcBorders>
            <w:tcMar>
              <w:top w:w="0" w:type="dxa"/>
              <w:left w:w="29" w:type="dxa"/>
              <w:bottom w:w="0" w:type="dxa"/>
              <w:right w:w="29" w:type="dxa"/>
            </w:tcMar>
            <w:vAlign w:val="bottom"/>
          </w:tcPr>
          <w:p w:rsidRPr="002D2A8F" w:rsidR="002D54C4" w:rsidP="004B3A6B" w:rsidRDefault="002D54C4" w14:paraId="7A7BD810" w14:textId="77777777">
            <w:pPr>
              <w:spacing w:after="0"/>
              <w:jc w:val="right"/>
              <w:rPr>
                <w:rFonts w:ascii="Arial" w:hAnsi="Arial" w:cs="Arial"/>
                <w:w w:val="0"/>
                <w:sz w:val="20"/>
                <w:szCs w:val="20"/>
              </w:rPr>
            </w:pPr>
            <w:r w:rsidRPr="002D2A8F">
              <w:rPr>
                <w:rFonts w:ascii="Arial" w:hAnsi="Arial" w:cs="Arial"/>
                <w:w w:val="0"/>
                <w:sz w:val="20"/>
                <w:szCs w:val="20"/>
              </w:rPr>
              <w:t>Date:</w:t>
            </w:r>
          </w:p>
        </w:tc>
        <w:tc>
          <w:tcPr>
            <w:tcW w:w="4020" w:type="dxa"/>
            <w:tcBorders>
              <w:top w:val="nil"/>
              <w:left w:val="nil"/>
              <w:bottom w:val="single" w:color="auto" w:sz="8" w:space="0"/>
              <w:right w:val="nil"/>
            </w:tcBorders>
            <w:tcMar>
              <w:top w:w="0" w:type="dxa"/>
              <w:left w:w="29" w:type="dxa"/>
              <w:bottom w:w="0" w:type="dxa"/>
              <w:right w:w="29" w:type="dxa"/>
            </w:tcMar>
            <w:vAlign w:val="bottom"/>
          </w:tcPr>
          <w:p w:rsidRPr="002D2A8F" w:rsidR="002D54C4" w:rsidP="004B3A6B" w:rsidRDefault="002D54C4" w14:paraId="7C1CDE89" w14:textId="77777777">
            <w:pPr>
              <w:spacing w:after="0"/>
              <w:jc w:val="right"/>
              <w:rPr>
                <w:rFonts w:ascii="Arial" w:hAnsi="Arial" w:cs="Arial"/>
                <w:b/>
                <w:w w:val="0"/>
                <w:sz w:val="20"/>
                <w:szCs w:val="20"/>
                <w:u w:val="single"/>
              </w:rPr>
            </w:pPr>
          </w:p>
        </w:tc>
        <w:tc>
          <w:tcPr>
            <w:tcW w:w="362" w:type="dxa"/>
            <w:tcBorders>
              <w:top w:val="nil"/>
              <w:left w:val="nil"/>
              <w:bottom w:val="nil"/>
              <w:right w:val="nil"/>
            </w:tcBorders>
            <w:tcMar>
              <w:top w:w="0" w:type="dxa"/>
              <w:left w:w="29" w:type="dxa"/>
              <w:bottom w:w="0" w:type="dxa"/>
              <w:right w:w="29" w:type="dxa"/>
            </w:tcMar>
            <w:vAlign w:val="bottom"/>
          </w:tcPr>
          <w:p w:rsidRPr="002D2A8F" w:rsidR="002D54C4" w:rsidP="004B3A6B" w:rsidRDefault="002D54C4" w14:paraId="7A92305E" w14:textId="77777777">
            <w:pPr>
              <w:spacing w:after="0"/>
              <w:jc w:val="right"/>
              <w:rPr>
                <w:rFonts w:ascii="Arial" w:hAnsi="Arial" w:cs="Arial"/>
                <w:w w:val="0"/>
                <w:sz w:val="20"/>
                <w:szCs w:val="20"/>
              </w:rPr>
            </w:pPr>
          </w:p>
        </w:tc>
        <w:tc>
          <w:tcPr>
            <w:tcW w:w="700" w:type="dxa"/>
            <w:tcBorders>
              <w:top w:val="nil"/>
              <w:left w:val="nil"/>
              <w:bottom w:val="nil"/>
              <w:right w:val="nil"/>
            </w:tcBorders>
            <w:tcMar>
              <w:top w:w="0" w:type="dxa"/>
              <w:left w:w="29" w:type="dxa"/>
              <w:bottom w:w="0" w:type="dxa"/>
              <w:right w:w="29" w:type="dxa"/>
            </w:tcMar>
            <w:vAlign w:val="bottom"/>
          </w:tcPr>
          <w:p w:rsidRPr="002D2A8F" w:rsidR="002D54C4" w:rsidP="004B3A6B" w:rsidRDefault="002D54C4" w14:paraId="55567710" w14:textId="77777777">
            <w:pPr>
              <w:spacing w:after="0"/>
              <w:jc w:val="right"/>
              <w:rPr>
                <w:rFonts w:ascii="Arial" w:hAnsi="Arial" w:cs="Arial"/>
                <w:w w:val="0"/>
                <w:sz w:val="20"/>
                <w:szCs w:val="20"/>
              </w:rPr>
            </w:pPr>
            <w:r w:rsidRPr="002D2A8F">
              <w:rPr>
                <w:rFonts w:ascii="Arial" w:hAnsi="Arial" w:cs="Arial"/>
                <w:w w:val="0"/>
                <w:sz w:val="20"/>
                <w:szCs w:val="20"/>
              </w:rPr>
              <w:t>Date:</w:t>
            </w:r>
          </w:p>
        </w:tc>
        <w:tc>
          <w:tcPr>
            <w:tcW w:w="4207" w:type="dxa"/>
            <w:tcBorders>
              <w:top w:val="nil"/>
              <w:left w:val="nil"/>
              <w:bottom w:val="single" w:color="auto" w:sz="8" w:space="0"/>
              <w:right w:val="nil"/>
            </w:tcBorders>
            <w:tcMar>
              <w:top w:w="0" w:type="dxa"/>
              <w:left w:w="29" w:type="dxa"/>
              <w:bottom w:w="0" w:type="dxa"/>
              <w:right w:w="29" w:type="dxa"/>
            </w:tcMar>
            <w:vAlign w:val="bottom"/>
          </w:tcPr>
          <w:p w:rsidRPr="002D2A8F" w:rsidR="002D54C4" w:rsidP="004B3A6B" w:rsidRDefault="002D54C4" w14:paraId="712296D2" w14:textId="77777777">
            <w:pPr>
              <w:spacing w:after="0"/>
              <w:jc w:val="right"/>
              <w:rPr>
                <w:rFonts w:ascii="Arial" w:hAnsi="Arial" w:cs="Arial"/>
                <w:b/>
                <w:w w:val="0"/>
                <w:sz w:val="20"/>
                <w:szCs w:val="20"/>
                <w:u w:val="single"/>
              </w:rPr>
            </w:pPr>
          </w:p>
        </w:tc>
      </w:tr>
    </w:tbl>
    <w:p w:rsidRPr="002D2A8F" w:rsidR="004402FF" w:rsidP="004B3A6B" w:rsidRDefault="004402FF" w14:paraId="23DFDE87" w14:textId="77777777">
      <w:pPr>
        <w:spacing w:after="0"/>
        <w:rPr>
          <w:rFonts w:ascii="Arial" w:hAnsi="Arial" w:eastAsia="Times New Roman" w:cs="Arial"/>
          <w:b/>
          <w:u w:val="single"/>
        </w:rPr>
      </w:pPr>
    </w:p>
    <w:p w:rsidRPr="002D2A8F" w:rsidR="00EB09FC" w:rsidRDefault="00EB09FC" w14:paraId="5425137B" w14:textId="77777777">
      <w:pPr>
        <w:rPr>
          <w:rFonts w:ascii="Arial" w:hAnsi="Arial" w:eastAsia="Times New Roman" w:cs="Arial"/>
          <w:b/>
          <w:u w:val="single"/>
        </w:rPr>
        <w:sectPr w:rsidRPr="002D2A8F" w:rsidR="00EB09FC" w:rsidSect="003B614F">
          <w:pgSz w:w="12240" w:h="15840" w:code="1"/>
          <w:pgMar w:top="1440" w:right="1440" w:bottom="1440" w:left="1440" w:header="720" w:footer="720" w:gutter="0"/>
          <w:paperSrc w:first="15" w:other="15"/>
          <w:cols w:space="1440"/>
        </w:sectPr>
      </w:pPr>
      <w:r w:rsidRPr="002D2A8F">
        <w:rPr>
          <w:rFonts w:ascii="Arial" w:hAnsi="Arial" w:eastAsia="Times New Roman" w:cs="Arial"/>
          <w:b/>
          <w:u w:val="single"/>
        </w:rPr>
        <w:br w:type="page"/>
      </w:r>
    </w:p>
    <w:p w:rsidRPr="002D2A8F" w:rsidR="002D54C4" w:rsidP="004B3A6B" w:rsidRDefault="002D54C4" w14:paraId="77205293" w14:textId="77777777">
      <w:pPr>
        <w:spacing w:after="0"/>
        <w:rPr>
          <w:rFonts w:ascii="Arial" w:hAnsi="Arial" w:eastAsia="Times New Roman" w:cs="Arial"/>
          <w:b/>
          <w:u w:val="single"/>
        </w:rPr>
      </w:pPr>
    </w:p>
    <w:p w:rsidRPr="002D2A8F" w:rsidR="002D54C4" w:rsidP="002D54C4" w:rsidRDefault="002D54C4" w14:paraId="0DA70AD7" w14:textId="2DB0E3A0">
      <w:pPr>
        <w:pStyle w:val="zGTitleExhibit"/>
        <w:rPr>
          <w:rFonts w:eastAsia="Calibri" w:cs="Arial"/>
        </w:rPr>
      </w:pPr>
      <w:bookmarkStart w:name="_Toc169778714" w:id="1061"/>
      <w:bookmarkStart w:name="_Toc227451479" w:id="1062"/>
      <w:r w:rsidRPr="002D2A8F">
        <w:rPr>
          <w:rFonts w:eastAsia="Calibri" w:cs="Arial"/>
        </w:rPr>
        <w:t xml:space="preserve">EXHIBIT A </w:t>
      </w:r>
      <w:r w:rsidRPr="002D2A8F">
        <w:rPr>
          <w:rFonts w:eastAsia="Arial" w:cs="Arial"/>
        </w:rPr>
        <w:t>–</w:t>
      </w:r>
      <w:r w:rsidRPr="002D2A8F">
        <w:rPr>
          <w:rFonts w:cs="Arial"/>
        </w:rPr>
        <w:t xml:space="preserve"> </w:t>
      </w:r>
      <w:r w:rsidRPr="002D2A8F">
        <w:rPr>
          <w:rFonts w:eastAsia="Calibri" w:cs="Arial"/>
        </w:rPr>
        <w:t xml:space="preserve">FACILITY DESCRIPTION AND </w:t>
      </w:r>
      <w:r w:rsidR="008C2F94">
        <w:rPr>
          <w:rFonts w:eastAsia="Calibri" w:cs="Arial"/>
        </w:rPr>
        <w:t>ADDItional Details</w:t>
      </w:r>
      <w:bookmarkEnd w:id="1061"/>
      <w:bookmarkEnd w:id="1062"/>
    </w:p>
    <w:tbl>
      <w:tblPr>
        <w:tblStyle w:val="TableGrid"/>
        <w:tblW w:w="0" w:type="auto"/>
        <w:tblLook w:val="04A0" w:firstRow="1" w:lastRow="0" w:firstColumn="1" w:lastColumn="0" w:noHBand="0" w:noVBand="1"/>
      </w:tblPr>
      <w:tblGrid>
        <w:gridCol w:w="2245"/>
        <w:gridCol w:w="7105"/>
      </w:tblGrid>
      <w:tr w:rsidR="00F93BA7" w14:paraId="00454C07" w14:textId="77777777">
        <w:tc>
          <w:tcPr>
            <w:tcW w:w="9350" w:type="dxa"/>
            <w:gridSpan w:val="2"/>
          </w:tcPr>
          <w:p w:rsidR="00F93BA7" w:rsidRDefault="00F93BA7" w14:paraId="18DD0800" w14:textId="77777777">
            <w:pPr>
              <w:jc w:val="center"/>
              <w:rPr>
                <w:rFonts w:cs="Arial"/>
                <w:b/>
                <w:bCs/>
              </w:rPr>
            </w:pPr>
            <w:r>
              <w:rPr>
                <w:rFonts w:cs="Arial"/>
                <w:b/>
                <w:bCs/>
              </w:rPr>
              <w:t xml:space="preserve">Table A-1 </w:t>
            </w:r>
          </w:p>
          <w:p w:rsidRPr="00B665C3" w:rsidR="00F93BA7" w:rsidRDefault="00F93BA7" w14:paraId="7288AC42" w14:textId="77777777">
            <w:pPr>
              <w:jc w:val="center"/>
              <w:rPr>
                <w:rFonts w:cs="Arial"/>
                <w:highlight w:val="yellow"/>
                <w:shd w:val="clear" w:color="auto" w:fill="E6E6E6"/>
              </w:rPr>
            </w:pPr>
            <w:r>
              <w:rPr>
                <w:rFonts w:cs="Arial"/>
                <w:b/>
                <w:bCs/>
              </w:rPr>
              <w:t>Facility and Site Information</w:t>
            </w:r>
          </w:p>
        </w:tc>
      </w:tr>
      <w:tr w:rsidR="00F93BA7" w14:paraId="41288F91" w14:textId="77777777">
        <w:tc>
          <w:tcPr>
            <w:tcW w:w="2245" w:type="dxa"/>
          </w:tcPr>
          <w:p w:rsidRPr="00A83279" w:rsidR="00F93BA7" w:rsidRDefault="00F93BA7" w14:paraId="7D825951" w14:textId="77777777">
            <w:pPr>
              <w:spacing w:after="120"/>
              <w:jc w:val="left"/>
              <w:rPr>
                <w:b/>
                <w:bCs/>
              </w:rPr>
            </w:pPr>
            <w:r w:rsidRPr="00A83279">
              <w:rPr>
                <w:rFonts w:cs="Arial"/>
                <w:b/>
                <w:bCs/>
              </w:rPr>
              <w:t>Site</w:t>
            </w:r>
          </w:p>
        </w:tc>
        <w:tc>
          <w:tcPr>
            <w:tcW w:w="7105" w:type="dxa"/>
          </w:tcPr>
          <w:p w:rsidR="00F93BA7" w:rsidRDefault="00F93BA7" w14:paraId="0CA98226" w14:textId="77777777">
            <w:pPr>
              <w:spacing w:after="120"/>
              <w:rPr>
                <w:rFonts w:cs="Arial"/>
                <w:shd w:val="clear" w:color="auto" w:fill="E6E6E6"/>
              </w:rPr>
            </w:pPr>
            <w:r w:rsidRPr="00B665C3">
              <w:rPr>
                <w:rFonts w:cs="Arial"/>
                <w:highlight w:val="yellow"/>
                <w:shd w:val="clear" w:color="auto" w:fill="E6E6E6"/>
              </w:rPr>
              <w:t>#Street Address#</w:t>
            </w:r>
          </w:p>
          <w:p w:rsidR="00F93BA7" w:rsidRDefault="00F93BA7" w14:paraId="5DF2A81F" w14:textId="77777777">
            <w:pPr>
              <w:spacing w:after="120"/>
              <w:rPr>
                <w:b/>
                <w:bCs/>
              </w:rPr>
            </w:pPr>
            <w:r w:rsidRPr="7EF8BE6E">
              <w:rPr>
                <w:rFonts w:cs="Arial"/>
                <w:highlight w:val="yellow"/>
              </w:rPr>
              <w:t>#City</w:t>
            </w:r>
            <w:r w:rsidRPr="00A83279">
              <w:rPr>
                <w:rFonts w:cs="Arial"/>
              </w:rPr>
              <w:t xml:space="preserve">, </w:t>
            </w:r>
            <w:r>
              <w:rPr>
                <w:rFonts w:cs="Arial"/>
                <w:highlight w:val="yellow"/>
              </w:rPr>
              <w:t>#S</w:t>
            </w:r>
            <w:r w:rsidRPr="7EF8BE6E">
              <w:rPr>
                <w:rFonts w:cs="Arial"/>
                <w:highlight w:val="yellow"/>
              </w:rPr>
              <w:t>tate</w:t>
            </w:r>
            <w:r w:rsidRPr="00A83279">
              <w:rPr>
                <w:rFonts w:cs="Arial"/>
              </w:rPr>
              <w:t xml:space="preserve">, </w:t>
            </w:r>
            <w:r>
              <w:rPr>
                <w:rFonts w:cs="Arial"/>
                <w:highlight w:val="yellow"/>
              </w:rPr>
              <w:t>#Z</w:t>
            </w:r>
            <w:r w:rsidRPr="7EF8BE6E">
              <w:rPr>
                <w:rFonts w:cs="Arial"/>
                <w:highlight w:val="yellow"/>
              </w:rPr>
              <w:t>ipCode</w:t>
            </w:r>
          </w:p>
        </w:tc>
      </w:tr>
      <w:tr w:rsidR="00F93BA7" w14:paraId="4CA19605" w14:textId="77777777">
        <w:tc>
          <w:tcPr>
            <w:tcW w:w="2245" w:type="dxa"/>
          </w:tcPr>
          <w:p w:rsidR="00F93BA7" w:rsidRDefault="00F93BA7" w14:paraId="4C189381" w14:textId="77777777">
            <w:pPr>
              <w:spacing w:after="120"/>
              <w:jc w:val="left"/>
              <w:rPr>
                <w:b/>
                <w:bCs/>
              </w:rPr>
            </w:pPr>
            <w:r>
              <w:rPr>
                <w:b/>
                <w:bCs/>
              </w:rPr>
              <w:t>GPS Coordinates</w:t>
            </w:r>
          </w:p>
        </w:tc>
        <w:tc>
          <w:tcPr>
            <w:tcW w:w="7105" w:type="dxa"/>
          </w:tcPr>
          <w:p w:rsidR="00F93BA7" w:rsidRDefault="00F93BA7" w14:paraId="65DF8FEE" w14:textId="77777777">
            <w:pPr>
              <w:spacing w:after="120"/>
              <w:rPr>
                <w:b/>
                <w:bCs/>
              </w:rPr>
            </w:pPr>
            <w:r w:rsidRPr="00BA67EA">
              <w:rPr>
                <w:highlight w:val="yellow"/>
              </w:rPr>
              <w:t>#Latitude</w:t>
            </w:r>
            <w:r>
              <w:t>,</w:t>
            </w:r>
            <w:r w:rsidRPr="7EF8BE6E">
              <w:t xml:space="preserve"> </w:t>
            </w:r>
            <w:r w:rsidRPr="00BA67EA">
              <w:rPr>
                <w:highlight w:val="yellow"/>
              </w:rPr>
              <w:t>#Longitude</w:t>
            </w:r>
            <w:r w:rsidRPr="7EF8BE6E">
              <w:t xml:space="preserve"> </w:t>
            </w:r>
          </w:p>
        </w:tc>
      </w:tr>
      <w:tr w:rsidR="00F93BA7" w14:paraId="33382B50" w14:textId="77777777">
        <w:tc>
          <w:tcPr>
            <w:tcW w:w="2245" w:type="dxa"/>
          </w:tcPr>
          <w:p w:rsidR="00F93BA7" w:rsidRDefault="00F93BA7" w14:paraId="6E05219E" w14:textId="77777777">
            <w:pPr>
              <w:jc w:val="left"/>
              <w:rPr>
                <w:b/>
                <w:bCs/>
              </w:rPr>
            </w:pPr>
            <w:r>
              <w:rPr>
                <w:b/>
                <w:bCs/>
              </w:rPr>
              <w:t>Seller Information</w:t>
            </w:r>
          </w:p>
        </w:tc>
        <w:tc>
          <w:tcPr>
            <w:tcW w:w="7105" w:type="dxa"/>
          </w:tcPr>
          <w:p w:rsidRPr="00BA67EA" w:rsidR="00F93BA7" w:rsidRDefault="00F93BA7" w14:paraId="55E7A880" w14:textId="77777777">
            <w:pPr>
              <w:rPr>
                <w:highlight w:val="yellow"/>
              </w:rPr>
            </w:pPr>
            <w:r>
              <w:rPr>
                <w:rFonts w:cs="Arial"/>
                <w:highlight w:val="yellow"/>
              </w:rPr>
              <w:t>#SellerName</w:t>
            </w:r>
            <w:r w:rsidRPr="00950CE8">
              <w:rPr>
                <w:rFonts w:cs="Arial"/>
              </w:rPr>
              <w:t xml:space="preserve">, a </w:t>
            </w:r>
            <w:r w:rsidRPr="00CE1C6B">
              <w:rPr>
                <w:rFonts w:cs="Arial"/>
                <w:highlight w:val="yellow"/>
              </w:rPr>
              <w:t>#Seller Entity Type#</w:t>
            </w:r>
            <w:r>
              <w:rPr>
                <w:rFonts w:cs="Arial"/>
              </w:rPr>
              <w:t xml:space="preserve">, organized under the laws of the state of </w:t>
            </w:r>
            <w:r w:rsidRPr="00CE1C6B">
              <w:rPr>
                <w:rFonts w:cs="Arial"/>
                <w:highlight w:val="yellow"/>
              </w:rPr>
              <w:t>#State#</w:t>
            </w:r>
          </w:p>
        </w:tc>
      </w:tr>
      <w:tr w:rsidR="00F93BA7" w14:paraId="520F4E4B" w14:textId="77777777">
        <w:tc>
          <w:tcPr>
            <w:tcW w:w="2245" w:type="dxa"/>
          </w:tcPr>
          <w:p w:rsidR="00F93BA7" w:rsidRDefault="00F93BA7" w14:paraId="0CE27CB9" w14:textId="77777777">
            <w:pPr>
              <w:spacing w:after="120"/>
              <w:jc w:val="left"/>
              <w:rPr>
                <w:b/>
                <w:bCs/>
              </w:rPr>
            </w:pPr>
            <w:r>
              <w:rPr>
                <w:b/>
                <w:bCs/>
              </w:rPr>
              <w:t>IC Number</w:t>
            </w:r>
          </w:p>
        </w:tc>
        <w:tc>
          <w:tcPr>
            <w:tcW w:w="7105" w:type="dxa"/>
          </w:tcPr>
          <w:p w:rsidR="00F93BA7" w:rsidRDefault="00F93BA7" w14:paraId="67D784D2" w14:textId="77777777">
            <w:pPr>
              <w:spacing w:after="120"/>
              <w:rPr>
                <w:b/>
                <w:bCs/>
              </w:rPr>
            </w:pPr>
            <w:r>
              <w:rPr>
                <w:rFonts w:cs="Arial"/>
                <w:highlight w:val="yellow"/>
              </w:rPr>
              <w:t>IC-#InterconnectionID#</w:t>
            </w:r>
          </w:p>
        </w:tc>
      </w:tr>
      <w:tr w:rsidR="00F93BA7" w14:paraId="1FF48859" w14:textId="77777777">
        <w:tc>
          <w:tcPr>
            <w:tcW w:w="2245" w:type="dxa"/>
          </w:tcPr>
          <w:p w:rsidR="00F93BA7" w:rsidRDefault="00F93BA7" w14:paraId="303B8391" w14:textId="77777777">
            <w:pPr>
              <w:spacing w:after="120"/>
              <w:jc w:val="left"/>
              <w:rPr>
                <w:b/>
                <w:bCs/>
              </w:rPr>
            </w:pPr>
            <w:r w:rsidRPr="00482619">
              <w:rPr>
                <w:rFonts w:cs="Arial"/>
                <w:b/>
                <w:bCs/>
              </w:rPr>
              <w:t>Facility Description</w:t>
            </w:r>
          </w:p>
        </w:tc>
        <w:tc>
          <w:tcPr>
            <w:tcW w:w="7105" w:type="dxa"/>
          </w:tcPr>
          <w:p w:rsidRPr="00691DD2" w:rsidR="00F93BA7" w:rsidRDefault="00F93BA7" w14:paraId="76330FDD" w14:textId="47E3DDB0">
            <w:pPr>
              <w:spacing w:after="120"/>
            </w:pPr>
            <w:r w:rsidRPr="0006084B">
              <w:t xml:space="preserve">The </w:t>
            </w:r>
            <w:r>
              <w:rPr>
                <w:highlight w:val="yellow"/>
              </w:rPr>
              <w:t>#Number</w:t>
            </w:r>
            <w:r w:rsidRPr="00950CE8">
              <w:t xml:space="preserve"> MW</w:t>
            </w:r>
            <w:r w:rsidRPr="0006084B">
              <w:t xml:space="preserve"> </w:t>
            </w:r>
            <w:r w:rsidR="00E94322">
              <w:t>B</w:t>
            </w:r>
            <w:r w:rsidRPr="0006084B">
              <w:t xml:space="preserve">ESS paired with Renewable Resource at the </w:t>
            </w:r>
            <w:r w:rsidRPr="00691DD2">
              <w:rPr>
                <w:highlight w:val="yellow"/>
              </w:rPr>
              <w:t>#FacilityName</w:t>
            </w:r>
            <w:r>
              <w:t xml:space="preserve">, interconnected to the </w:t>
            </w:r>
            <w:r w:rsidR="00E53435">
              <w:t>Southern Company Transmission System</w:t>
            </w:r>
            <w:r>
              <w:t xml:space="preserve"> at the POI.</w:t>
            </w:r>
          </w:p>
        </w:tc>
      </w:tr>
      <w:tr w:rsidR="00F93BA7" w14:paraId="298CEC33" w14:textId="77777777">
        <w:trPr>
          <w:trHeight w:val="58"/>
        </w:trPr>
        <w:tc>
          <w:tcPr>
            <w:tcW w:w="2245" w:type="dxa"/>
          </w:tcPr>
          <w:p w:rsidR="00F93BA7" w:rsidRDefault="00F93BA7" w14:paraId="031F89F0" w14:textId="77777777">
            <w:pPr>
              <w:spacing w:after="120"/>
              <w:jc w:val="left"/>
              <w:rPr>
                <w:b/>
                <w:bCs/>
              </w:rPr>
            </w:pPr>
            <w:r>
              <w:rPr>
                <w:b/>
                <w:bCs/>
              </w:rPr>
              <w:t>POI</w:t>
            </w:r>
          </w:p>
        </w:tc>
        <w:tc>
          <w:tcPr>
            <w:tcW w:w="7105" w:type="dxa"/>
          </w:tcPr>
          <w:p w:rsidRPr="00691DD2" w:rsidR="00F93BA7" w:rsidRDefault="00F93BA7" w14:paraId="6BFB7A3A" w14:textId="77777777">
            <w:pPr>
              <w:spacing w:after="120"/>
            </w:pPr>
            <w:r w:rsidRPr="00691DD2">
              <w:rPr>
                <w:highlight w:val="yellow"/>
              </w:rPr>
              <w:t>#DescribeLocation</w:t>
            </w:r>
            <w:r>
              <w:t xml:space="preserve"> (further described in the IA)</w:t>
            </w:r>
          </w:p>
        </w:tc>
      </w:tr>
    </w:tbl>
    <w:p w:rsidR="00F93BA7" w:rsidP="00261AEB" w:rsidRDefault="00F93BA7" w14:paraId="1E4E24F0" w14:textId="77777777">
      <w:pPr>
        <w:pStyle w:val="zG01"/>
        <w:numPr>
          <w:ilvl w:val="0"/>
          <w:numId w:val="0"/>
        </w:numPr>
        <w:spacing w:before="120" w:after="120"/>
      </w:pPr>
    </w:p>
    <w:tbl>
      <w:tblPr>
        <w:tblStyle w:val="TableGrid"/>
        <w:tblW w:w="0" w:type="auto"/>
        <w:tblLook w:val="04A0" w:firstRow="1" w:lastRow="0" w:firstColumn="1" w:lastColumn="0" w:noHBand="0" w:noVBand="1"/>
      </w:tblPr>
      <w:tblGrid>
        <w:gridCol w:w="2245"/>
        <w:gridCol w:w="7105"/>
      </w:tblGrid>
      <w:tr w:rsidR="00F93BA7" w14:paraId="5F863571" w14:textId="77777777">
        <w:tc>
          <w:tcPr>
            <w:tcW w:w="9350" w:type="dxa"/>
            <w:gridSpan w:val="2"/>
          </w:tcPr>
          <w:p w:rsidR="00F93BA7" w:rsidRDefault="00F93BA7" w14:paraId="36EBDECF" w14:textId="77777777">
            <w:pPr>
              <w:jc w:val="center"/>
              <w:rPr>
                <w:b/>
                <w:bCs/>
              </w:rPr>
            </w:pPr>
            <w:r>
              <w:rPr>
                <w:b/>
                <w:bCs/>
              </w:rPr>
              <w:t xml:space="preserve">Table A-2 </w:t>
            </w:r>
          </w:p>
          <w:p w:rsidRPr="005842CD" w:rsidR="00F93BA7" w:rsidRDefault="00F93BA7" w14:paraId="11CF79F4" w14:textId="5C78A0DD">
            <w:pPr>
              <w:jc w:val="center"/>
              <w:rPr>
                <w:b/>
                <w:bCs/>
                <w:highlight w:val="yellow"/>
              </w:rPr>
            </w:pPr>
            <w:r>
              <w:rPr>
                <w:b/>
                <w:bCs/>
              </w:rPr>
              <w:t>Term</w:t>
            </w:r>
            <w:r w:rsidR="00481976">
              <w:rPr>
                <w:b/>
                <w:bCs/>
              </w:rPr>
              <w:t>;</w:t>
            </w:r>
            <w:r>
              <w:rPr>
                <w:b/>
                <w:bCs/>
              </w:rPr>
              <w:t xml:space="preserve"> RCOD</w:t>
            </w:r>
          </w:p>
        </w:tc>
      </w:tr>
      <w:tr w:rsidR="00F93BA7" w14:paraId="6A8A6F40" w14:textId="77777777">
        <w:tc>
          <w:tcPr>
            <w:tcW w:w="2245" w:type="dxa"/>
          </w:tcPr>
          <w:p w:rsidRPr="009222E0" w:rsidR="00F93BA7" w:rsidRDefault="00F93BA7" w14:paraId="3ABD2BE8" w14:textId="77777777">
            <w:pPr>
              <w:jc w:val="left"/>
              <w:rPr>
                <w:b/>
                <w:iCs/>
              </w:rPr>
            </w:pPr>
            <w:r>
              <w:rPr>
                <w:b/>
                <w:bCs/>
              </w:rPr>
              <w:t>Term</w:t>
            </w:r>
          </w:p>
        </w:tc>
        <w:tc>
          <w:tcPr>
            <w:tcW w:w="7105" w:type="dxa"/>
          </w:tcPr>
          <w:p w:rsidRPr="0006084B" w:rsidR="00F93BA7" w:rsidRDefault="00F93BA7" w14:paraId="064A46CA" w14:textId="62EA3BCD">
            <w:pPr>
              <w:rPr>
                <w:iCs/>
              </w:rPr>
            </w:pPr>
            <w:r w:rsidRPr="0006084B">
              <w:rPr>
                <w:highlight w:val="yellow"/>
              </w:rPr>
              <w:t>#NumberBetween</w:t>
            </w:r>
            <w:r w:rsidR="00022FDD">
              <w:rPr>
                <w:highlight w:val="yellow"/>
              </w:rPr>
              <w:t>Five</w:t>
            </w:r>
            <w:r w:rsidRPr="0006084B">
              <w:rPr>
                <w:highlight w:val="yellow"/>
              </w:rPr>
              <w:t>And</w:t>
            </w:r>
            <w:r w:rsidRPr="00585BC4" w:rsidR="00585BC4">
              <w:rPr>
                <w:highlight w:val="yellow"/>
              </w:rPr>
              <w:t>Thirty</w:t>
            </w:r>
            <w:r w:rsidRPr="0006084B">
              <w:t xml:space="preserve"> Annual Periods</w:t>
            </w:r>
          </w:p>
        </w:tc>
      </w:tr>
      <w:tr w:rsidR="00F93BA7" w14:paraId="13F4349C" w14:textId="77777777">
        <w:tc>
          <w:tcPr>
            <w:tcW w:w="2245" w:type="dxa"/>
          </w:tcPr>
          <w:p w:rsidRPr="009222E0" w:rsidR="00F93BA7" w:rsidRDefault="00F93BA7" w14:paraId="5BDAC91C" w14:textId="77777777">
            <w:pPr>
              <w:jc w:val="left"/>
              <w:rPr>
                <w:b/>
                <w:iCs/>
              </w:rPr>
            </w:pPr>
            <w:r>
              <w:rPr>
                <w:rFonts w:cs="Arial"/>
                <w:b/>
                <w:bCs/>
              </w:rPr>
              <w:t>RCOD:</w:t>
            </w:r>
          </w:p>
        </w:tc>
        <w:tc>
          <w:tcPr>
            <w:tcW w:w="7105" w:type="dxa"/>
          </w:tcPr>
          <w:p w:rsidR="00F93BA7" w:rsidRDefault="00F93BA7" w14:paraId="73620F5C" w14:textId="77777777">
            <w:pPr>
              <w:rPr>
                <w:bCs/>
                <w:iCs/>
              </w:rPr>
            </w:pPr>
            <w:r>
              <w:rPr>
                <w:rFonts w:cs="Arial"/>
                <w:highlight w:val="yellow"/>
              </w:rPr>
              <w:t>#Month #Day, #Year</w:t>
            </w:r>
          </w:p>
        </w:tc>
      </w:tr>
    </w:tbl>
    <w:p w:rsidRPr="00AE09A2" w:rsidR="00E37364" w:rsidP="002D54C4" w:rsidRDefault="00811B71" w14:paraId="4DE428D7" w14:textId="1A158B3D">
      <w:pPr>
        <w:widowControl w:val="0"/>
        <w:rPr>
          <w:rFonts w:ascii="Arial" w:hAnsi="Arial" w:cs="Arial"/>
          <w:sz w:val="20"/>
          <w:szCs w:val="20"/>
        </w:rPr>
      </w:pPr>
      <w:r w:rsidRPr="005B169C">
        <w:rPr>
          <w:rFonts w:ascii="Arial" w:hAnsi="Arial" w:cs="Arial"/>
          <w:b/>
          <w:sz w:val="20"/>
          <w:szCs w:val="20"/>
          <w:highlight w:val="cyan"/>
        </w:rPr>
        <w:t>[</w:t>
      </w:r>
      <w:r w:rsidRPr="00AF4BB8" w:rsidR="00AF4BB8">
        <w:rPr>
          <w:rFonts w:ascii="Arial" w:hAnsi="Arial" w:cs="Arial"/>
          <w:b/>
          <w:i/>
          <w:iCs/>
          <w:sz w:val="20"/>
          <w:szCs w:val="20"/>
          <w:highlight w:val="cyan"/>
          <w:u w:val="single"/>
        </w:rPr>
        <w:t>Note to Bidders</w:t>
      </w:r>
      <w:r w:rsidRPr="00AF4BB8">
        <w:rPr>
          <w:rFonts w:ascii="Arial" w:hAnsi="Arial" w:cs="Arial"/>
          <w:b/>
          <w:i/>
          <w:iCs/>
          <w:sz w:val="20"/>
          <w:szCs w:val="20"/>
          <w:highlight w:val="cyan"/>
        </w:rPr>
        <w:t xml:space="preserve">: Term of </w:t>
      </w:r>
      <w:r w:rsidR="00022FDD">
        <w:rPr>
          <w:rFonts w:ascii="Arial" w:hAnsi="Arial" w:cs="Arial"/>
          <w:b/>
          <w:i/>
          <w:iCs/>
          <w:sz w:val="20"/>
          <w:szCs w:val="20"/>
          <w:highlight w:val="cyan"/>
        </w:rPr>
        <w:t xml:space="preserve">5, </w:t>
      </w:r>
      <w:r w:rsidRPr="00AF4BB8">
        <w:rPr>
          <w:rFonts w:ascii="Arial" w:hAnsi="Arial" w:cs="Arial"/>
          <w:b/>
          <w:i/>
          <w:iCs/>
          <w:sz w:val="20"/>
          <w:szCs w:val="20"/>
          <w:highlight w:val="cyan"/>
        </w:rPr>
        <w:t xml:space="preserve">10, </w:t>
      </w:r>
      <w:r w:rsidR="008E7F44">
        <w:rPr>
          <w:rFonts w:ascii="Arial" w:hAnsi="Arial" w:cs="Arial"/>
          <w:b/>
          <w:i/>
          <w:iCs/>
          <w:sz w:val="20"/>
          <w:szCs w:val="20"/>
          <w:highlight w:val="cyan"/>
        </w:rPr>
        <w:t>15</w:t>
      </w:r>
      <w:r w:rsidRPr="00AF4BB8" w:rsidR="00CE5C4F">
        <w:rPr>
          <w:rFonts w:ascii="Arial" w:hAnsi="Arial" w:cs="Arial"/>
          <w:b/>
          <w:i/>
          <w:iCs/>
          <w:sz w:val="20"/>
          <w:szCs w:val="20"/>
          <w:highlight w:val="cyan"/>
        </w:rPr>
        <w:t xml:space="preserve">, </w:t>
      </w:r>
      <w:r w:rsidR="008E7F44">
        <w:rPr>
          <w:rFonts w:ascii="Arial" w:hAnsi="Arial" w:cs="Arial"/>
          <w:b/>
          <w:i/>
          <w:iCs/>
          <w:sz w:val="20"/>
          <w:szCs w:val="20"/>
          <w:highlight w:val="cyan"/>
        </w:rPr>
        <w:t>20</w:t>
      </w:r>
      <w:r w:rsidR="002B200D">
        <w:rPr>
          <w:rFonts w:ascii="Arial" w:hAnsi="Arial" w:cs="Arial"/>
          <w:b/>
          <w:i/>
          <w:iCs/>
          <w:sz w:val="20"/>
          <w:szCs w:val="20"/>
          <w:highlight w:val="cyan"/>
        </w:rPr>
        <w:t>,  25</w:t>
      </w:r>
      <w:r w:rsidR="00585BC4">
        <w:rPr>
          <w:rFonts w:ascii="Arial" w:hAnsi="Arial" w:cs="Arial"/>
          <w:b/>
          <w:i/>
          <w:iCs/>
          <w:sz w:val="20"/>
          <w:szCs w:val="20"/>
          <w:highlight w:val="cyan"/>
        </w:rPr>
        <w:t>, or 30</w:t>
      </w:r>
      <w:r w:rsidRPr="00AF4BB8">
        <w:rPr>
          <w:rFonts w:ascii="Arial" w:hAnsi="Arial" w:cs="Arial"/>
          <w:b/>
          <w:i/>
          <w:iCs/>
          <w:sz w:val="20"/>
          <w:szCs w:val="20"/>
          <w:highlight w:val="cyan"/>
        </w:rPr>
        <w:t xml:space="preserve"> Annual Periods based on Delivery Commencement Date.</w:t>
      </w:r>
      <w:r w:rsidRPr="005B169C">
        <w:rPr>
          <w:rFonts w:ascii="Arial" w:hAnsi="Arial" w:cs="Arial"/>
          <w:b/>
          <w:sz w:val="20"/>
          <w:szCs w:val="20"/>
          <w:highlight w:val="cyan"/>
        </w:rPr>
        <w:t>]</w:t>
      </w:r>
    </w:p>
    <w:tbl>
      <w:tblPr>
        <w:tblStyle w:val="TableGrid"/>
        <w:tblW w:w="9355" w:type="dxa"/>
        <w:tblLook w:val="04A0" w:firstRow="1" w:lastRow="0" w:firstColumn="1" w:lastColumn="0" w:noHBand="0" w:noVBand="1"/>
      </w:tblPr>
      <w:tblGrid>
        <w:gridCol w:w="1165"/>
        <w:gridCol w:w="8190"/>
      </w:tblGrid>
      <w:tr w:rsidRPr="002D2A8F" w:rsidR="00261AEB" w:rsidTr="00261AEB" w14:paraId="406BBC04" w14:textId="77777777">
        <w:tc>
          <w:tcPr>
            <w:tcW w:w="9355" w:type="dxa"/>
            <w:gridSpan w:val="2"/>
          </w:tcPr>
          <w:p w:rsidRPr="00C5759F" w:rsidR="00261AEB" w:rsidP="00D80A49" w:rsidRDefault="00261AEB" w14:paraId="763C67A1" w14:textId="77777777">
            <w:pPr>
              <w:widowControl w:val="0"/>
              <w:tabs>
                <w:tab w:val="left" w:pos="476"/>
                <w:tab w:val="center" w:pos="4569"/>
              </w:tabs>
              <w:spacing w:after="120"/>
              <w:jc w:val="left"/>
              <w:rPr>
                <w:rFonts w:eastAsia="Calibri" w:cs="Arial"/>
                <w:b/>
                <w:bCs/>
              </w:rPr>
            </w:pPr>
            <w:r>
              <w:rPr>
                <w:rFonts w:eastAsia="Calibri" w:cs="Arial"/>
                <w:b/>
                <w:bCs/>
              </w:rPr>
              <w:tab/>
            </w:r>
            <w:r>
              <w:rPr>
                <w:rFonts w:eastAsia="Calibri" w:cs="Arial"/>
                <w:b/>
                <w:bCs/>
              </w:rPr>
              <w:tab/>
            </w:r>
            <w:r w:rsidRPr="00C5759F">
              <w:rPr>
                <w:rFonts w:eastAsia="Calibri" w:cs="Arial"/>
                <w:b/>
                <w:bCs/>
              </w:rPr>
              <w:t xml:space="preserve">Table A-3 </w:t>
            </w:r>
          </w:p>
          <w:p w:rsidRPr="00261AEB" w:rsidR="00261AEB" w:rsidP="00261AEB" w:rsidRDefault="00261AEB" w14:paraId="066088C6" w14:textId="3E43E6C9">
            <w:pPr>
              <w:pStyle w:val="Subtitle-Bold"/>
              <w:widowControl w:val="0"/>
              <w:spacing w:after="120"/>
              <w:rPr>
                <w:b w:val="0"/>
                <w:highlight w:val="yellow"/>
              </w:rPr>
            </w:pPr>
            <w:r w:rsidRPr="00C5759F">
              <w:rPr>
                <w:rFonts w:eastAsia="Calibri" w:cs="Arial"/>
              </w:rPr>
              <w:t>Additional Facility and Operating Information</w:t>
            </w:r>
            <w:r w:rsidR="003377D8">
              <w:rPr>
                <w:rStyle w:val="FootnoteReference"/>
                <w:rFonts w:eastAsia="Calibri" w:cs="Arial"/>
              </w:rPr>
              <w:footnoteReference w:id="2"/>
            </w:r>
          </w:p>
        </w:tc>
      </w:tr>
      <w:tr w:rsidRPr="002D2A8F" w:rsidR="002D54C4" w:rsidTr="00287A49" w14:paraId="21EADCCB" w14:textId="77777777">
        <w:tc>
          <w:tcPr>
            <w:tcW w:w="1165" w:type="dxa"/>
          </w:tcPr>
          <w:p w:rsidRPr="002D2A8F" w:rsidR="002D54C4" w:rsidP="00223BC9" w:rsidRDefault="0031304D" w14:paraId="14DE002E" w14:textId="045A8D5F">
            <w:pPr>
              <w:widowControl w:val="0"/>
              <w:jc w:val="center"/>
              <w:rPr>
                <w:rFonts w:cs="Arial"/>
              </w:rPr>
            </w:pPr>
            <w:r>
              <w:rPr>
                <w:rFonts w:cs="Arial"/>
              </w:rPr>
              <w:t>A</w:t>
            </w:r>
          </w:p>
        </w:tc>
        <w:tc>
          <w:tcPr>
            <w:tcW w:w="8190" w:type="dxa"/>
          </w:tcPr>
          <w:p w:rsidRPr="002D2A8F" w:rsidR="002D54C4" w:rsidRDefault="002D54C4" w14:paraId="23B99737" w14:textId="2524B2FA">
            <w:pPr>
              <w:widowControl w:val="0"/>
              <w:rPr>
                <w:rFonts w:cs="Arial"/>
              </w:rPr>
            </w:pPr>
            <w:r w:rsidRPr="002D2A8F">
              <w:rPr>
                <w:rFonts w:eastAsia="Calibri" w:cs="Arial"/>
                <w:highlight w:val="yellow"/>
              </w:rPr>
              <w:t>#____#</w:t>
            </w:r>
            <w:r w:rsidRPr="002D2A8F">
              <w:rPr>
                <w:rFonts w:cs="Arial"/>
              </w:rPr>
              <w:t xml:space="preserve"> </w:t>
            </w:r>
            <w:r w:rsidRPr="00A130EA" w:rsidR="008F0D9B">
              <w:rPr>
                <w:rFonts w:eastAsia="Calibri" w:cs="Arial"/>
              </w:rPr>
              <w:t xml:space="preserve">(%) </w:t>
            </w:r>
            <w:r w:rsidR="008E7F44">
              <w:rPr>
                <w:rFonts w:eastAsia="Calibri" w:cs="Arial"/>
              </w:rPr>
              <w:t xml:space="preserve">Guaranteed </w:t>
            </w:r>
            <w:r w:rsidRPr="00A130EA" w:rsidR="008F0D9B">
              <w:rPr>
                <w:rFonts w:eastAsia="Calibri" w:cs="Arial"/>
              </w:rPr>
              <w:t>Round-Trip Efficiency</w:t>
            </w:r>
            <w:r w:rsidR="000E6A52">
              <w:rPr>
                <w:rFonts w:eastAsia="Calibri" w:cs="Arial"/>
              </w:rPr>
              <w:t xml:space="preserve"> (RTE)</w:t>
            </w:r>
            <w:r w:rsidRPr="00A130EA" w:rsidR="008F0D9B">
              <w:rPr>
                <w:rFonts w:eastAsia="Calibri" w:cs="Arial"/>
                <w:b/>
                <w:bCs/>
              </w:rPr>
              <w:t xml:space="preserve">* </w:t>
            </w:r>
          </w:p>
        </w:tc>
      </w:tr>
      <w:tr w:rsidRPr="002D2A8F" w:rsidR="002D54C4" w:rsidTr="00287A49" w14:paraId="3EE9EE17" w14:textId="77777777">
        <w:tc>
          <w:tcPr>
            <w:tcW w:w="1165" w:type="dxa"/>
          </w:tcPr>
          <w:p w:rsidRPr="002D2A8F" w:rsidR="002D54C4" w:rsidP="00223BC9" w:rsidRDefault="0031304D" w14:paraId="4A2519FB" w14:textId="6E94E3EB">
            <w:pPr>
              <w:widowControl w:val="0"/>
              <w:jc w:val="center"/>
              <w:rPr>
                <w:rFonts w:cs="Arial"/>
              </w:rPr>
            </w:pPr>
            <w:r>
              <w:rPr>
                <w:rFonts w:cs="Arial"/>
              </w:rPr>
              <w:t>B</w:t>
            </w:r>
          </w:p>
        </w:tc>
        <w:tc>
          <w:tcPr>
            <w:tcW w:w="8190" w:type="dxa"/>
          </w:tcPr>
          <w:p w:rsidRPr="002D2A8F" w:rsidR="002D54C4" w:rsidRDefault="005061C6" w14:paraId="0C62A1E8" w14:textId="79E1641F">
            <w:pPr>
              <w:widowControl w:val="0"/>
              <w:rPr>
                <w:rFonts w:cs="Arial"/>
              </w:rPr>
            </w:pPr>
            <w:r w:rsidRPr="002D2A8F">
              <w:rPr>
                <w:rFonts w:eastAsia="Calibri" w:cs="Arial"/>
                <w:highlight w:val="yellow"/>
              </w:rPr>
              <w:t>#____#</w:t>
            </w:r>
            <w:r w:rsidRPr="002D2A8F">
              <w:rPr>
                <w:rFonts w:cs="Arial"/>
              </w:rPr>
              <w:t xml:space="preserve"> </w:t>
            </w:r>
            <w:r w:rsidRPr="002D2A8F" w:rsidR="002D54C4">
              <w:rPr>
                <w:rFonts w:cs="Arial"/>
              </w:rPr>
              <w:t xml:space="preserve">(Hours) Storage Device </w:t>
            </w:r>
            <w:r w:rsidR="00A00FAA">
              <w:rPr>
                <w:rFonts w:cs="Arial"/>
              </w:rPr>
              <w:t>Discharge</w:t>
            </w:r>
            <w:r w:rsidRPr="002D2A8F" w:rsidR="002D54C4">
              <w:rPr>
                <w:rFonts w:cs="Arial"/>
              </w:rPr>
              <w:t xml:space="preserve"> Duration </w:t>
            </w:r>
            <w:r w:rsidR="000E6A52">
              <w:rPr>
                <w:rFonts w:cs="Arial"/>
              </w:rPr>
              <w:t>(SDDD)</w:t>
            </w:r>
            <w:r w:rsidRPr="002D2A8F" w:rsidR="002D54C4">
              <w:rPr>
                <w:rFonts w:cs="Arial"/>
              </w:rPr>
              <w:t>*</w:t>
            </w:r>
          </w:p>
        </w:tc>
      </w:tr>
      <w:tr w:rsidRPr="002D2A8F" w:rsidR="002D54C4" w:rsidTr="46E720FD" w14:paraId="0654B159" w14:textId="77777777">
        <w:tc>
          <w:tcPr>
            <w:tcW w:w="1165" w:type="dxa"/>
          </w:tcPr>
          <w:p w:rsidRPr="002D2A8F" w:rsidR="002D54C4" w:rsidP="00223BC9" w:rsidRDefault="0031304D" w14:paraId="2F5FB3A9" w14:textId="4059843C">
            <w:pPr>
              <w:widowControl w:val="0"/>
              <w:jc w:val="center"/>
              <w:rPr>
                <w:rFonts w:cs="Arial"/>
              </w:rPr>
            </w:pPr>
            <w:r>
              <w:rPr>
                <w:rFonts w:cs="Arial"/>
              </w:rPr>
              <w:t>C</w:t>
            </w:r>
          </w:p>
        </w:tc>
        <w:tc>
          <w:tcPr>
            <w:tcW w:w="8190" w:type="dxa"/>
          </w:tcPr>
          <w:p w:rsidRPr="002D2A8F" w:rsidR="002D54C4" w:rsidRDefault="002D54C4" w14:paraId="057C22EE" w14:textId="2CF136A3">
            <w:pPr>
              <w:widowControl w:val="0"/>
              <w:rPr>
                <w:rFonts w:cs="Arial"/>
              </w:rPr>
            </w:pPr>
            <w:r w:rsidRPr="002D2A8F">
              <w:rPr>
                <w:rFonts w:eastAsia="Calibri" w:cs="Arial"/>
                <w:highlight w:val="yellow"/>
              </w:rPr>
              <w:t>#____#</w:t>
            </w:r>
            <w:r w:rsidRPr="002D2A8F">
              <w:rPr>
                <w:rFonts w:cs="Arial"/>
              </w:rPr>
              <w:t xml:space="preserve"> (MWh) Storage Device Operating Energy </w:t>
            </w:r>
            <w:r w:rsidR="000E6A52">
              <w:rPr>
                <w:rFonts w:cs="Arial"/>
              </w:rPr>
              <w:t xml:space="preserve">(SDOE) </w:t>
            </w:r>
            <w:r w:rsidRPr="002D2A8F">
              <w:rPr>
                <w:rFonts w:cs="Arial"/>
              </w:rPr>
              <w:t>– per Cycle*</w:t>
            </w:r>
          </w:p>
        </w:tc>
      </w:tr>
      <w:tr w:rsidRPr="002D2A8F" w:rsidR="002D54C4" w:rsidTr="46E720FD" w14:paraId="5E1CC185" w14:textId="77777777">
        <w:tc>
          <w:tcPr>
            <w:tcW w:w="1165" w:type="dxa"/>
          </w:tcPr>
          <w:p w:rsidRPr="00624465" w:rsidR="002D54C4" w:rsidP="00223BC9" w:rsidRDefault="0031304D" w14:paraId="7A244F3D" w14:textId="5069EDEE">
            <w:pPr>
              <w:pStyle w:val="EnvelopeReturn"/>
              <w:widowControl w:val="0"/>
              <w:spacing w:after="0"/>
              <w:jc w:val="center"/>
              <w:rPr>
                <w:rFonts w:cs="Arial" w:eastAsiaTheme="minorHAnsi"/>
              </w:rPr>
            </w:pPr>
            <w:r>
              <w:rPr>
                <w:rFonts w:cs="Arial" w:eastAsiaTheme="minorHAnsi"/>
              </w:rPr>
              <w:t>D</w:t>
            </w:r>
          </w:p>
        </w:tc>
        <w:tc>
          <w:tcPr>
            <w:tcW w:w="8190" w:type="dxa"/>
          </w:tcPr>
          <w:p w:rsidRPr="002D2A8F" w:rsidR="002D54C4" w:rsidRDefault="002D54C4" w14:paraId="5E00C1EE" w14:textId="17B54D99">
            <w:pPr>
              <w:widowControl w:val="0"/>
              <w:rPr>
                <w:rFonts w:cs="Arial"/>
              </w:rPr>
            </w:pPr>
            <w:r w:rsidRPr="002D2A8F">
              <w:rPr>
                <w:rFonts w:eastAsia="Calibri" w:cs="Arial"/>
                <w:highlight w:val="yellow"/>
              </w:rPr>
              <w:t>#____#</w:t>
            </w:r>
            <w:r w:rsidRPr="002D2A8F">
              <w:rPr>
                <w:rFonts w:cs="Arial"/>
              </w:rPr>
              <w:t xml:space="preserve"> (MW) Maximum Rate of Charge (ROC)</w:t>
            </w:r>
            <w:r w:rsidRPr="002D2A8F">
              <w:rPr>
                <w:rFonts w:cs="Arial"/>
                <w:b/>
              </w:rPr>
              <w:t>*</w:t>
            </w:r>
            <w:r w:rsidRPr="002D2A8F" w:rsidR="00D23A2C">
              <w:rPr>
                <w:rFonts w:cs="Arial"/>
                <w:b/>
              </w:rPr>
              <w:t xml:space="preserve"> </w:t>
            </w:r>
          </w:p>
        </w:tc>
      </w:tr>
      <w:tr w:rsidRPr="002D2A8F" w:rsidR="005A4168" w:rsidTr="46E720FD" w14:paraId="3CEE776B" w14:textId="77777777">
        <w:tc>
          <w:tcPr>
            <w:tcW w:w="1165" w:type="dxa"/>
          </w:tcPr>
          <w:p w:rsidRPr="002D2A8F" w:rsidR="005A4168" w:rsidP="00223BC9" w:rsidRDefault="0031304D" w14:paraId="50235A90" w14:textId="693DA275">
            <w:pPr>
              <w:pStyle w:val="Heading5"/>
              <w:keepLines w:val="0"/>
              <w:widowControl w:val="0"/>
              <w:spacing w:before="120" w:after="0"/>
              <w:jc w:val="center"/>
              <w:rPr>
                <w:rFonts w:cs="Arial" w:eastAsiaTheme="minorHAnsi"/>
              </w:rPr>
            </w:pPr>
            <w:r>
              <w:rPr>
                <w:rFonts w:cs="Arial" w:eastAsiaTheme="minorHAnsi"/>
              </w:rPr>
              <w:t>E</w:t>
            </w:r>
          </w:p>
        </w:tc>
        <w:tc>
          <w:tcPr>
            <w:tcW w:w="8190" w:type="dxa"/>
          </w:tcPr>
          <w:p w:rsidRPr="002D2A8F" w:rsidR="005A4168" w:rsidP="00D94506" w:rsidRDefault="005A4168" w14:paraId="77561848" w14:textId="2B285FBF">
            <w:pPr>
              <w:widowControl w:val="0"/>
              <w:rPr>
                <w:rFonts w:eastAsia="Calibri" w:cs="Arial"/>
                <w:highlight w:val="yellow"/>
              </w:rPr>
            </w:pPr>
            <w:r w:rsidRPr="002D2A8F">
              <w:rPr>
                <w:rFonts w:eastAsia="Calibri" w:cs="Arial"/>
                <w:highlight w:val="yellow"/>
              </w:rPr>
              <w:t>#____#</w:t>
            </w:r>
            <w:r w:rsidRPr="00A130EA">
              <w:rPr>
                <w:rFonts w:eastAsia="Calibri" w:cs="Arial"/>
              </w:rPr>
              <w:t xml:space="preserve"> </w:t>
            </w:r>
            <w:r w:rsidRPr="002D2A8F" w:rsidR="008F0D9B">
              <w:rPr>
                <w:rFonts w:cs="Arial"/>
              </w:rPr>
              <w:t xml:space="preserve">(MW) Storage Device Design Capacity </w:t>
            </w:r>
            <w:r w:rsidR="000E6A52">
              <w:rPr>
                <w:rFonts w:cs="Arial"/>
              </w:rPr>
              <w:t xml:space="preserve">(SDDC) </w:t>
            </w:r>
            <w:r w:rsidRPr="002D2A8F" w:rsidR="008F0D9B">
              <w:rPr>
                <w:rFonts w:cs="Arial"/>
              </w:rPr>
              <w:t>(</w:t>
            </w:r>
            <w:r w:rsidR="00A845EC">
              <w:rPr>
                <w:rFonts w:cs="Arial"/>
              </w:rPr>
              <w:t>continuous</w:t>
            </w:r>
            <w:r w:rsidRPr="002D2A8F" w:rsidR="00A845EC">
              <w:rPr>
                <w:rFonts w:cs="Arial"/>
              </w:rPr>
              <w:t xml:space="preserve"> </w:t>
            </w:r>
            <w:r w:rsidRPr="002D2A8F" w:rsidR="008F0D9B">
              <w:rPr>
                <w:rFonts w:cs="Arial"/>
              </w:rPr>
              <w:t>discharge)*</w:t>
            </w:r>
          </w:p>
        </w:tc>
      </w:tr>
      <w:tr w:rsidRPr="002D2A8F" w:rsidR="005A4168" w:rsidTr="46E720FD" w14:paraId="55C3D023" w14:textId="77777777">
        <w:tc>
          <w:tcPr>
            <w:tcW w:w="1165" w:type="dxa"/>
          </w:tcPr>
          <w:p w:rsidRPr="002D2A8F" w:rsidR="005A4168" w:rsidP="00223BC9" w:rsidRDefault="0031304D" w14:paraId="2C10BBE0" w14:textId="66DE08C5">
            <w:pPr>
              <w:pStyle w:val="Heading5"/>
              <w:keepLines w:val="0"/>
              <w:widowControl w:val="0"/>
              <w:spacing w:before="120" w:after="0"/>
              <w:jc w:val="center"/>
              <w:rPr>
                <w:rFonts w:cs="Arial" w:eastAsiaTheme="minorHAnsi"/>
              </w:rPr>
            </w:pPr>
            <w:r>
              <w:rPr>
                <w:rFonts w:cs="Arial" w:eastAsiaTheme="minorHAnsi"/>
              </w:rPr>
              <w:t>F</w:t>
            </w:r>
          </w:p>
        </w:tc>
        <w:tc>
          <w:tcPr>
            <w:tcW w:w="8190" w:type="dxa"/>
          </w:tcPr>
          <w:p w:rsidRPr="002D2A8F" w:rsidR="005A4168" w:rsidP="005A4168" w:rsidRDefault="005A4168" w14:paraId="190451D3" w14:textId="027BDCD6">
            <w:pPr>
              <w:widowControl w:val="0"/>
              <w:rPr>
                <w:rFonts w:eastAsia="Calibri" w:cs="Arial"/>
                <w:highlight w:val="yellow"/>
              </w:rPr>
            </w:pPr>
            <w:r w:rsidRPr="002D2A8F">
              <w:rPr>
                <w:rFonts w:eastAsia="Calibri" w:cs="Arial"/>
                <w:highlight w:val="yellow"/>
              </w:rPr>
              <w:t>#____#</w:t>
            </w:r>
            <w:r w:rsidRPr="00A130EA">
              <w:rPr>
                <w:rFonts w:eastAsia="Calibri" w:cs="Arial"/>
              </w:rPr>
              <w:t xml:space="preserve"> </w:t>
            </w:r>
            <w:r w:rsidRPr="008F0D9B" w:rsidR="008F0D9B">
              <w:rPr>
                <w:rFonts w:eastAsia="Calibri" w:cs="Arial"/>
              </w:rPr>
              <w:t>(MW) Contracted Capacity</w:t>
            </w:r>
            <w:r w:rsidRPr="008F0D9B" w:rsidR="008F0D9B">
              <w:rPr>
                <w:rFonts w:eastAsia="Calibri" w:cs="Arial"/>
                <w:b/>
                <w:bCs/>
              </w:rPr>
              <w:t xml:space="preserve"> </w:t>
            </w:r>
            <w:r w:rsidRPr="00A130EA" w:rsidR="008F0D9B">
              <w:rPr>
                <w:rFonts w:eastAsia="Calibri" w:cs="Arial"/>
              </w:rPr>
              <w:t>(Equal to (</w:t>
            </w:r>
            <w:r w:rsidR="002F0CA2">
              <w:rPr>
                <w:rFonts w:eastAsia="Calibri" w:cs="Arial"/>
              </w:rPr>
              <w:t>E</w:t>
            </w:r>
            <w:r w:rsidRPr="00A130EA" w:rsidR="008F0D9B">
              <w:rPr>
                <w:rFonts w:eastAsia="Calibri" w:cs="Arial"/>
              </w:rPr>
              <w:t xml:space="preserve">) above </w:t>
            </w:r>
            <w:r w:rsidR="00223BC9">
              <w:rPr>
                <w:rFonts w:eastAsia="Calibri" w:cs="Arial"/>
              </w:rPr>
              <w:t>&amp;</w:t>
            </w:r>
            <w:r w:rsidRPr="00A130EA" w:rsidR="00223BC9">
              <w:rPr>
                <w:rFonts w:eastAsia="Calibri" w:cs="Arial"/>
              </w:rPr>
              <w:t xml:space="preserve"> </w:t>
            </w:r>
            <w:r w:rsidRPr="00A130EA" w:rsidR="008F0D9B">
              <w:rPr>
                <w:rFonts w:eastAsia="Calibri" w:cs="Arial"/>
              </w:rPr>
              <w:t>remains unchanged for the Term)</w:t>
            </w:r>
          </w:p>
        </w:tc>
      </w:tr>
      <w:tr w:rsidRPr="002D2A8F" w:rsidR="0031304D" w:rsidTr="46E720FD" w14:paraId="7E151662" w14:textId="77777777">
        <w:tc>
          <w:tcPr>
            <w:tcW w:w="1165" w:type="dxa"/>
          </w:tcPr>
          <w:p w:rsidRPr="002D2A8F" w:rsidR="0031304D" w:rsidP="00223BC9" w:rsidRDefault="0031304D" w14:paraId="3E143741" w14:textId="5C618B74">
            <w:pPr>
              <w:pStyle w:val="Heading5"/>
              <w:keepLines w:val="0"/>
              <w:widowControl w:val="0"/>
              <w:spacing w:before="120" w:after="0"/>
              <w:jc w:val="center"/>
              <w:rPr>
                <w:rFonts w:cs="Arial" w:eastAsiaTheme="minorHAnsi"/>
              </w:rPr>
            </w:pPr>
            <w:r>
              <w:rPr>
                <w:rFonts w:cs="Arial" w:eastAsiaTheme="minorHAnsi"/>
              </w:rPr>
              <w:t>G</w:t>
            </w:r>
          </w:p>
        </w:tc>
        <w:tc>
          <w:tcPr>
            <w:tcW w:w="8190" w:type="dxa"/>
          </w:tcPr>
          <w:p w:rsidRPr="002D2A8F" w:rsidR="0031304D" w:rsidP="0031304D" w:rsidRDefault="0031304D" w14:paraId="28988438" w14:textId="5A27E845">
            <w:pPr>
              <w:widowControl w:val="0"/>
              <w:rPr>
                <w:rFonts w:eastAsia="Calibri" w:cs="Arial"/>
                <w:highlight w:val="yellow"/>
              </w:rPr>
            </w:pPr>
            <w:r w:rsidRPr="002D2A8F">
              <w:rPr>
                <w:rFonts w:eastAsia="Calibri" w:cs="Arial"/>
                <w:highlight w:val="yellow"/>
              </w:rPr>
              <w:t>#____#</w:t>
            </w:r>
            <w:r w:rsidRPr="002D2A8F">
              <w:rPr>
                <w:rFonts w:cs="Arial"/>
              </w:rPr>
              <w:t xml:space="preserve"> (MW) Renewable Resource Capacity</w:t>
            </w:r>
          </w:p>
        </w:tc>
      </w:tr>
      <w:tr w:rsidRPr="002D2A8F" w:rsidR="005A4168" w:rsidTr="46E720FD" w14:paraId="2366414C" w14:textId="77777777">
        <w:tc>
          <w:tcPr>
            <w:tcW w:w="1165" w:type="dxa"/>
          </w:tcPr>
          <w:p w:rsidRPr="002D2A8F" w:rsidR="005A4168" w:rsidP="00223BC9" w:rsidRDefault="005A4168" w14:paraId="1038E10A" w14:textId="030006D8">
            <w:pPr>
              <w:pStyle w:val="EnvelopeReturn"/>
              <w:widowControl w:val="0"/>
              <w:spacing w:after="0"/>
              <w:jc w:val="center"/>
              <w:rPr>
                <w:rFonts w:cs="Arial" w:eastAsiaTheme="minorHAnsi"/>
              </w:rPr>
            </w:pPr>
            <w:r w:rsidRPr="002D2A8F">
              <w:rPr>
                <w:rFonts w:cs="Arial" w:eastAsiaTheme="minorHAnsi"/>
              </w:rPr>
              <w:t>H</w:t>
            </w:r>
          </w:p>
        </w:tc>
        <w:tc>
          <w:tcPr>
            <w:tcW w:w="8190" w:type="dxa"/>
          </w:tcPr>
          <w:p w:rsidRPr="002D2A8F" w:rsidR="005A4168" w:rsidP="005A4168" w:rsidRDefault="005A4168" w14:paraId="711DE850" w14:textId="579EF5AA">
            <w:pPr>
              <w:widowControl w:val="0"/>
              <w:rPr>
                <w:rFonts w:cs="Arial"/>
              </w:rPr>
            </w:pPr>
            <w:r w:rsidRPr="002D2A8F">
              <w:rPr>
                <w:rFonts w:eastAsia="Calibri" w:cs="Arial"/>
                <w:highlight w:val="yellow"/>
              </w:rPr>
              <w:t>#____#</w:t>
            </w:r>
            <w:r w:rsidRPr="002D2A8F">
              <w:rPr>
                <w:rFonts w:cs="Arial"/>
              </w:rPr>
              <w:t xml:space="preserve"> </w:t>
            </w:r>
            <w:r w:rsidRPr="008F0D9B">
              <w:rPr>
                <w:rFonts w:eastAsia="Calibri" w:cs="Arial"/>
              </w:rPr>
              <w:t xml:space="preserve">(#) </w:t>
            </w:r>
            <w:r w:rsidRPr="008F0D9B" w:rsidR="008F0D9B">
              <w:rPr>
                <w:rFonts w:eastAsia="Calibri" w:cs="Arial"/>
              </w:rPr>
              <w:t>Daily Cycle Limits</w:t>
            </w:r>
            <w:r w:rsidRPr="002D2A8F" w:rsidR="008F0D9B">
              <w:rPr>
                <w:rFonts w:cs="Arial"/>
              </w:rPr>
              <w:t xml:space="preserve"> </w:t>
            </w:r>
          </w:p>
        </w:tc>
      </w:tr>
      <w:tr w:rsidRPr="002D2A8F" w:rsidR="005A4168" w:rsidTr="46E720FD" w14:paraId="6215EEF6" w14:textId="77777777">
        <w:tc>
          <w:tcPr>
            <w:tcW w:w="1165" w:type="dxa"/>
          </w:tcPr>
          <w:p w:rsidRPr="002D2A8F" w:rsidR="005A4168" w:rsidP="00223BC9" w:rsidRDefault="005A4168" w14:paraId="24E3BA62" w14:textId="6B58E885">
            <w:pPr>
              <w:pStyle w:val="EnvelopeReturn"/>
              <w:widowControl w:val="0"/>
              <w:spacing w:after="0"/>
              <w:jc w:val="center"/>
              <w:rPr>
                <w:rFonts w:cs="Arial" w:eastAsiaTheme="minorHAnsi"/>
              </w:rPr>
            </w:pPr>
            <w:r w:rsidRPr="002D2A8F">
              <w:rPr>
                <w:rFonts w:cs="Arial" w:eastAsiaTheme="minorHAnsi"/>
              </w:rPr>
              <w:lastRenderedPageBreak/>
              <w:t>I</w:t>
            </w:r>
          </w:p>
        </w:tc>
        <w:tc>
          <w:tcPr>
            <w:tcW w:w="8190" w:type="dxa"/>
          </w:tcPr>
          <w:p w:rsidRPr="002D2A8F" w:rsidR="005A4168" w:rsidP="005A4168" w:rsidRDefault="005A4168" w14:paraId="4F71F6CD" w14:textId="127973F3">
            <w:pPr>
              <w:widowControl w:val="0"/>
              <w:rPr>
                <w:rFonts w:cs="Arial"/>
              </w:rPr>
            </w:pPr>
            <w:r w:rsidRPr="46E720FD">
              <w:rPr>
                <w:rFonts w:eastAsia="Calibri" w:cs="Arial"/>
                <w:highlight w:val="yellow"/>
              </w:rPr>
              <w:t>#____#</w:t>
            </w:r>
            <w:r w:rsidRPr="46E720FD">
              <w:rPr>
                <w:rFonts w:cs="Arial"/>
              </w:rPr>
              <w:t xml:space="preserve"> </w:t>
            </w:r>
            <w:r w:rsidRPr="46E720FD" w:rsidR="008F0D9B">
              <w:rPr>
                <w:rFonts w:cs="Arial"/>
              </w:rPr>
              <w:t xml:space="preserve">(#) Cycle Limit (per Annual Period – minimum </w:t>
            </w:r>
            <w:r w:rsidRPr="0072211F" w:rsidR="008F0D9B">
              <w:rPr>
                <w:highlight w:val="yellow"/>
              </w:rPr>
              <w:t>365</w:t>
            </w:r>
            <w:r w:rsidRPr="46E720FD" w:rsidR="5B80D8E8">
              <w:rPr>
                <w:rFonts w:cs="Arial"/>
                <w:highlight w:val="yellow"/>
              </w:rPr>
              <w:t>/366</w:t>
            </w:r>
            <w:r w:rsidRPr="46E720FD" w:rsidR="008F0D9B">
              <w:rPr>
                <w:rFonts w:cs="Arial"/>
              </w:rPr>
              <w:t>)</w:t>
            </w:r>
          </w:p>
        </w:tc>
      </w:tr>
      <w:tr w:rsidRPr="002D2A8F" w:rsidR="005A4168" w:rsidTr="46E720FD" w14:paraId="3EF91681" w14:textId="77777777">
        <w:tc>
          <w:tcPr>
            <w:tcW w:w="1165" w:type="dxa"/>
          </w:tcPr>
          <w:p w:rsidRPr="002D2A8F" w:rsidR="005A4168" w:rsidP="00223BC9" w:rsidRDefault="006C2FAF" w14:paraId="42A16B3D" w14:textId="4A3F0CB1">
            <w:pPr>
              <w:pStyle w:val="EnvelopeReturn"/>
              <w:widowControl w:val="0"/>
              <w:spacing w:after="0"/>
              <w:jc w:val="center"/>
              <w:rPr>
                <w:rFonts w:cs="Arial" w:eastAsiaTheme="minorHAnsi"/>
              </w:rPr>
            </w:pPr>
            <w:r>
              <w:rPr>
                <w:rFonts w:cs="Arial" w:eastAsiaTheme="minorHAnsi"/>
              </w:rPr>
              <w:t>J</w:t>
            </w:r>
          </w:p>
        </w:tc>
        <w:tc>
          <w:tcPr>
            <w:tcW w:w="8190" w:type="dxa"/>
          </w:tcPr>
          <w:p w:rsidRPr="002D2A8F" w:rsidR="005A4168" w:rsidP="00CF324B" w:rsidRDefault="005A4168" w14:paraId="08A50D3A" w14:textId="074BE7B0">
            <w:pPr>
              <w:pStyle w:val="EnvelopeReturn"/>
              <w:widowControl w:val="0"/>
              <w:spacing w:after="0"/>
              <w:rPr>
                <w:rFonts w:eastAsia="Calibri" w:cs="Arial"/>
                <w:highlight w:val="yellow"/>
              </w:rPr>
            </w:pPr>
            <w:r w:rsidRPr="002D2A8F">
              <w:rPr>
                <w:rFonts w:eastAsia="Calibri" w:cs="Arial"/>
                <w:highlight w:val="yellow"/>
              </w:rPr>
              <w:t>#____#</w:t>
            </w:r>
            <w:r w:rsidRPr="00A130EA">
              <w:rPr>
                <w:rFonts w:eastAsia="Calibri" w:cs="Arial"/>
              </w:rPr>
              <w:t xml:space="preserve"> </w:t>
            </w:r>
            <w:r w:rsidRPr="002D2A8F" w:rsidR="008F0D9B">
              <w:rPr>
                <w:rFonts w:cs="Arial"/>
              </w:rPr>
              <w:t>(MW) Interconnection Limit</w:t>
            </w:r>
            <w:r w:rsidR="008F0D9B">
              <w:rPr>
                <w:rFonts w:cs="Arial"/>
              </w:rPr>
              <w:t xml:space="preserve"> </w:t>
            </w:r>
          </w:p>
        </w:tc>
      </w:tr>
    </w:tbl>
    <w:p w:rsidRPr="002D2A8F" w:rsidR="002D54C4" w:rsidP="002D54C4" w:rsidRDefault="002D54C4" w14:paraId="7BD63A12" w14:textId="6CE8A33A">
      <w:pPr>
        <w:widowControl w:val="0"/>
        <w:rPr>
          <w:rFonts w:ascii="Arial" w:hAnsi="Arial" w:cs="Arial"/>
          <w:sz w:val="20"/>
          <w:szCs w:val="20"/>
        </w:rPr>
      </w:pPr>
      <w:r w:rsidRPr="002D2A8F">
        <w:rPr>
          <w:rFonts w:ascii="Arial" w:hAnsi="Arial" w:cs="Arial"/>
          <w:b/>
          <w:color w:val="FF0000"/>
          <w:sz w:val="20"/>
          <w:szCs w:val="20"/>
        </w:rPr>
        <w:t>*</w:t>
      </w:r>
      <w:r w:rsidRPr="002D2A8F">
        <w:rPr>
          <w:rFonts w:ascii="Arial" w:hAnsi="Arial" w:cs="Arial"/>
          <w:color w:val="FF0000"/>
          <w:sz w:val="20"/>
          <w:szCs w:val="20"/>
        </w:rPr>
        <w:t xml:space="preserve"> NOTE: Starred items will be Seller </w:t>
      </w:r>
      <w:r w:rsidRPr="002D2A8F" w:rsidR="00346045">
        <w:rPr>
          <w:rFonts w:ascii="Arial" w:hAnsi="Arial" w:cs="Arial"/>
          <w:color w:val="FF0000"/>
          <w:sz w:val="20"/>
          <w:szCs w:val="20"/>
        </w:rPr>
        <w:t>Performance Guarantees</w:t>
      </w:r>
      <w:r w:rsidRPr="002D2A8F">
        <w:rPr>
          <w:rFonts w:ascii="Arial" w:hAnsi="Arial" w:cs="Arial"/>
          <w:color w:val="FF0000"/>
          <w:sz w:val="20"/>
          <w:szCs w:val="20"/>
        </w:rPr>
        <w:t xml:space="preserve"> used by GPC in evaluating </w:t>
      </w:r>
      <w:r w:rsidR="00E94322">
        <w:rPr>
          <w:rFonts w:ascii="Arial" w:hAnsi="Arial" w:cs="Arial"/>
          <w:color w:val="FF0000"/>
          <w:sz w:val="20"/>
          <w:szCs w:val="20"/>
        </w:rPr>
        <w:t>B</w:t>
      </w:r>
      <w:r w:rsidRPr="002D2A8F" w:rsidR="00346045">
        <w:rPr>
          <w:rFonts w:ascii="Arial" w:hAnsi="Arial" w:cs="Arial"/>
          <w:color w:val="FF0000"/>
          <w:sz w:val="20"/>
          <w:szCs w:val="20"/>
        </w:rPr>
        <w:t xml:space="preserve">ESS </w:t>
      </w:r>
      <w:r w:rsidRPr="002D2A8F">
        <w:rPr>
          <w:rFonts w:ascii="Arial" w:hAnsi="Arial" w:cs="Arial"/>
          <w:color w:val="FF0000"/>
          <w:sz w:val="20"/>
          <w:szCs w:val="20"/>
        </w:rPr>
        <w:t xml:space="preserve">performance. </w:t>
      </w:r>
    </w:p>
    <w:p w:rsidRPr="002D2A8F" w:rsidR="002D54C4" w:rsidP="007E46C5" w:rsidRDefault="002D54C4" w14:paraId="647EBC59" w14:textId="77777777">
      <w:pPr>
        <w:widowControl w:val="0"/>
        <w:rPr>
          <w:rFonts w:ascii="Arial" w:hAnsi="Arial" w:cs="Arial"/>
          <w:sz w:val="20"/>
          <w:szCs w:val="20"/>
        </w:rPr>
      </w:pPr>
      <w:r w:rsidRPr="002D2A8F">
        <w:rPr>
          <w:rFonts w:ascii="Arial" w:hAnsi="Arial" w:cs="Arial"/>
          <w:sz w:val="20"/>
          <w:szCs w:val="20"/>
        </w:rPr>
        <w:t xml:space="preserve">The Facility includes the following: </w:t>
      </w:r>
      <w:r w:rsidRPr="00AF4BB8">
        <w:rPr>
          <w:rFonts w:ascii="Arial" w:hAnsi="Arial" w:cs="Arial"/>
          <w:sz w:val="20"/>
          <w:szCs w:val="20"/>
          <w:highlight w:val="yellow"/>
        </w:rPr>
        <w:t>[Description to be provided by Seller and conformed to the Bid]</w:t>
      </w:r>
    </w:p>
    <w:p w:rsidRPr="002D2A8F" w:rsidR="001C19E2" w:rsidP="007E46C5" w:rsidRDefault="002D54C4" w14:paraId="5ED314F5" w14:textId="19F7B5DE">
      <w:pPr>
        <w:widowControl w:val="0"/>
        <w:rPr>
          <w:rFonts w:ascii="Arial" w:hAnsi="Arial" w:cs="Arial"/>
          <w:sz w:val="20"/>
          <w:szCs w:val="20"/>
        </w:rPr>
      </w:pPr>
      <w:r w:rsidRPr="002D2A8F">
        <w:rPr>
          <w:rFonts w:ascii="Arial" w:hAnsi="Arial" w:cs="Arial"/>
          <w:sz w:val="20"/>
          <w:szCs w:val="20"/>
        </w:rPr>
        <w:t>(For example, storage facilit</w:t>
      </w:r>
      <w:r w:rsidR="00B94CDF">
        <w:rPr>
          <w:rFonts w:ascii="Arial" w:hAnsi="Arial" w:cs="Arial"/>
          <w:sz w:val="20"/>
          <w:szCs w:val="20"/>
        </w:rPr>
        <w:t>y</w:t>
      </w:r>
      <w:r w:rsidRPr="002D2A8F">
        <w:rPr>
          <w:rFonts w:ascii="Arial" w:hAnsi="Arial" w:cs="Arial"/>
          <w:sz w:val="20"/>
          <w:szCs w:val="20"/>
        </w:rPr>
        <w:t xml:space="preserve"> technology type, </w:t>
      </w:r>
      <w:r w:rsidRPr="0069564C" w:rsidR="0069564C">
        <w:rPr>
          <w:rFonts w:ascii="Arial" w:hAnsi="Arial" w:cs="Arial"/>
          <w:sz w:val="20"/>
          <w:szCs w:val="20"/>
        </w:rPr>
        <w:t xml:space="preserve">number and arrangement of cells and inverters, round-trip </w:t>
      </w:r>
      <w:r w:rsidRPr="002D2A8F">
        <w:rPr>
          <w:rFonts w:ascii="Arial" w:hAnsi="Arial" w:cs="Arial"/>
          <w:sz w:val="20"/>
          <w:szCs w:val="20"/>
        </w:rPr>
        <w:t>efficiency, etc.)</w:t>
      </w:r>
    </w:p>
    <w:p w:rsidRPr="002D2A8F" w:rsidR="001C19E2" w:rsidRDefault="001C19E2" w14:paraId="789DACD9" w14:textId="77777777">
      <w:pPr>
        <w:rPr>
          <w:rFonts w:ascii="Arial" w:hAnsi="Arial" w:cs="Arial"/>
          <w:sz w:val="20"/>
          <w:szCs w:val="20"/>
        </w:rPr>
      </w:pPr>
      <w:r w:rsidRPr="002D2A8F">
        <w:rPr>
          <w:rFonts w:ascii="Arial" w:hAnsi="Arial" w:cs="Arial"/>
          <w:sz w:val="20"/>
          <w:szCs w:val="20"/>
        </w:rPr>
        <w:br w:type="page"/>
      </w:r>
    </w:p>
    <w:p w:rsidRPr="002D2A8F" w:rsidR="00345BE0" w:rsidP="00D20B52" w:rsidRDefault="006A0277" w14:paraId="66269191" w14:textId="09990A55">
      <w:pPr>
        <w:pStyle w:val="zGTitleExhibit"/>
        <w:rPr>
          <w:rFonts w:cs="Arial"/>
        </w:rPr>
      </w:pPr>
      <w:bookmarkStart w:name="_Toc169778715" w:id="1063"/>
      <w:bookmarkStart w:name="_Toc227451480" w:id="1064"/>
      <w:r w:rsidRPr="002D2A8F">
        <w:rPr>
          <w:rFonts w:cs="Arial"/>
        </w:rPr>
        <w:lastRenderedPageBreak/>
        <w:t>exhibit a-1</w:t>
      </w:r>
      <w:r w:rsidRPr="002D2A8F" w:rsidR="00E24A25">
        <w:rPr>
          <w:rFonts w:cs="Arial"/>
        </w:rPr>
        <w:t xml:space="preserve"> – </w:t>
      </w:r>
      <w:r w:rsidRPr="002D2A8F" w:rsidR="000C4BC9">
        <w:rPr>
          <w:rFonts w:cs="Arial"/>
        </w:rPr>
        <w:t xml:space="preserve">KEY </w:t>
      </w:r>
      <w:r w:rsidRPr="002D2A8F" w:rsidR="00E24A25">
        <w:rPr>
          <w:rFonts w:cs="Arial"/>
        </w:rPr>
        <w:t>MILESTONE</w:t>
      </w:r>
      <w:r w:rsidRPr="002D2A8F" w:rsidR="00A867A4">
        <w:rPr>
          <w:rFonts w:cs="Arial"/>
        </w:rPr>
        <w:t>S AND REQUIRED KEY MILESTONE DATES</w:t>
      </w:r>
      <w:bookmarkEnd w:id="1063"/>
      <w:bookmarkEnd w:id="1064"/>
      <w:r w:rsidRPr="002D2A8F" w:rsidR="00E24A25">
        <w:rPr>
          <w:rFonts w:cs="Arial"/>
        </w:rPr>
        <w:t xml:space="preserve"> </w:t>
      </w:r>
    </w:p>
    <w:p w:rsidR="002A0C5C" w:rsidP="00AF4BB8" w:rsidRDefault="002A0C5C" w14:paraId="21BA3CF6" w14:textId="3DAB9C22">
      <w:pPr>
        <w:pStyle w:val="zGNormal"/>
        <w:rPr>
          <w:b/>
          <w:bCs/>
        </w:rPr>
      </w:pPr>
      <w:r w:rsidRPr="00AF4BB8">
        <w:rPr>
          <w:b/>
          <w:bCs/>
          <w:highlight w:val="cyan"/>
        </w:rPr>
        <w:t>[</w:t>
      </w:r>
      <w:r w:rsidRPr="00862FFF">
        <w:rPr>
          <w:b/>
          <w:bCs/>
          <w:i/>
          <w:iCs/>
          <w:highlight w:val="cyan"/>
          <w:u w:val="single"/>
        </w:rPr>
        <w:t>Note to Bidders</w:t>
      </w:r>
      <w:r w:rsidRPr="00862FFF" w:rsidR="0043739D">
        <w:rPr>
          <w:b/>
          <w:bCs/>
          <w:i/>
          <w:iCs/>
          <w:highlight w:val="cyan"/>
        </w:rPr>
        <w:t xml:space="preserve">: </w:t>
      </w:r>
      <w:r w:rsidRPr="00862FFF" w:rsidR="00C07C84">
        <w:rPr>
          <w:b/>
          <w:bCs/>
          <w:i/>
          <w:iCs/>
          <w:highlight w:val="cyan"/>
        </w:rPr>
        <w:t xml:space="preserve">This Key Milestones and Required Key Milestone Dates Exhibit </w:t>
      </w:r>
      <w:r w:rsidR="00A01A98">
        <w:rPr>
          <w:b/>
          <w:bCs/>
          <w:i/>
          <w:iCs/>
          <w:highlight w:val="cyan"/>
        </w:rPr>
        <w:t xml:space="preserve">will be </w:t>
      </w:r>
      <w:r w:rsidRPr="00862FFF" w:rsidR="00DC76CF">
        <w:rPr>
          <w:b/>
          <w:bCs/>
          <w:i/>
          <w:iCs/>
          <w:highlight w:val="cyan"/>
        </w:rPr>
        <w:t>revised to reflect</w:t>
      </w:r>
      <w:r w:rsidRPr="00862FFF" w:rsidR="004553D8">
        <w:rPr>
          <w:b/>
          <w:bCs/>
          <w:i/>
          <w:iCs/>
          <w:highlight w:val="cyan"/>
        </w:rPr>
        <w:t xml:space="preserve"> Key Milestones applicable to the </w:t>
      </w:r>
      <w:r w:rsidRPr="00862FFF" w:rsidR="00DC76CF">
        <w:rPr>
          <w:b/>
          <w:bCs/>
          <w:i/>
          <w:iCs/>
          <w:highlight w:val="cyan"/>
        </w:rPr>
        <w:t>Facility and project prior to PPA execution</w:t>
      </w:r>
      <w:r w:rsidRPr="00AF4BB8" w:rsidR="00DC76CF">
        <w:rPr>
          <w:b/>
          <w:bCs/>
          <w:highlight w:val="cyan"/>
        </w:rPr>
        <w:t>]</w:t>
      </w:r>
    </w:p>
    <w:p w:rsidRPr="00AF4BB8" w:rsidR="00862FFF" w:rsidP="00AF4BB8" w:rsidRDefault="00862FFF" w14:paraId="107B1ECF" w14:textId="77777777">
      <w:pPr>
        <w:pStyle w:val="zGNormal"/>
        <w:rPr>
          <w:b/>
          <w:bCs/>
        </w:rPr>
      </w:pPr>
    </w:p>
    <w:tbl>
      <w:tblPr>
        <w:tblStyle w:val="TableGrid"/>
        <w:tblW w:w="9360" w:type="dxa"/>
        <w:tblInd w:w="-5" w:type="dxa"/>
        <w:tblLook w:val="04A0" w:firstRow="1" w:lastRow="0" w:firstColumn="1" w:lastColumn="0" w:noHBand="0" w:noVBand="1"/>
      </w:tblPr>
      <w:tblGrid>
        <w:gridCol w:w="3420"/>
        <w:gridCol w:w="2610"/>
        <w:gridCol w:w="3330"/>
      </w:tblGrid>
      <w:tr w:rsidRPr="002D2A8F" w:rsidR="00D61E70" w:rsidTr="00611BF3" w14:paraId="2F351C09" w14:textId="77777777">
        <w:tc>
          <w:tcPr>
            <w:tcW w:w="3420" w:type="dxa"/>
          </w:tcPr>
          <w:p w:rsidRPr="002D2A8F" w:rsidR="00D61E70" w:rsidP="00D61E70" w:rsidRDefault="006B3B15" w14:paraId="7006FC30" w14:textId="0D7078D3">
            <w:pPr>
              <w:spacing w:after="120"/>
              <w:jc w:val="center"/>
              <w:rPr>
                <w:rFonts w:cs="Arial"/>
                <w:b/>
                <w:szCs w:val="24"/>
              </w:rPr>
            </w:pPr>
            <w:r w:rsidRPr="002D2A8F">
              <w:rPr>
                <w:rFonts w:cs="Arial"/>
                <w:b/>
                <w:szCs w:val="24"/>
              </w:rPr>
              <w:t xml:space="preserve">Key </w:t>
            </w:r>
            <w:r w:rsidRPr="002D2A8F" w:rsidR="00D61E70">
              <w:rPr>
                <w:rFonts w:cs="Arial"/>
                <w:b/>
                <w:szCs w:val="24"/>
              </w:rPr>
              <w:t>Milestone</w:t>
            </w:r>
          </w:p>
        </w:tc>
        <w:tc>
          <w:tcPr>
            <w:tcW w:w="2610" w:type="dxa"/>
          </w:tcPr>
          <w:p w:rsidRPr="002D2A8F" w:rsidR="00D61E70" w:rsidP="0043739D" w:rsidRDefault="006B3B15" w14:paraId="5705B459" w14:textId="09FFA4D3">
            <w:pPr>
              <w:pStyle w:val="Subtitle-Bold"/>
              <w:spacing w:after="120"/>
              <w:rPr>
                <w:rFonts w:cs="Arial"/>
                <w:bCs w:val="0"/>
                <w:szCs w:val="24"/>
              </w:rPr>
            </w:pPr>
            <w:r w:rsidRPr="002D2A8F">
              <w:rPr>
                <w:rFonts w:cs="Arial"/>
                <w:bCs w:val="0"/>
                <w:szCs w:val="24"/>
              </w:rPr>
              <w:t xml:space="preserve">Key </w:t>
            </w:r>
            <w:r w:rsidRPr="002D2A8F" w:rsidR="00D61E70">
              <w:rPr>
                <w:rFonts w:cs="Arial"/>
                <w:bCs w:val="0"/>
                <w:szCs w:val="24"/>
              </w:rPr>
              <w:t>Milestone Date</w:t>
            </w:r>
          </w:p>
        </w:tc>
        <w:tc>
          <w:tcPr>
            <w:tcW w:w="3330" w:type="dxa"/>
          </w:tcPr>
          <w:p w:rsidRPr="002D2A8F" w:rsidR="00D61E70" w:rsidP="00D61E70" w:rsidRDefault="00D61E70" w14:paraId="58EDA08D" w14:textId="68E9ADAF">
            <w:pPr>
              <w:spacing w:after="120"/>
              <w:jc w:val="center"/>
              <w:rPr>
                <w:rFonts w:cs="Arial"/>
                <w:b/>
                <w:szCs w:val="24"/>
              </w:rPr>
            </w:pPr>
            <w:r w:rsidRPr="002D2A8F">
              <w:rPr>
                <w:rFonts w:cs="Arial"/>
                <w:b/>
                <w:szCs w:val="24"/>
              </w:rPr>
              <w:t>Required Substantia</w:t>
            </w:r>
            <w:r w:rsidRPr="002D2A8F" w:rsidR="004D7436">
              <w:rPr>
                <w:rFonts w:cs="Arial"/>
                <w:b/>
                <w:szCs w:val="24"/>
              </w:rPr>
              <w:t>tion</w:t>
            </w:r>
            <w:r w:rsidRPr="002D2A8F">
              <w:rPr>
                <w:rStyle w:val="FootnoteReference"/>
                <w:rFonts w:cs="Arial"/>
                <w:szCs w:val="24"/>
              </w:rPr>
              <w:footnoteReference w:id="3"/>
            </w:r>
          </w:p>
        </w:tc>
      </w:tr>
      <w:tr w:rsidRPr="002D2A8F" w:rsidR="00D61E70" w:rsidTr="00611BF3" w14:paraId="5D25B4FE" w14:textId="77777777">
        <w:tc>
          <w:tcPr>
            <w:tcW w:w="3420" w:type="dxa"/>
          </w:tcPr>
          <w:p w:rsidRPr="002D2A8F" w:rsidR="00D61E70" w:rsidP="00432623" w:rsidRDefault="00D61E70" w14:paraId="238164CE" w14:textId="77777777">
            <w:pPr>
              <w:spacing w:after="240"/>
              <w:jc w:val="left"/>
              <w:rPr>
                <w:rFonts w:cs="Arial"/>
                <w:b/>
                <w:bCs/>
                <w:szCs w:val="24"/>
              </w:rPr>
            </w:pPr>
            <w:r w:rsidRPr="002D2A8F">
              <w:rPr>
                <w:rFonts w:cs="Arial"/>
                <w:b/>
                <w:bCs/>
                <w:szCs w:val="24"/>
              </w:rPr>
              <w:t>Interconnection</w:t>
            </w:r>
          </w:p>
          <w:p w:rsidRPr="002D2A8F" w:rsidR="00D61E70" w:rsidP="00432623" w:rsidRDefault="00F05923" w14:paraId="48BDC68F" w14:textId="5BE1D949">
            <w:pPr>
              <w:spacing w:after="240"/>
              <w:jc w:val="left"/>
              <w:rPr>
                <w:rFonts w:cs="Arial"/>
                <w:szCs w:val="24"/>
              </w:rPr>
            </w:pPr>
            <w:r w:rsidRPr="002D2A8F">
              <w:rPr>
                <w:rFonts w:cs="Arial"/>
                <w:szCs w:val="24"/>
              </w:rPr>
              <w:t>IA execution</w:t>
            </w:r>
            <w:r w:rsidRPr="002D2A8F" w:rsidR="00D61E70">
              <w:rPr>
                <w:rFonts w:cs="Arial"/>
                <w:szCs w:val="24"/>
              </w:rPr>
              <w:t xml:space="preserve"> </w:t>
            </w:r>
          </w:p>
        </w:tc>
        <w:tc>
          <w:tcPr>
            <w:tcW w:w="2610" w:type="dxa"/>
          </w:tcPr>
          <w:p w:rsidRPr="002D2A8F" w:rsidR="00D61E70" w:rsidRDefault="00D61E70" w14:paraId="3377289A" w14:textId="77777777">
            <w:pPr>
              <w:spacing w:after="240"/>
              <w:rPr>
                <w:rFonts w:cs="Arial"/>
                <w:szCs w:val="24"/>
              </w:rPr>
            </w:pPr>
          </w:p>
        </w:tc>
        <w:tc>
          <w:tcPr>
            <w:tcW w:w="3330" w:type="dxa"/>
          </w:tcPr>
          <w:p w:rsidRPr="002D2A8F" w:rsidR="00D61E70" w:rsidRDefault="00CE4F14" w14:paraId="7D5D6ED0" w14:textId="746C19AA">
            <w:pPr>
              <w:spacing w:after="240"/>
              <w:rPr>
                <w:rFonts w:cs="Arial"/>
                <w:szCs w:val="24"/>
              </w:rPr>
            </w:pPr>
            <w:r w:rsidRPr="002D2A8F">
              <w:rPr>
                <w:rFonts w:cs="Arial"/>
                <w:szCs w:val="24"/>
              </w:rPr>
              <w:t>Copies of</w:t>
            </w:r>
            <w:r w:rsidRPr="002D2A8F" w:rsidR="00D61E70">
              <w:rPr>
                <w:rFonts w:cs="Arial"/>
                <w:szCs w:val="24"/>
              </w:rPr>
              <w:t>:</w:t>
            </w:r>
          </w:p>
          <w:p w:rsidRPr="002D2A8F" w:rsidR="00D61E70" w:rsidRDefault="00300455" w14:paraId="0F7D8360" w14:textId="0C2C6F5B">
            <w:pPr>
              <w:spacing w:after="240"/>
              <w:rPr>
                <w:rFonts w:cs="Arial"/>
                <w:szCs w:val="24"/>
              </w:rPr>
            </w:pPr>
            <w:r w:rsidRPr="002D2A8F">
              <w:rPr>
                <w:rFonts w:cs="Arial"/>
                <w:szCs w:val="24"/>
              </w:rPr>
              <w:t>Executed copy of IA reflecting a commercial operation date no later than the RCOD</w:t>
            </w:r>
          </w:p>
        </w:tc>
      </w:tr>
      <w:tr w:rsidRPr="002D2A8F" w:rsidR="00D61E70" w:rsidTr="00611BF3" w14:paraId="146392AE" w14:textId="77777777">
        <w:tc>
          <w:tcPr>
            <w:tcW w:w="3420" w:type="dxa"/>
          </w:tcPr>
          <w:p w:rsidRPr="002D2A8F" w:rsidR="00D61E70" w:rsidP="00432623" w:rsidRDefault="00D61E70" w14:paraId="4A7631C8" w14:textId="1874F69E">
            <w:pPr>
              <w:spacing w:after="240"/>
              <w:jc w:val="left"/>
              <w:rPr>
                <w:rFonts w:cs="Arial"/>
                <w:szCs w:val="24"/>
              </w:rPr>
            </w:pPr>
            <w:r w:rsidRPr="002D2A8F">
              <w:rPr>
                <w:rFonts w:cs="Arial"/>
                <w:szCs w:val="24"/>
              </w:rPr>
              <w:t>EPC Contract</w:t>
            </w:r>
            <w:r w:rsidRPr="002D2A8F" w:rsidR="00BF4E0C">
              <w:rPr>
                <w:rFonts w:cs="Arial"/>
                <w:szCs w:val="24"/>
              </w:rPr>
              <w:t xml:space="preserve"> </w:t>
            </w:r>
            <w:r w:rsidRPr="002D2A8F" w:rsidR="00F05923">
              <w:rPr>
                <w:rFonts w:cs="Arial"/>
                <w:szCs w:val="24"/>
              </w:rPr>
              <w:t>execution</w:t>
            </w:r>
          </w:p>
        </w:tc>
        <w:tc>
          <w:tcPr>
            <w:tcW w:w="2610" w:type="dxa"/>
          </w:tcPr>
          <w:p w:rsidRPr="002D2A8F" w:rsidR="00D61E70" w:rsidRDefault="00D61E70" w14:paraId="3360B141" w14:textId="77777777">
            <w:pPr>
              <w:spacing w:after="240"/>
              <w:rPr>
                <w:rFonts w:cs="Arial"/>
                <w:szCs w:val="24"/>
              </w:rPr>
            </w:pPr>
          </w:p>
        </w:tc>
        <w:tc>
          <w:tcPr>
            <w:tcW w:w="3330" w:type="dxa"/>
          </w:tcPr>
          <w:p w:rsidRPr="002D2A8F" w:rsidR="00D61E70" w:rsidRDefault="00005B44" w14:paraId="1F7CDE29" w14:textId="7DB848BA">
            <w:pPr>
              <w:spacing w:after="240"/>
              <w:rPr>
                <w:rFonts w:cs="Arial"/>
                <w:szCs w:val="24"/>
              </w:rPr>
            </w:pPr>
            <w:r w:rsidRPr="002D2A8F">
              <w:rPr>
                <w:rFonts w:cs="Arial"/>
                <w:szCs w:val="24"/>
              </w:rPr>
              <w:t xml:space="preserve">A copy of the executed </w:t>
            </w:r>
            <w:r w:rsidRPr="002D2A8F" w:rsidR="00AD196C">
              <w:rPr>
                <w:rFonts w:cs="Arial"/>
                <w:szCs w:val="24"/>
              </w:rPr>
              <w:t xml:space="preserve">EPC Contract reflecting a </w:t>
            </w:r>
            <w:r w:rsidRPr="002D2A8F" w:rsidR="00B86326">
              <w:rPr>
                <w:rFonts w:cs="Arial"/>
                <w:szCs w:val="24"/>
              </w:rPr>
              <w:t>substantial completion date</w:t>
            </w:r>
            <w:r w:rsidRPr="002D2A8F" w:rsidR="005809AA">
              <w:rPr>
                <w:rFonts w:cs="Arial"/>
                <w:szCs w:val="24"/>
              </w:rPr>
              <w:t xml:space="preserve"> that supports</w:t>
            </w:r>
            <w:r w:rsidRPr="002D2A8F" w:rsidR="00B86326">
              <w:rPr>
                <w:rFonts w:cs="Arial"/>
                <w:szCs w:val="24"/>
              </w:rPr>
              <w:t xml:space="preserve"> the RCOD</w:t>
            </w:r>
            <w:r w:rsidR="00A70B93">
              <w:rPr>
                <w:rFonts w:cs="Arial"/>
                <w:szCs w:val="24"/>
              </w:rPr>
              <w:t xml:space="preserve">, with </w:t>
            </w:r>
            <w:r w:rsidR="00CB6635">
              <w:rPr>
                <w:rFonts w:cs="Arial"/>
                <w:szCs w:val="24"/>
              </w:rPr>
              <w:t>pricing and other commercially sensitive information redacted</w:t>
            </w:r>
          </w:p>
        </w:tc>
      </w:tr>
      <w:tr w:rsidRPr="002D2A8F" w:rsidR="00D61E70" w:rsidTr="00611BF3" w14:paraId="6D9BA961" w14:textId="77777777">
        <w:tc>
          <w:tcPr>
            <w:tcW w:w="3420" w:type="dxa"/>
          </w:tcPr>
          <w:p w:rsidRPr="00C22E00" w:rsidR="001E5BD1" w:rsidP="001E5BD1" w:rsidRDefault="001E5BD1" w14:paraId="0EC1BB40" w14:textId="56CAF2B8">
            <w:pPr>
              <w:spacing w:after="240"/>
            </w:pPr>
            <w:r w:rsidRPr="00C22E00">
              <w:t>Full execution of all major equipment procurement agreements, including those between Seller and applicable suppliers and vendors for</w:t>
            </w:r>
            <w:r>
              <w:t xml:space="preserve"> GSU, Switchyard equipment, Generator, BESS components, Medium Voltage Transformer</w:t>
            </w:r>
            <w:r w:rsidR="009723EA">
              <w:t>, and</w:t>
            </w:r>
            <w:r w:rsidR="00F15711">
              <w:t xml:space="preserve"> [</w:t>
            </w:r>
            <w:r w:rsidRPr="006E5A2F" w:rsidR="006E5A2F">
              <w:rPr>
                <w:b/>
                <w:bCs/>
                <w:highlight w:val="cyan"/>
              </w:rPr>
              <w:t>Note to Bidders:</w:t>
            </w:r>
            <w:r w:rsidRPr="006E5A2F" w:rsidR="006E5A2F">
              <w:rPr>
                <w:highlight w:val="cyan"/>
              </w:rPr>
              <w:t xml:space="preserve"> Please list additional major equipment</w:t>
            </w:r>
            <w:r w:rsidR="006E5A2F">
              <w:t>]</w:t>
            </w:r>
            <w:r w:rsidR="00442E96">
              <w:t>:</w:t>
            </w:r>
          </w:p>
          <w:p w:rsidR="001E5BD1" w:rsidP="001E5BD1" w:rsidRDefault="001E5BD1" w14:paraId="39393335" w14:textId="77777777">
            <w:pPr>
              <w:spacing w:after="240"/>
            </w:pPr>
            <w:r w:rsidRPr="00C22E00">
              <w:t xml:space="preserve">•     </w:t>
            </w:r>
            <w:r w:rsidRPr="00883E27">
              <w:rPr>
                <w:highlight w:val="yellow"/>
              </w:rPr>
              <w:t>#AddEquipment</w:t>
            </w:r>
            <w:r>
              <w:t xml:space="preserve"> </w:t>
            </w:r>
          </w:p>
          <w:p w:rsidR="001E5BD1" w:rsidP="001E5BD1" w:rsidRDefault="001E5BD1" w14:paraId="626E517E" w14:textId="77777777">
            <w:pPr>
              <w:spacing w:after="240"/>
            </w:pPr>
            <w:r w:rsidRPr="00C22E00">
              <w:t xml:space="preserve">•     </w:t>
            </w:r>
            <w:r w:rsidRPr="00DD2C25">
              <w:rPr>
                <w:highlight w:val="yellow"/>
              </w:rPr>
              <w:t>#AddEquipment</w:t>
            </w:r>
            <w:r>
              <w:t xml:space="preserve"> </w:t>
            </w:r>
          </w:p>
          <w:p w:rsidR="001E5BD1" w:rsidP="001E5BD1" w:rsidRDefault="001E5BD1" w14:paraId="3D39356D" w14:textId="77777777">
            <w:pPr>
              <w:spacing w:after="240"/>
            </w:pPr>
            <w:r w:rsidRPr="00C22E00">
              <w:t xml:space="preserve">•     </w:t>
            </w:r>
            <w:r w:rsidRPr="00DD2C25">
              <w:rPr>
                <w:highlight w:val="yellow"/>
              </w:rPr>
              <w:t>#AddEquipment</w:t>
            </w:r>
            <w:r>
              <w:t xml:space="preserve"> </w:t>
            </w:r>
          </w:p>
          <w:p w:rsidR="001E5BD1" w:rsidP="001E5BD1" w:rsidRDefault="001E5BD1" w14:paraId="407F2BB4" w14:textId="77777777">
            <w:pPr>
              <w:spacing w:after="240"/>
              <w:jc w:val="left"/>
            </w:pPr>
            <w:r w:rsidRPr="00C22E00">
              <w:t xml:space="preserve">•     </w:t>
            </w:r>
            <w:r w:rsidRPr="00DD2C25">
              <w:rPr>
                <w:highlight w:val="yellow"/>
              </w:rPr>
              <w:t>#AddEquipment</w:t>
            </w:r>
          </w:p>
          <w:p w:rsidRPr="002D2A8F" w:rsidR="0097283B" w:rsidP="001E5BD1" w:rsidRDefault="001E5BD1" w14:paraId="76188A99" w14:textId="1E7EEF3A">
            <w:pPr>
              <w:spacing w:after="240"/>
              <w:jc w:val="left"/>
              <w:rPr>
                <w:rFonts w:cs="Arial"/>
                <w:szCs w:val="24"/>
              </w:rPr>
            </w:pPr>
            <w:r w:rsidRPr="00C22E00">
              <w:t>and issuance of any applicable full notice to proceed.</w:t>
            </w:r>
          </w:p>
        </w:tc>
        <w:tc>
          <w:tcPr>
            <w:tcW w:w="2610" w:type="dxa"/>
          </w:tcPr>
          <w:p w:rsidRPr="002D2A8F" w:rsidR="00D61E70" w:rsidRDefault="00D61E70" w14:paraId="2689F962" w14:textId="77777777">
            <w:pPr>
              <w:spacing w:after="240"/>
              <w:rPr>
                <w:rFonts w:cs="Arial"/>
                <w:szCs w:val="24"/>
              </w:rPr>
            </w:pPr>
          </w:p>
        </w:tc>
        <w:tc>
          <w:tcPr>
            <w:tcW w:w="3330" w:type="dxa"/>
          </w:tcPr>
          <w:p w:rsidRPr="002D2A8F" w:rsidR="00D61E70" w:rsidP="00462E05" w:rsidRDefault="00D61E70" w14:paraId="1630EA5D" w14:textId="0FC852AF">
            <w:pPr>
              <w:spacing w:after="240"/>
              <w:jc w:val="left"/>
              <w:rPr>
                <w:rFonts w:cs="Arial"/>
                <w:szCs w:val="24"/>
              </w:rPr>
            </w:pPr>
            <w:r w:rsidRPr="002D2A8F">
              <w:rPr>
                <w:rFonts w:cs="Arial"/>
                <w:szCs w:val="24"/>
              </w:rPr>
              <w:t>A</w:t>
            </w:r>
            <w:r w:rsidRPr="002D2A8F" w:rsidR="00B21CA3">
              <w:rPr>
                <w:rFonts w:cs="Arial"/>
                <w:szCs w:val="24"/>
              </w:rPr>
              <w:t xml:space="preserve"> </w:t>
            </w:r>
            <w:r w:rsidRPr="002D2A8F">
              <w:rPr>
                <w:rFonts w:cs="Arial"/>
                <w:szCs w:val="24"/>
              </w:rPr>
              <w:t xml:space="preserve">copy of each </w:t>
            </w:r>
            <w:r w:rsidRPr="002D2A8F" w:rsidR="00B21CA3">
              <w:rPr>
                <w:rFonts w:cs="Arial"/>
                <w:szCs w:val="24"/>
              </w:rPr>
              <w:t xml:space="preserve">executed </w:t>
            </w:r>
            <w:r w:rsidRPr="002D2A8F" w:rsidR="006B7831">
              <w:rPr>
                <w:rFonts w:cs="Arial"/>
                <w:szCs w:val="24"/>
              </w:rPr>
              <w:t>m</w:t>
            </w:r>
            <w:r w:rsidRPr="002D2A8F">
              <w:rPr>
                <w:rFonts w:cs="Arial"/>
                <w:szCs w:val="24"/>
              </w:rPr>
              <w:t xml:space="preserve">ajor </w:t>
            </w:r>
            <w:r w:rsidRPr="002D2A8F" w:rsidR="006B7831">
              <w:rPr>
                <w:rFonts w:cs="Arial"/>
                <w:szCs w:val="24"/>
              </w:rPr>
              <w:t>e</w:t>
            </w:r>
            <w:r w:rsidRPr="002D2A8F">
              <w:rPr>
                <w:rFonts w:cs="Arial"/>
                <w:szCs w:val="24"/>
              </w:rPr>
              <w:t>quipment</w:t>
            </w:r>
            <w:r w:rsidRPr="002D2A8F" w:rsidR="00462E05">
              <w:rPr>
                <w:rFonts w:cs="Arial"/>
                <w:szCs w:val="24"/>
              </w:rPr>
              <w:t xml:space="preserve"> </w:t>
            </w:r>
            <w:r w:rsidRPr="002D2A8F" w:rsidR="006B7831">
              <w:rPr>
                <w:rFonts w:cs="Arial"/>
                <w:szCs w:val="24"/>
              </w:rPr>
              <w:t>p</w:t>
            </w:r>
            <w:r w:rsidRPr="002D2A8F">
              <w:rPr>
                <w:rFonts w:cs="Arial"/>
                <w:szCs w:val="24"/>
              </w:rPr>
              <w:t xml:space="preserve">rocurement </w:t>
            </w:r>
            <w:r w:rsidRPr="002D2A8F" w:rsidR="006B7831">
              <w:rPr>
                <w:rFonts w:cs="Arial"/>
                <w:szCs w:val="24"/>
              </w:rPr>
              <w:t>a</w:t>
            </w:r>
            <w:r w:rsidRPr="002D2A8F">
              <w:rPr>
                <w:rFonts w:cs="Arial"/>
                <w:szCs w:val="24"/>
              </w:rPr>
              <w:t xml:space="preserve">greement, with pricing </w:t>
            </w:r>
            <w:r w:rsidR="00B11B65">
              <w:rPr>
                <w:rFonts w:cs="Arial"/>
                <w:szCs w:val="24"/>
              </w:rPr>
              <w:t xml:space="preserve">and other commercially sensitive information </w:t>
            </w:r>
            <w:r w:rsidRPr="002D2A8F">
              <w:rPr>
                <w:rFonts w:cs="Arial"/>
                <w:szCs w:val="24"/>
              </w:rPr>
              <w:t xml:space="preserve">redacted, </w:t>
            </w:r>
            <w:r w:rsidR="00180BF4">
              <w:rPr>
                <w:rFonts w:cs="Arial"/>
                <w:szCs w:val="24"/>
              </w:rPr>
              <w:t xml:space="preserve">but </w:t>
            </w:r>
            <w:r w:rsidRPr="002D2A8F">
              <w:rPr>
                <w:rFonts w:cs="Arial"/>
                <w:szCs w:val="24"/>
              </w:rPr>
              <w:t>including</w:t>
            </w:r>
            <w:r w:rsidRPr="002D2A8F" w:rsidR="00B21CA3">
              <w:rPr>
                <w:rFonts w:cs="Arial"/>
                <w:szCs w:val="24"/>
              </w:rPr>
              <w:t>: (i)</w:t>
            </w:r>
            <w:r w:rsidRPr="002D2A8F">
              <w:rPr>
                <w:rFonts w:cs="Arial"/>
                <w:szCs w:val="24"/>
              </w:rPr>
              <w:t xml:space="preserve"> a description of the country of origin for all equipment and components to be supplied under </w:t>
            </w:r>
            <w:r w:rsidRPr="002D2A8F" w:rsidR="00A8288F">
              <w:rPr>
                <w:rFonts w:cs="Arial"/>
                <w:szCs w:val="24"/>
              </w:rPr>
              <w:t>the</w:t>
            </w:r>
            <w:r w:rsidRPr="002D2A8F">
              <w:rPr>
                <w:rFonts w:cs="Arial"/>
                <w:szCs w:val="24"/>
              </w:rPr>
              <w:t xml:space="preserve"> agreement</w:t>
            </w:r>
            <w:r w:rsidRPr="002D2A8F" w:rsidR="00462E05">
              <w:rPr>
                <w:rFonts w:cs="Arial"/>
                <w:szCs w:val="24"/>
              </w:rPr>
              <w:t>; (ii) any applicable full notice to proceed;</w:t>
            </w:r>
            <w:r w:rsidRPr="002D2A8F" w:rsidR="0030402D">
              <w:rPr>
                <w:rFonts w:cs="Arial"/>
                <w:szCs w:val="24"/>
              </w:rPr>
              <w:t xml:space="preserve"> and </w:t>
            </w:r>
            <w:r w:rsidRPr="002D2A8F" w:rsidR="00462E05">
              <w:rPr>
                <w:rFonts w:cs="Arial"/>
                <w:szCs w:val="24"/>
              </w:rPr>
              <w:t xml:space="preserve">(iii) </w:t>
            </w:r>
            <w:r w:rsidRPr="002D2A8F" w:rsidR="000A39F9">
              <w:rPr>
                <w:rFonts w:cs="Arial"/>
                <w:szCs w:val="24"/>
              </w:rPr>
              <w:t xml:space="preserve">schedules </w:t>
            </w:r>
            <w:r w:rsidRPr="002D2A8F" w:rsidR="00BE2BBA">
              <w:rPr>
                <w:rFonts w:cs="Arial"/>
                <w:szCs w:val="24"/>
              </w:rPr>
              <w:t xml:space="preserve">with required delivery dates </w:t>
            </w:r>
            <w:r w:rsidRPr="002D2A8F" w:rsidR="00B6769A">
              <w:rPr>
                <w:rFonts w:cs="Arial"/>
                <w:szCs w:val="24"/>
              </w:rPr>
              <w:t>consistent with</w:t>
            </w:r>
            <w:r w:rsidRPr="002D2A8F" w:rsidR="00BE2BBA">
              <w:rPr>
                <w:rFonts w:cs="Arial"/>
                <w:szCs w:val="24"/>
              </w:rPr>
              <w:t xml:space="preserve"> </w:t>
            </w:r>
            <w:r w:rsidRPr="002D2A8F" w:rsidR="00B6769A">
              <w:rPr>
                <w:rFonts w:cs="Arial"/>
                <w:szCs w:val="24"/>
              </w:rPr>
              <w:t xml:space="preserve">the RCOD. </w:t>
            </w:r>
          </w:p>
        </w:tc>
      </w:tr>
      <w:tr w:rsidRPr="002D2A8F" w:rsidR="00221888" w:rsidTr="00611BF3" w14:paraId="77257D20" w14:textId="77777777">
        <w:tc>
          <w:tcPr>
            <w:tcW w:w="3420" w:type="dxa"/>
          </w:tcPr>
          <w:p w:rsidRPr="002D2A8F" w:rsidR="00221888" w:rsidP="00432623" w:rsidRDefault="00B3382E" w14:paraId="7E8490FA" w14:textId="2C79081C">
            <w:pPr>
              <w:spacing w:after="240"/>
              <w:rPr>
                <w:rFonts w:cs="Arial"/>
                <w:szCs w:val="24"/>
              </w:rPr>
            </w:pPr>
            <w:r w:rsidRPr="002D2A8F">
              <w:rPr>
                <w:rFonts w:cs="Arial"/>
                <w:szCs w:val="24"/>
              </w:rPr>
              <w:t>EPC Contract Schedule Complete</w:t>
            </w:r>
          </w:p>
        </w:tc>
        <w:tc>
          <w:tcPr>
            <w:tcW w:w="2610" w:type="dxa"/>
          </w:tcPr>
          <w:p w:rsidRPr="002D2A8F" w:rsidR="00221888" w:rsidRDefault="00221888" w14:paraId="3EBAD170" w14:textId="77777777">
            <w:pPr>
              <w:spacing w:after="240"/>
              <w:rPr>
                <w:rFonts w:cs="Arial"/>
                <w:szCs w:val="24"/>
              </w:rPr>
            </w:pPr>
          </w:p>
        </w:tc>
        <w:tc>
          <w:tcPr>
            <w:tcW w:w="3330" w:type="dxa"/>
          </w:tcPr>
          <w:p w:rsidRPr="002D2A8F" w:rsidR="00221888" w:rsidRDefault="000035EA" w14:paraId="20019107" w14:textId="00A1A3E1">
            <w:pPr>
              <w:spacing w:after="240"/>
              <w:rPr>
                <w:rFonts w:cs="Arial"/>
                <w:szCs w:val="24"/>
              </w:rPr>
            </w:pPr>
            <w:r w:rsidRPr="002D2A8F">
              <w:rPr>
                <w:rFonts w:cs="Arial"/>
                <w:szCs w:val="24"/>
              </w:rPr>
              <w:t xml:space="preserve">A copy </w:t>
            </w:r>
            <w:r w:rsidRPr="002D2A8F" w:rsidR="005A032F">
              <w:rPr>
                <w:rFonts w:cs="Arial"/>
                <w:szCs w:val="24"/>
              </w:rPr>
              <w:t xml:space="preserve">of the EPC Contract schedule, which must be at least a level 3 critical path method schedule </w:t>
            </w:r>
            <w:r w:rsidRPr="002D2A8F" w:rsidR="00BB79D5">
              <w:rPr>
                <w:rFonts w:cs="Arial"/>
                <w:szCs w:val="24"/>
              </w:rPr>
              <w:t xml:space="preserve">that </w:t>
            </w:r>
            <w:r w:rsidRPr="002D2A8F" w:rsidR="002B648B">
              <w:rPr>
                <w:rFonts w:cs="Arial"/>
                <w:szCs w:val="24"/>
              </w:rPr>
              <w:t>s</w:t>
            </w:r>
            <w:r w:rsidRPr="002D2A8F" w:rsidR="00D00C6F">
              <w:rPr>
                <w:rFonts w:cs="Arial"/>
                <w:szCs w:val="24"/>
              </w:rPr>
              <w:t xml:space="preserve">upports the RCOD. </w:t>
            </w:r>
          </w:p>
        </w:tc>
      </w:tr>
      <w:tr w:rsidRPr="002D2A8F" w:rsidR="00D61E70" w:rsidTr="00611BF3" w14:paraId="784E762E" w14:textId="77777777">
        <w:tc>
          <w:tcPr>
            <w:tcW w:w="3420" w:type="dxa"/>
          </w:tcPr>
          <w:p w:rsidRPr="002D2A8F" w:rsidR="00D61E70" w:rsidP="00432623" w:rsidRDefault="00D61E70" w14:paraId="4F8CBD99" w14:textId="5C14A11E">
            <w:pPr>
              <w:spacing w:after="240"/>
              <w:jc w:val="left"/>
              <w:rPr>
                <w:rFonts w:cs="Arial"/>
                <w:szCs w:val="24"/>
              </w:rPr>
            </w:pPr>
            <w:r w:rsidRPr="002D2A8F">
              <w:rPr>
                <w:rFonts w:cs="Arial"/>
                <w:szCs w:val="24"/>
              </w:rPr>
              <w:lastRenderedPageBreak/>
              <w:t xml:space="preserve">All </w:t>
            </w:r>
            <w:r w:rsidR="00A755FA">
              <w:rPr>
                <w:rFonts w:cs="Arial"/>
                <w:szCs w:val="24"/>
              </w:rPr>
              <w:t>p</w:t>
            </w:r>
            <w:r w:rsidRPr="002D2A8F">
              <w:rPr>
                <w:rFonts w:cs="Arial"/>
                <w:szCs w:val="24"/>
              </w:rPr>
              <w:t>ermits required for</w:t>
            </w:r>
            <w:r w:rsidRPr="002D2A8F" w:rsidR="008129DF">
              <w:rPr>
                <w:rFonts w:cs="Arial"/>
                <w:szCs w:val="24"/>
              </w:rPr>
              <w:t xml:space="preserve"> Facility</w:t>
            </w:r>
            <w:r w:rsidRPr="002D2A8F">
              <w:rPr>
                <w:rFonts w:cs="Arial"/>
                <w:szCs w:val="24"/>
              </w:rPr>
              <w:t xml:space="preserve"> construction </w:t>
            </w:r>
            <w:r w:rsidRPr="002D2A8F" w:rsidR="008129DF">
              <w:rPr>
                <w:rFonts w:cs="Arial"/>
                <w:szCs w:val="24"/>
              </w:rPr>
              <w:t>and Commercial Operation</w:t>
            </w:r>
            <w:r w:rsidRPr="002D2A8F">
              <w:rPr>
                <w:rFonts w:cs="Arial"/>
                <w:szCs w:val="24"/>
              </w:rPr>
              <w:t>.</w:t>
            </w:r>
          </w:p>
          <w:p w:rsidRPr="002D2A8F" w:rsidR="00D61E70" w:rsidP="00432623" w:rsidRDefault="00D61E70" w14:paraId="65526960" w14:textId="77777777">
            <w:pPr>
              <w:spacing w:after="240"/>
              <w:jc w:val="left"/>
              <w:rPr>
                <w:rFonts w:cs="Arial"/>
                <w:szCs w:val="24"/>
              </w:rPr>
            </w:pPr>
            <w:r w:rsidRPr="002D2A8F">
              <w:rPr>
                <w:rFonts w:cs="Arial"/>
                <w:szCs w:val="24"/>
              </w:rPr>
              <w:t>•    Applications submitted</w:t>
            </w:r>
          </w:p>
          <w:p w:rsidRPr="002D2A8F" w:rsidR="00D61E70" w:rsidP="00432623" w:rsidRDefault="00D61E70" w14:paraId="25A17D11" w14:textId="1E75E4E0">
            <w:pPr>
              <w:spacing w:after="240"/>
              <w:jc w:val="left"/>
              <w:rPr>
                <w:rFonts w:cs="Arial"/>
                <w:szCs w:val="24"/>
              </w:rPr>
            </w:pPr>
            <w:r w:rsidRPr="002D2A8F">
              <w:rPr>
                <w:rFonts w:cs="Arial"/>
                <w:szCs w:val="24"/>
              </w:rPr>
              <w:t xml:space="preserve">•    All </w:t>
            </w:r>
            <w:r w:rsidR="00A755FA">
              <w:rPr>
                <w:rFonts w:cs="Arial"/>
                <w:szCs w:val="24"/>
              </w:rPr>
              <w:t>p</w:t>
            </w:r>
            <w:r w:rsidRPr="002D2A8F">
              <w:rPr>
                <w:rFonts w:cs="Arial"/>
                <w:szCs w:val="24"/>
              </w:rPr>
              <w:t>ermits obtained</w:t>
            </w:r>
          </w:p>
        </w:tc>
        <w:tc>
          <w:tcPr>
            <w:tcW w:w="2610" w:type="dxa"/>
          </w:tcPr>
          <w:p w:rsidRPr="002D2A8F" w:rsidR="00D61E70" w:rsidRDefault="00D61E70" w14:paraId="3F47ABF3" w14:textId="77777777">
            <w:pPr>
              <w:spacing w:after="240"/>
              <w:rPr>
                <w:rFonts w:cs="Arial"/>
                <w:szCs w:val="24"/>
              </w:rPr>
            </w:pPr>
          </w:p>
        </w:tc>
        <w:tc>
          <w:tcPr>
            <w:tcW w:w="3330" w:type="dxa"/>
          </w:tcPr>
          <w:p w:rsidRPr="002D2A8F" w:rsidR="00D61E70" w:rsidRDefault="00D61E70" w14:paraId="3B9C5AA6" w14:textId="6BB8752E">
            <w:pPr>
              <w:spacing w:after="240"/>
              <w:rPr>
                <w:rFonts w:cs="Arial"/>
                <w:szCs w:val="24"/>
              </w:rPr>
            </w:pPr>
            <w:r w:rsidRPr="002D2A8F">
              <w:rPr>
                <w:rFonts w:cs="Arial"/>
                <w:szCs w:val="24"/>
              </w:rPr>
              <w:t xml:space="preserve">A matrix of required </w:t>
            </w:r>
            <w:r w:rsidR="00A755FA">
              <w:rPr>
                <w:rFonts w:cs="Arial"/>
                <w:szCs w:val="24"/>
              </w:rPr>
              <w:t>p</w:t>
            </w:r>
            <w:r w:rsidRPr="002D2A8F">
              <w:rPr>
                <w:rFonts w:cs="Arial"/>
                <w:szCs w:val="24"/>
              </w:rPr>
              <w:t xml:space="preserve">ermits, copies of applications submitted, and a copy of </w:t>
            </w:r>
            <w:r w:rsidR="00A755FA">
              <w:rPr>
                <w:rFonts w:cs="Arial"/>
                <w:szCs w:val="24"/>
              </w:rPr>
              <w:t>p</w:t>
            </w:r>
            <w:r w:rsidRPr="002D2A8F">
              <w:rPr>
                <w:rFonts w:cs="Arial"/>
                <w:szCs w:val="24"/>
              </w:rPr>
              <w:t>ermits obtained.</w:t>
            </w:r>
          </w:p>
        </w:tc>
      </w:tr>
      <w:tr w:rsidRPr="002D2A8F" w:rsidR="00D61E70" w:rsidTr="00611BF3" w14:paraId="6D311738" w14:textId="77777777">
        <w:tc>
          <w:tcPr>
            <w:tcW w:w="3420" w:type="dxa"/>
          </w:tcPr>
          <w:p w:rsidRPr="002D2A8F" w:rsidR="00D61E70" w:rsidP="00432623" w:rsidRDefault="00D61E70" w14:paraId="7518C7C8" w14:textId="33A04DD9">
            <w:pPr>
              <w:spacing w:after="240"/>
              <w:jc w:val="left"/>
              <w:rPr>
                <w:rFonts w:cs="Arial"/>
                <w:szCs w:val="24"/>
              </w:rPr>
            </w:pPr>
            <w:r w:rsidRPr="002D2A8F">
              <w:rPr>
                <w:rFonts w:cs="Arial"/>
                <w:szCs w:val="24"/>
              </w:rPr>
              <w:t>Financial Closing</w:t>
            </w:r>
          </w:p>
        </w:tc>
        <w:tc>
          <w:tcPr>
            <w:tcW w:w="2610" w:type="dxa"/>
          </w:tcPr>
          <w:p w:rsidRPr="002D2A8F" w:rsidR="00D61E70" w:rsidRDefault="00D61E70" w14:paraId="52B53446" w14:textId="77777777">
            <w:pPr>
              <w:spacing w:after="240"/>
              <w:rPr>
                <w:rFonts w:cs="Arial"/>
                <w:szCs w:val="24"/>
              </w:rPr>
            </w:pPr>
          </w:p>
        </w:tc>
        <w:tc>
          <w:tcPr>
            <w:tcW w:w="3330" w:type="dxa"/>
          </w:tcPr>
          <w:p w:rsidRPr="00EB2A91" w:rsidR="00D61E70" w:rsidP="007E20F5" w:rsidRDefault="00D61E70" w14:paraId="4BFFF05C" w14:textId="500D7693">
            <w:pPr>
              <w:pStyle w:val="BodyText"/>
              <w:spacing w:after="240"/>
              <w:rPr>
                <w:rFonts w:cs="Arial"/>
                <w:szCs w:val="24"/>
              </w:rPr>
            </w:pPr>
            <w:r w:rsidRPr="002D2A8F">
              <w:rPr>
                <w:rFonts w:cs="Arial"/>
                <w:szCs w:val="24"/>
              </w:rPr>
              <w:t xml:space="preserve">A letter from an officer of Seller certifying that </w:t>
            </w:r>
            <w:r w:rsidRPr="00EB2A91" w:rsidR="00EB2A91">
              <w:rPr>
                <w:rFonts w:cs="Arial"/>
                <w:szCs w:val="24"/>
              </w:rPr>
              <w:t xml:space="preserve">the following </w:t>
            </w:r>
            <w:r w:rsidRPr="002D2A8F">
              <w:rPr>
                <w:rFonts w:cs="Arial"/>
                <w:szCs w:val="24"/>
              </w:rPr>
              <w:t>occurred</w:t>
            </w:r>
            <w:r w:rsidRPr="00EB2A91" w:rsidR="00EB2A91">
              <w:rPr>
                <w:rFonts w:cs="Arial"/>
                <w:szCs w:val="24"/>
              </w:rPr>
              <w:t xml:space="preserve">: </w:t>
            </w:r>
            <w:r w:rsidRPr="00EB2A91">
              <w:rPr>
                <w:rFonts w:cs="Arial"/>
                <w:szCs w:val="24"/>
              </w:rPr>
              <w:t xml:space="preserve"> </w:t>
            </w:r>
          </w:p>
          <w:p w:rsidRPr="009E23CE" w:rsidR="00EB2A91" w:rsidP="007E20F5" w:rsidRDefault="00EB2A91" w14:paraId="3782822B" w14:textId="77F53321">
            <w:pPr>
              <w:pStyle w:val="BodyText"/>
              <w:spacing w:after="240"/>
              <w:rPr>
                <w:rFonts w:cs="Arial"/>
                <w:szCs w:val="24"/>
              </w:rPr>
            </w:pPr>
            <w:r w:rsidRPr="009E23CE">
              <w:rPr>
                <w:rFonts w:cs="Arial"/>
                <w:szCs w:val="24"/>
              </w:rPr>
              <w:t>(i)</w:t>
            </w:r>
            <w:r w:rsidRPr="009E23CE">
              <w:rPr>
                <w:rFonts w:cs="Arial"/>
                <w:szCs w:val="24"/>
              </w:rPr>
              <w:tab/>
              <w:t xml:space="preserve">Seller obtained and has closed on all financing arrangements necessary to obtain funds for the anticipated cost of completing construction of the Facility; </w:t>
            </w:r>
          </w:p>
          <w:p w:rsidRPr="007E20F5" w:rsidR="00EB2A91" w:rsidP="007E20F5" w:rsidRDefault="00EB2A91" w14:paraId="24C87C19" w14:textId="727A4117">
            <w:pPr>
              <w:pStyle w:val="BodyText"/>
              <w:spacing w:after="240"/>
              <w:rPr>
                <w:rFonts w:cs="Arial"/>
                <w:szCs w:val="24"/>
              </w:rPr>
            </w:pPr>
            <w:r w:rsidRPr="007E20F5">
              <w:rPr>
                <w:rFonts w:cs="Arial"/>
                <w:szCs w:val="24"/>
              </w:rPr>
              <w:t>(ii)</w:t>
            </w:r>
            <w:r w:rsidRPr="007E20F5">
              <w:rPr>
                <w:rFonts w:cs="Arial"/>
                <w:szCs w:val="24"/>
              </w:rPr>
              <w:tab/>
              <w:t>all conditions precedent to the availability of funds</w:t>
            </w:r>
            <w:r w:rsidRPr="002D2A8F" w:rsidR="00D61E70">
              <w:rPr>
                <w:rFonts w:cs="Arial"/>
                <w:szCs w:val="24"/>
              </w:rPr>
              <w:t xml:space="preserve"> pursuant to </w:t>
            </w:r>
            <w:r w:rsidRPr="007E20F5">
              <w:rPr>
                <w:rFonts w:cs="Arial"/>
                <w:szCs w:val="24"/>
              </w:rPr>
              <w:t>such financing arrangements have been satisfied or waived by the applicable parties (other than customary conditions to each drawdown of a construction loan), and such funds (subject to customary conditions to each drawdown of a construction loan) will be made available for disbursement to Seller; and</w:t>
            </w:r>
          </w:p>
          <w:p w:rsidRPr="002D2A8F" w:rsidR="00D61E70" w:rsidP="007E20F5" w:rsidRDefault="00EB2A91" w14:paraId="0CA33B92" w14:textId="6758B40F">
            <w:pPr>
              <w:pStyle w:val="EnvelopeReturn"/>
              <w:spacing w:after="240"/>
              <w:rPr>
                <w:rFonts w:cs="Arial"/>
                <w:szCs w:val="24"/>
              </w:rPr>
            </w:pPr>
            <w:r w:rsidRPr="00EB2A91">
              <w:rPr>
                <w:rFonts w:cs="Arial" w:eastAsiaTheme="minorHAnsi"/>
                <w:szCs w:val="24"/>
              </w:rPr>
              <w:t>(iii)</w:t>
            </w:r>
            <w:r w:rsidRPr="00EB2A91">
              <w:rPr>
                <w:rFonts w:cs="Arial" w:eastAsiaTheme="minorHAnsi"/>
                <w:szCs w:val="24"/>
              </w:rPr>
              <w:tab/>
              <w:t xml:space="preserve">an officer of Seller has provided </w:t>
            </w:r>
            <w:r w:rsidR="007E20F5">
              <w:rPr>
                <w:rFonts w:cs="Arial" w:eastAsiaTheme="minorHAnsi"/>
                <w:szCs w:val="24"/>
              </w:rPr>
              <w:t>GPC</w:t>
            </w:r>
            <w:r w:rsidRPr="00EB2A91">
              <w:rPr>
                <w:rFonts w:cs="Arial" w:eastAsiaTheme="minorHAnsi"/>
                <w:szCs w:val="24"/>
              </w:rPr>
              <w:t xml:space="preserve"> with an executed certification that the foregoing (i) and (ii) have occurred.</w:t>
            </w:r>
          </w:p>
        </w:tc>
      </w:tr>
      <w:tr w:rsidRPr="002D2A8F" w:rsidR="00D61E70" w:rsidTr="00611BF3" w14:paraId="4DC5F566" w14:textId="77777777">
        <w:tc>
          <w:tcPr>
            <w:tcW w:w="3420" w:type="dxa"/>
          </w:tcPr>
          <w:p w:rsidRPr="002D2A8F" w:rsidR="00D61E70" w:rsidP="00432623" w:rsidRDefault="00D61E70" w14:paraId="0F54AE9E" w14:textId="77777777">
            <w:pPr>
              <w:spacing w:after="240"/>
              <w:jc w:val="left"/>
              <w:rPr>
                <w:rFonts w:cs="Arial"/>
                <w:szCs w:val="24"/>
              </w:rPr>
            </w:pPr>
            <w:r w:rsidRPr="002D2A8F">
              <w:rPr>
                <w:rFonts w:cs="Arial"/>
                <w:szCs w:val="24"/>
              </w:rPr>
              <w:t>Interconnection Notice to Proceed</w:t>
            </w:r>
          </w:p>
        </w:tc>
        <w:tc>
          <w:tcPr>
            <w:tcW w:w="2610" w:type="dxa"/>
          </w:tcPr>
          <w:p w:rsidRPr="002D2A8F" w:rsidR="00D61E70" w:rsidRDefault="00D61E70" w14:paraId="3EBB8CD6" w14:textId="084884F0">
            <w:pPr>
              <w:spacing w:after="240"/>
              <w:rPr>
                <w:rFonts w:cs="Arial"/>
                <w:szCs w:val="24"/>
              </w:rPr>
            </w:pPr>
            <w:r w:rsidRPr="002D2A8F">
              <w:rPr>
                <w:rFonts w:cs="Arial"/>
              </w:rPr>
              <w:t xml:space="preserve">The date by which the </w:t>
            </w:r>
            <w:r w:rsidRPr="002D2A8F" w:rsidR="007C41F7">
              <w:rPr>
                <w:rFonts w:cs="Arial"/>
              </w:rPr>
              <w:t>IA</w:t>
            </w:r>
            <w:r w:rsidRPr="002D2A8F">
              <w:rPr>
                <w:rFonts w:cs="Arial"/>
              </w:rPr>
              <w:t xml:space="preserve"> </w:t>
            </w:r>
            <w:r w:rsidRPr="002D2A8F" w:rsidR="007C41F7">
              <w:rPr>
                <w:rFonts w:cs="Arial"/>
              </w:rPr>
              <w:t>n</w:t>
            </w:r>
            <w:r w:rsidRPr="002D2A8F">
              <w:rPr>
                <w:rFonts w:cs="Arial"/>
              </w:rPr>
              <w:t xml:space="preserve">otice to </w:t>
            </w:r>
            <w:r w:rsidRPr="002D2A8F" w:rsidR="007C41F7">
              <w:rPr>
                <w:rFonts w:cs="Arial"/>
              </w:rPr>
              <w:t>p</w:t>
            </w:r>
            <w:r w:rsidRPr="002D2A8F">
              <w:rPr>
                <w:rFonts w:cs="Arial"/>
              </w:rPr>
              <w:t xml:space="preserve">roceed </w:t>
            </w:r>
            <w:r w:rsidRPr="002D2A8F" w:rsidR="00470C5A">
              <w:rPr>
                <w:rFonts w:cs="Arial"/>
              </w:rPr>
              <w:t>must</w:t>
            </w:r>
            <w:r w:rsidRPr="002D2A8F">
              <w:rPr>
                <w:rFonts w:cs="Arial"/>
              </w:rPr>
              <w:t xml:space="preserve"> be issued for </w:t>
            </w:r>
            <w:r w:rsidRPr="002D2A8F" w:rsidR="007C41F7">
              <w:rPr>
                <w:rFonts w:cs="Arial"/>
              </w:rPr>
              <w:t>commercial operation (as defined in the IA)</w:t>
            </w:r>
            <w:r w:rsidRPr="002D2A8F">
              <w:rPr>
                <w:rFonts w:cs="Arial"/>
              </w:rPr>
              <w:t xml:space="preserve"> to be achieved</w:t>
            </w:r>
            <w:r w:rsidRPr="002D2A8F" w:rsidR="007C41F7">
              <w:rPr>
                <w:rFonts w:cs="Arial"/>
              </w:rPr>
              <w:t xml:space="preserve"> in time to support RCOD</w:t>
            </w:r>
            <w:r w:rsidRPr="002D2A8F">
              <w:rPr>
                <w:rFonts w:cs="Arial"/>
              </w:rPr>
              <w:t>.</w:t>
            </w:r>
          </w:p>
        </w:tc>
        <w:tc>
          <w:tcPr>
            <w:tcW w:w="3330" w:type="dxa"/>
          </w:tcPr>
          <w:p w:rsidRPr="002D2A8F" w:rsidR="00D61E70" w:rsidRDefault="00D61E70" w14:paraId="3C16B261" w14:textId="77777777">
            <w:pPr>
              <w:spacing w:after="240"/>
              <w:rPr>
                <w:rFonts w:cs="Arial"/>
                <w:szCs w:val="24"/>
              </w:rPr>
            </w:pPr>
            <w:r w:rsidRPr="002D2A8F">
              <w:rPr>
                <w:rFonts w:cs="Arial"/>
                <w:szCs w:val="24"/>
              </w:rPr>
              <w:t xml:space="preserve">An executed copy of the Interconnection Notice to Proceed </w:t>
            </w:r>
          </w:p>
        </w:tc>
      </w:tr>
      <w:tr w:rsidRPr="002D2A8F" w:rsidR="00D61E70" w:rsidTr="00611BF3" w14:paraId="2C3E2F6D" w14:textId="77777777">
        <w:tc>
          <w:tcPr>
            <w:tcW w:w="3420" w:type="dxa"/>
          </w:tcPr>
          <w:p w:rsidRPr="002D2A8F" w:rsidR="00D61E70" w:rsidP="00432623" w:rsidRDefault="00D61E70" w14:paraId="3E6432CE" w14:textId="77777777">
            <w:pPr>
              <w:spacing w:after="240"/>
              <w:jc w:val="left"/>
              <w:rPr>
                <w:rFonts w:cs="Arial"/>
                <w:szCs w:val="24"/>
              </w:rPr>
            </w:pPr>
            <w:r w:rsidRPr="002D2A8F">
              <w:rPr>
                <w:rFonts w:cs="Arial"/>
                <w:szCs w:val="24"/>
              </w:rPr>
              <w:t xml:space="preserve">EPC Notice to Proceed </w:t>
            </w:r>
          </w:p>
        </w:tc>
        <w:tc>
          <w:tcPr>
            <w:tcW w:w="2610" w:type="dxa"/>
          </w:tcPr>
          <w:p w:rsidRPr="002D2A8F" w:rsidR="00D61E70" w:rsidRDefault="00D61E70" w14:paraId="24FDE021" w14:textId="77777777">
            <w:pPr>
              <w:spacing w:after="240"/>
              <w:rPr>
                <w:rFonts w:cs="Arial"/>
                <w:szCs w:val="24"/>
              </w:rPr>
            </w:pPr>
          </w:p>
        </w:tc>
        <w:tc>
          <w:tcPr>
            <w:tcW w:w="3330" w:type="dxa"/>
          </w:tcPr>
          <w:p w:rsidRPr="002D2A8F" w:rsidR="00D61E70" w:rsidRDefault="00D61E70" w14:paraId="3A8C1CEB" w14:textId="77777777">
            <w:pPr>
              <w:spacing w:after="240"/>
              <w:rPr>
                <w:rFonts w:cs="Arial"/>
                <w:szCs w:val="24"/>
              </w:rPr>
            </w:pPr>
            <w:r w:rsidRPr="002D2A8F">
              <w:rPr>
                <w:rFonts w:cs="Arial"/>
                <w:szCs w:val="24"/>
              </w:rPr>
              <w:t>A copy of the EPC Notice to Proceed.</w:t>
            </w:r>
          </w:p>
        </w:tc>
      </w:tr>
      <w:tr w:rsidRPr="002D2A8F" w:rsidR="00D61E70" w:rsidTr="00611BF3" w14:paraId="121C3B87" w14:textId="77777777">
        <w:tc>
          <w:tcPr>
            <w:tcW w:w="3420" w:type="dxa"/>
          </w:tcPr>
          <w:p w:rsidRPr="002D2A8F" w:rsidR="00D61E70" w:rsidP="00432623" w:rsidRDefault="00D61E70" w14:paraId="6BF0FCDF" w14:textId="06AC487C">
            <w:pPr>
              <w:spacing w:after="240"/>
              <w:jc w:val="left"/>
              <w:rPr>
                <w:rFonts w:cs="Arial"/>
                <w:szCs w:val="24"/>
              </w:rPr>
            </w:pPr>
            <w:r w:rsidRPr="002D2A8F">
              <w:rPr>
                <w:rFonts w:cs="Arial"/>
                <w:szCs w:val="24"/>
              </w:rPr>
              <w:t xml:space="preserve">Delivery of </w:t>
            </w:r>
            <w:r w:rsidR="004C5B9B">
              <w:rPr>
                <w:rFonts w:cs="Arial"/>
                <w:szCs w:val="24"/>
              </w:rPr>
              <w:t xml:space="preserve">all </w:t>
            </w:r>
            <w:r w:rsidRPr="002D2A8F">
              <w:rPr>
                <w:rFonts w:cs="Arial"/>
                <w:szCs w:val="24"/>
              </w:rPr>
              <w:t xml:space="preserve">Major Equipment to the Facility site by date required to support </w:t>
            </w:r>
            <w:r w:rsidR="00E63625">
              <w:rPr>
                <w:rFonts w:cs="Arial"/>
                <w:szCs w:val="24"/>
              </w:rPr>
              <w:t>C</w:t>
            </w:r>
            <w:r w:rsidR="00D619A2">
              <w:rPr>
                <w:rFonts w:cs="Arial"/>
                <w:szCs w:val="24"/>
              </w:rPr>
              <w:t>ommercial Operation</w:t>
            </w:r>
            <w:r w:rsidRPr="002D2A8F" w:rsidR="00E63625">
              <w:rPr>
                <w:rFonts w:cs="Arial"/>
                <w:szCs w:val="24"/>
              </w:rPr>
              <w:t xml:space="preserve"> </w:t>
            </w:r>
            <w:r w:rsidRPr="002D2A8F">
              <w:rPr>
                <w:rFonts w:cs="Arial"/>
                <w:szCs w:val="24"/>
              </w:rPr>
              <w:t xml:space="preserve">by </w:t>
            </w:r>
            <w:r w:rsidR="00D619A2">
              <w:rPr>
                <w:rFonts w:cs="Arial"/>
                <w:szCs w:val="24"/>
              </w:rPr>
              <w:t>the RCOD</w:t>
            </w:r>
            <w:r w:rsidRPr="002D2A8F">
              <w:rPr>
                <w:rFonts w:cs="Arial"/>
                <w:szCs w:val="24"/>
              </w:rPr>
              <w:t xml:space="preserve">. </w:t>
            </w:r>
          </w:p>
        </w:tc>
        <w:tc>
          <w:tcPr>
            <w:tcW w:w="2610" w:type="dxa"/>
          </w:tcPr>
          <w:p w:rsidRPr="002D2A8F" w:rsidR="00D61E70" w:rsidRDefault="00D61E70" w14:paraId="1721F8DE" w14:textId="77777777">
            <w:pPr>
              <w:spacing w:after="240"/>
              <w:rPr>
                <w:rFonts w:cs="Arial"/>
                <w:szCs w:val="24"/>
              </w:rPr>
            </w:pPr>
          </w:p>
        </w:tc>
        <w:tc>
          <w:tcPr>
            <w:tcW w:w="3330" w:type="dxa"/>
          </w:tcPr>
          <w:p w:rsidRPr="002D2A8F" w:rsidR="00D61E70" w:rsidRDefault="00D61E70" w14:paraId="0D5507E3" w14:textId="77777777">
            <w:pPr>
              <w:spacing w:after="240"/>
              <w:rPr>
                <w:rFonts w:cs="Arial"/>
                <w:szCs w:val="24"/>
              </w:rPr>
            </w:pPr>
          </w:p>
        </w:tc>
      </w:tr>
      <w:tr w:rsidRPr="002D2A8F" w:rsidR="00D61E70" w:rsidTr="00611BF3" w14:paraId="3E7D1A23" w14:textId="77777777">
        <w:tc>
          <w:tcPr>
            <w:tcW w:w="3420" w:type="dxa"/>
          </w:tcPr>
          <w:p w:rsidRPr="002D2A8F" w:rsidR="00D61E70" w:rsidP="00432623" w:rsidRDefault="00D61E70" w14:paraId="60245606" w14:textId="3AAB0150">
            <w:pPr>
              <w:spacing w:after="240"/>
              <w:jc w:val="left"/>
              <w:rPr>
                <w:rFonts w:cs="Arial"/>
                <w:szCs w:val="24"/>
              </w:rPr>
            </w:pPr>
            <w:r w:rsidRPr="002D2A8F">
              <w:rPr>
                <w:rFonts w:cs="Arial"/>
                <w:szCs w:val="24"/>
              </w:rPr>
              <w:lastRenderedPageBreak/>
              <w:t xml:space="preserve">Achievement of </w:t>
            </w:r>
            <w:r w:rsidRPr="002D2A8F" w:rsidR="0015737E">
              <w:rPr>
                <w:rFonts w:cs="Arial"/>
                <w:szCs w:val="24"/>
              </w:rPr>
              <w:t>EPC Contract key</w:t>
            </w:r>
            <w:r w:rsidRPr="002D2A8F">
              <w:rPr>
                <w:rFonts w:cs="Arial"/>
                <w:szCs w:val="24"/>
              </w:rPr>
              <w:t xml:space="preserve"> </w:t>
            </w:r>
            <w:r w:rsidRPr="002D2A8F" w:rsidR="0015737E">
              <w:rPr>
                <w:rFonts w:cs="Arial"/>
                <w:szCs w:val="24"/>
              </w:rPr>
              <w:t>m</w:t>
            </w:r>
            <w:r w:rsidRPr="002D2A8F">
              <w:rPr>
                <w:rFonts w:cs="Arial"/>
                <w:szCs w:val="24"/>
              </w:rPr>
              <w:t>ilestones:</w:t>
            </w:r>
          </w:p>
          <w:p w:rsidRPr="002D2A8F" w:rsidR="00D61E70" w:rsidP="00432623" w:rsidRDefault="00D61E70" w14:paraId="6D0515EB" w14:textId="0D93B51A">
            <w:pPr>
              <w:spacing w:after="240"/>
              <w:jc w:val="left"/>
              <w:rPr>
                <w:rFonts w:cs="Arial"/>
                <w:szCs w:val="24"/>
              </w:rPr>
            </w:pPr>
            <w:r w:rsidRPr="002D2A8F">
              <w:rPr>
                <w:rFonts w:cs="Arial"/>
                <w:szCs w:val="24"/>
              </w:rPr>
              <w:t>•    Site mobilization</w:t>
            </w:r>
          </w:p>
          <w:p w:rsidRPr="002D2A8F" w:rsidR="00D61E70" w:rsidP="00432623" w:rsidRDefault="00D61E70" w14:paraId="7726CE3B" w14:textId="20C1CFFC">
            <w:pPr>
              <w:spacing w:after="240"/>
              <w:jc w:val="left"/>
              <w:rPr>
                <w:rFonts w:cs="Arial"/>
                <w:szCs w:val="24"/>
              </w:rPr>
            </w:pPr>
            <w:r w:rsidRPr="002D2A8F">
              <w:rPr>
                <w:rFonts w:cs="Arial"/>
                <w:szCs w:val="24"/>
              </w:rPr>
              <w:t>•    Mechanical Completion</w:t>
            </w:r>
          </w:p>
          <w:p w:rsidRPr="002D2A8F" w:rsidR="00D61E70" w:rsidP="00432623" w:rsidRDefault="00D61E70" w14:paraId="26C2A2FF" w14:textId="03DC181C">
            <w:pPr>
              <w:spacing w:after="240"/>
              <w:jc w:val="left"/>
              <w:rPr>
                <w:rFonts w:cs="Arial"/>
                <w:szCs w:val="24"/>
              </w:rPr>
            </w:pPr>
            <w:r w:rsidRPr="002D2A8F">
              <w:rPr>
                <w:rFonts w:cs="Arial"/>
                <w:szCs w:val="24"/>
              </w:rPr>
              <w:t>•    Substantial Completion</w:t>
            </w:r>
          </w:p>
          <w:p w:rsidRPr="002D2A8F" w:rsidR="00D61E70" w:rsidP="00432623" w:rsidRDefault="00D61E70" w14:paraId="0AECE4E3" w14:textId="40459678">
            <w:pPr>
              <w:spacing w:after="240"/>
              <w:jc w:val="left"/>
              <w:rPr>
                <w:rFonts w:cs="Arial"/>
                <w:szCs w:val="24"/>
              </w:rPr>
            </w:pPr>
            <w:r w:rsidRPr="002D2A8F">
              <w:rPr>
                <w:rFonts w:cs="Arial"/>
                <w:szCs w:val="24"/>
              </w:rPr>
              <w:t>•    Initial synchronization</w:t>
            </w:r>
          </w:p>
        </w:tc>
        <w:tc>
          <w:tcPr>
            <w:tcW w:w="2610" w:type="dxa"/>
          </w:tcPr>
          <w:p w:rsidRPr="002D2A8F" w:rsidR="00D61E70" w:rsidRDefault="00D61E70" w14:paraId="3D157F94" w14:textId="77777777">
            <w:pPr>
              <w:spacing w:after="240"/>
              <w:rPr>
                <w:rFonts w:cs="Arial"/>
                <w:szCs w:val="24"/>
              </w:rPr>
            </w:pPr>
          </w:p>
        </w:tc>
        <w:tc>
          <w:tcPr>
            <w:tcW w:w="3330" w:type="dxa"/>
          </w:tcPr>
          <w:p w:rsidRPr="002D2A8F" w:rsidR="00D61E70" w:rsidRDefault="00D61E70" w14:paraId="7CCC238F" w14:textId="77777777">
            <w:pPr>
              <w:spacing w:after="240"/>
              <w:rPr>
                <w:rFonts w:cs="Arial"/>
                <w:szCs w:val="24"/>
              </w:rPr>
            </w:pPr>
          </w:p>
        </w:tc>
      </w:tr>
      <w:tr w:rsidRPr="002D2A8F" w:rsidR="00D61E70" w:rsidTr="00611BF3" w14:paraId="7777550B" w14:textId="77777777">
        <w:tc>
          <w:tcPr>
            <w:tcW w:w="3420" w:type="dxa"/>
          </w:tcPr>
          <w:p w:rsidRPr="002D2A8F" w:rsidR="00D61E70" w:rsidP="00432623" w:rsidRDefault="00DE030C" w14:paraId="083C63A3" w14:textId="302D2180">
            <w:pPr>
              <w:spacing w:after="240"/>
              <w:jc w:val="left"/>
              <w:rPr>
                <w:rFonts w:cs="Arial"/>
                <w:szCs w:val="24"/>
              </w:rPr>
            </w:pPr>
            <w:r w:rsidRPr="002D2A8F">
              <w:rPr>
                <w:rFonts w:cs="Arial"/>
                <w:szCs w:val="24"/>
              </w:rPr>
              <w:t>RCOD</w:t>
            </w:r>
          </w:p>
        </w:tc>
        <w:tc>
          <w:tcPr>
            <w:tcW w:w="2610" w:type="dxa"/>
          </w:tcPr>
          <w:p w:rsidRPr="002D2A8F" w:rsidR="00D61E70" w:rsidRDefault="00D61E70" w14:paraId="0FC70D47" w14:textId="2BC69E67">
            <w:pPr>
              <w:spacing w:after="240"/>
              <w:rPr>
                <w:rFonts w:cs="Arial"/>
                <w:szCs w:val="24"/>
              </w:rPr>
            </w:pPr>
          </w:p>
        </w:tc>
        <w:tc>
          <w:tcPr>
            <w:tcW w:w="3330" w:type="dxa"/>
          </w:tcPr>
          <w:p w:rsidRPr="002D2A8F" w:rsidR="00D61E70" w:rsidRDefault="00D61E70" w14:paraId="625524F2" w14:textId="5E9C4316">
            <w:pPr>
              <w:spacing w:after="240"/>
              <w:rPr>
                <w:rFonts w:cs="Arial"/>
                <w:szCs w:val="24"/>
              </w:rPr>
            </w:pPr>
          </w:p>
        </w:tc>
      </w:tr>
    </w:tbl>
    <w:p w:rsidRPr="002D2A8F" w:rsidR="00427B84" w:rsidP="00E24A25" w:rsidRDefault="00427B84" w14:paraId="7C92667F" w14:textId="77777777">
      <w:pPr>
        <w:pStyle w:val="zGTitle12"/>
        <w:rPr>
          <w:rFonts w:cs="Arial"/>
        </w:rPr>
      </w:pPr>
    </w:p>
    <w:p w:rsidR="00C83E87" w:rsidRDefault="00427B84" w14:paraId="678A0B9A" w14:textId="77777777">
      <w:pPr>
        <w:rPr>
          <w:rFonts w:ascii="Arial" w:hAnsi="Arial" w:cs="Arial"/>
        </w:rPr>
        <w:sectPr w:rsidR="00C83E87" w:rsidSect="003B614F">
          <w:pgSz w:w="12240" w:h="15840" w:code="1"/>
          <w:pgMar w:top="1440" w:right="1440" w:bottom="1440" w:left="1440" w:header="720" w:footer="720" w:gutter="0"/>
          <w:paperSrc w:first="15" w:other="15"/>
          <w:cols w:space="1440"/>
        </w:sectPr>
      </w:pPr>
      <w:r w:rsidRPr="002D2A8F">
        <w:rPr>
          <w:rFonts w:ascii="Arial" w:hAnsi="Arial" w:cs="Arial"/>
        </w:rPr>
        <w:br w:type="page"/>
      </w:r>
    </w:p>
    <w:p w:rsidR="009C11B7" w:rsidP="005D3ABA" w:rsidRDefault="005D3ABA" w14:paraId="169E92D6" w14:textId="77777777">
      <w:pPr>
        <w:pStyle w:val="zGTitleExhibit"/>
      </w:pPr>
      <w:bookmarkStart w:name="_Toc169778716" w:id="1065"/>
      <w:bookmarkStart w:name="_Toc227451481" w:id="1066"/>
      <w:r>
        <w:lastRenderedPageBreak/>
        <w:t>Exhibit A-2 – Performance security and liquidated damages</w:t>
      </w:r>
      <w:bookmarkEnd w:id="1065"/>
      <w:bookmarkEnd w:id="1066"/>
    </w:p>
    <w:p w:rsidR="00B64C50" w:rsidP="00B64C50" w:rsidRDefault="00B64C50" w14:paraId="4B0ECF41" w14:textId="77777777">
      <w:pPr>
        <w:pStyle w:val="zGNormal"/>
      </w:pPr>
    </w:p>
    <w:p w:rsidRPr="00884D7E" w:rsidR="00B64C50" w:rsidP="00B64C50" w:rsidRDefault="00B64C50" w14:paraId="172475F2" w14:textId="1231C30A">
      <w:pPr>
        <w:pStyle w:val="zGNormal"/>
        <w:rPr>
          <w:rStyle w:val="Subheading"/>
        </w:rPr>
      </w:pPr>
      <w:r w:rsidRPr="00884D7E">
        <w:t>All amounts shown as $/kW will</w:t>
      </w:r>
      <w:r w:rsidRPr="00884D7E" w:rsidDel="00C47FEE">
        <w:t xml:space="preserve"> </w:t>
      </w:r>
      <w:r w:rsidRPr="00884D7E">
        <w:t>be calculated based on the Facility’s Contracted Capacity.</w:t>
      </w:r>
    </w:p>
    <w:p w:rsidRPr="00884D7E" w:rsidR="00B64C50" w:rsidP="00B64C50" w:rsidRDefault="00B64C50" w14:paraId="6CCD8DAB" w14:textId="77777777">
      <w:pPr>
        <w:pStyle w:val="zGNormal"/>
      </w:pPr>
      <w:bookmarkStart w:name="_Toc167347254" w:id="1067"/>
      <w:bookmarkStart w:name="_Toc169758313" w:id="1068"/>
    </w:p>
    <w:p w:rsidRPr="00884D7E" w:rsidR="00B64C50" w:rsidP="00B64C50" w:rsidRDefault="00B64C50" w14:paraId="24C0C146" w14:textId="77777777">
      <w:pPr>
        <w:pStyle w:val="zGNormal"/>
      </w:pPr>
    </w:p>
    <w:p w:rsidRPr="00884D7E" w:rsidR="00B64C50" w:rsidP="00B64C50" w:rsidRDefault="00B64C50" w14:paraId="11C3607E" w14:textId="77777777">
      <w:pPr>
        <w:pStyle w:val="zGNormal"/>
        <w:rPr>
          <w:b/>
          <w:bCs/>
          <w:caps/>
          <w:u w:val="single"/>
        </w:rPr>
      </w:pPr>
      <w:r w:rsidRPr="00884D7E">
        <w:rPr>
          <w:b/>
          <w:bCs/>
          <w:caps/>
          <w:u w:val="single"/>
        </w:rPr>
        <w:t>Part 1.  Performance Security</w:t>
      </w:r>
      <w:bookmarkEnd w:id="1067"/>
      <w:bookmarkEnd w:id="1068"/>
    </w:p>
    <w:p w:rsidRPr="00261AEB" w:rsidR="00B64C50" w:rsidP="00B64C50" w:rsidRDefault="00B64C50" w14:paraId="4B6DC09D" w14:textId="77777777">
      <w:pPr>
        <w:pStyle w:val="zGNormal"/>
      </w:pPr>
    </w:p>
    <w:p w:rsidRPr="00261AEB" w:rsidR="00B64C50" w:rsidP="00B64C50" w:rsidRDefault="00B64C50" w14:paraId="4C831722" w14:textId="77777777">
      <w:pPr>
        <w:pStyle w:val="zGNormal"/>
      </w:pPr>
    </w:p>
    <w:p w:rsidRPr="00884D7E" w:rsidR="00B64C50" w:rsidP="00B64C50" w:rsidRDefault="00B64C50" w14:paraId="5C1B53DC" w14:textId="77777777">
      <w:pPr>
        <w:pStyle w:val="zGNormal"/>
      </w:pPr>
    </w:p>
    <w:p w:rsidRPr="00884D7E" w:rsidR="00B64C50" w:rsidP="00B64C50" w:rsidRDefault="00B64C50" w14:paraId="1F6CF6F7" w14:textId="3FAC0116">
      <w:pPr>
        <w:pStyle w:val="zGNormal"/>
        <w:rPr>
          <w:b/>
          <w:bCs/>
        </w:rPr>
      </w:pPr>
      <w:r w:rsidRPr="5EF81DE5">
        <w:rPr>
          <w:b/>
          <w:bCs/>
          <w:highlight w:val="cyan"/>
        </w:rPr>
        <w:t>[</w:t>
      </w:r>
      <w:r w:rsidRPr="5EF81DE5">
        <w:rPr>
          <w:b/>
          <w:bCs/>
          <w:i/>
          <w:iCs/>
          <w:highlight w:val="cyan"/>
          <w:u w:val="single"/>
        </w:rPr>
        <w:t>Note to Bidders</w:t>
      </w:r>
      <w:r w:rsidRPr="5EF81DE5">
        <w:rPr>
          <w:b/>
          <w:bCs/>
          <w:i/>
          <w:iCs/>
          <w:highlight w:val="cyan"/>
        </w:rPr>
        <w:t xml:space="preserve">: </w:t>
      </w:r>
      <w:r w:rsidRPr="5EF81DE5" w:rsidR="00F75D02">
        <w:rPr>
          <w:b/>
          <w:bCs/>
          <w:i/>
          <w:iCs/>
          <w:highlight w:val="cyan"/>
        </w:rPr>
        <w:t>A</w:t>
      </w:r>
      <w:r w:rsidRPr="5EF81DE5">
        <w:rPr>
          <w:b/>
          <w:bCs/>
          <w:i/>
          <w:iCs/>
          <w:highlight w:val="cyan"/>
        </w:rPr>
        <w:t xml:space="preserve"> Performance Security table will be </w:t>
      </w:r>
      <w:r w:rsidRPr="5EF81DE5" w:rsidR="00F75D02">
        <w:rPr>
          <w:b/>
          <w:bCs/>
          <w:i/>
          <w:iCs/>
          <w:highlight w:val="cyan"/>
        </w:rPr>
        <w:t>added to include</w:t>
      </w:r>
      <w:r w:rsidRPr="5EF81DE5">
        <w:rPr>
          <w:b/>
          <w:bCs/>
          <w:i/>
          <w:iCs/>
          <w:highlight w:val="cyan"/>
        </w:rPr>
        <w:t xml:space="preserve"> the applicable Performance Security amounts in Attachment 1 (Performance Security and Liquidated Damages Summary) of RFP Exhibit </w:t>
      </w:r>
      <w:r w:rsidRPr="5EF81DE5" w:rsidR="42CAFF79">
        <w:rPr>
          <w:b/>
          <w:bCs/>
          <w:i/>
          <w:iCs/>
          <w:highlight w:val="cyan"/>
        </w:rPr>
        <w:t>D</w:t>
      </w:r>
      <w:r w:rsidRPr="5EF81DE5">
        <w:rPr>
          <w:b/>
          <w:bCs/>
          <w:i/>
          <w:iCs/>
          <w:highlight w:val="cyan"/>
        </w:rPr>
        <w:t xml:space="preserve"> (Summary of Fees, Costs, Security, and Deadlines).</w:t>
      </w:r>
      <w:r w:rsidRPr="5EF81DE5">
        <w:rPr>
          <w:b/>
          <w:bCs/>
          <w:highlight w:val="cyan"/>
        </w:rPr>
        <w:t>]</w:t>
      </w:r>
    </w:p>
    <w:p w:rsidRPr="00884D7E" w:rsidR="00B64C50" w:rsidP="00B64C50" w:rsidRDefault="00B64C50" w14:paraId="324B259E" w14:textId="77777777">
      <w:pPr>
        <w:pStyle w:val="zGNormal"/>
        <w:rPr>
          <w:b/>
          <w:bCs/>
        </w:rPr>
      </w:pPr>
    </w:p>
    <w:p w:rsidRPr="00884D7E" w:rsidR="00B64C50" w:rsidP="00B64C50" w:rsidRDefault="00B64C50" w14:paraId="07EEE79B" w14:textId="77777777">
      <w:pPr>
        <w:pStyle w:val="zGNormal"/>
        <w:rPr>
          <w:b/>
          <w:bCs/>
        </w:rPr>
      </w:pPr>
    </w:p>
    <w:p w:rsidRPr="00884D7E" w:rsidR="00B64C50" w:rsidP="00B64C50" w:rsidRDefault="00B64C50" w14:paraId="7337EA8A" w14:textId="77777777">
      <w:pPr>
        <w:pStyle w:val="zGNormal"/>
        <w:rPr>
          <w:b/>
          <w:bCs/>
        </w:rPr>
      </w:pPr>
    </w:p>
    <w:p w:rsidRPr="00884D7E" w:rsidR="00B64C50" w:rsidP="00B64C50" w:rsidRDefault="00B64C50" w14:paraId="432DAA0B" w14:textId="77777777">
      <w:pPr>
        <w:pStyle w:val="zGNormal"/>
        <w:rPr>
          <w:b/>
          <w:bCs/>
        </w:rPr>
      </w:pPr>
    </w:p>
    <w:p w:rsidRPr="00884D7E" w:rsidR="00B64C50" w:rsidP="00B64C50" w:rsidRDefault="00B64C50" w14:paraId="49E12FDA" w14:textId="77777777">
      <w:pPr>
        <w:pStyle w:val="zGNormal"/>
        <w:rPr>
          <w:b/>
          <w:bCs/>
        </w:rPr>
      </w:pPr>
    </w:p>
    <w:p w:rsidRPr="00884D7E" w:rsidR="00B64C50" w:rsidP="00B64C50" w:rsidRDefault="00B64C50" w14:paraId="5EF59F73" w14:textId="77777777">
      <w:pPr>
        <w:pStyle w:val="zGNormal"/>
        <w:rPr>
          <w:b/>
          <w:bCs/>
        </w:rPr>
      </w:pPr>
    </w:p>
    <w:p w:rsidRPr="00884D7E" w:rsidR="00B64C50" w:rsidP="00B64C50" w:rsidRDefault="00B64C50" w14:paraId="0FF2F624" w14:textId="77777777">
      <w:pPr>
        <w:pStyle w:val="zGNormal"/>
        <w:rPr>
          <w:b/>
          <w:bCs/>
        </w:rPr>
      </w:pPr>
    </w:p>
    <w:p w:rsidRPr="00884D7E" w:rsidR="00B64C50" w:rsidP="00B64C50" w:rsidRDefault="00B64C50" w14:paraId="76D9841D" w14:textId="77777777">
      <w:pPr>
        <w:pStyle w:val="zGNormal"/>
        <w:rPr>
          <w:b/>
          <w:bCs/>
        </w:rPr>
      </w:pPr>
    </w:p>
    <w:p w:rsidRPr="00884D7E" w:rsidR="00B64C50" w:rsidP="00B64C50" w:rsidRDefault="00B64C50" w14:paraId="11AE3FDA" w14:textId="77777777">
      <w:pPr>
        <w:pStyle w:val="zGNormal"/>
        <w:rPr>
          <w:b/>
          <w:bCs/>
        </w:rPr>
      </w:pPr>
    </w:p>
    <w:p w:rsidRPr="00884D7E" w:rsidR="00B64C50" w:rsidP="00B64C50" w:rsidRDefault="00B64C50" w14:paraId="64D456A6" w14:textId="77777777">
      <w:pPr>
        <w:pStyle w:val="zGNormal"/>
        <w:rPr>
          <w:b/>
          <w:bCs/>
        </w:rPr>
      </w:pPr>
    </w:p>
    <w:p w:rsidRPr="00884D7E" w:rsidR="00B64C50" w:rsidP="00B64C50" w:rsidRDefault="00B64C50" w14:paraId="410D10F2" w14:textId="77777777">
      <w:pPr>
        <w:pStyle w:val="zGNormal"/>
        <w:rPr>
          <w:b/>
          <w:bCs/>
        </w:rPr>
      </w:pPr>
    </w:p>
    <w:p w:rsidRPr="00884D7E" w:rsidR="00B64C50" w:rsidP="00B64C50" w:rsidRDefault="00B64C50" w14:paraId="2D4FEA4F" w14:textId="77777777">
      <w:pPr>
        <w:pStyle w:val="zGNormal"/>
        <w:rPr>
          <w:b/>
          <w:bCs/>
        </w:rPr>
      </w:pPr>
    </w:p>
    <w:p w:rsidRPr="00884D7E" w:rsidR="00B64C50" w:rsidP="00B64C50" w:rsidRDefault="00B64C50" w14:paraId="6DDC9CBB" w14:textId="77777777">
      <w:pPr>
        <w:pStyle w:val="zGNormal"/>
        <w:rPr>
          <w:b/>
          <w:bCs/>
        </w:rPr>
      </w:pPr>
    </w:p>
    <w:p w:rsidRPr="00884D7E" w:rsidR="00B64C50" w:rsidP="00B64C50" w:rsidRDefault="00B64C50" w14:paraId="4375AF70" w14:textId="77777777">
      <w:pPr>
        <w:pStyle w:val="zGNormal"/>
        <w:rPr>
          <w:b/>
          <w:bCs/>
        </w:rPr>
      </w:pPr>
    </w:p>
    <w:p w:rsidRPr="00884D7E" w:rsidR="00B64C50" w:rsidP="00B64C50" w:rsidRDefault="00B64C50" w14:paraId="14D83F1F" w14:textId="77777777">
      <w:pPr>
        <w:pStyle w:val="zGNormal"/>
        <w:rPr>
          <w:b/>
          <w:bCs/>
        </w:rPr>
      </w:pPr>
    </w:p>
    <w:p w:rsidRPr="00884D7E" w:rsidR="00B64C50" w:rsidP="00B64C50" w:rsidRDefault="00B64C50" w14:paraId="46FA3D29" w14:textId="77777777">
      <w:pPr>
        <w:pStyle w:val="zGNormal"/>
        <w:rPr>
          <w:b/>
          <w:bCs/>
        </w:rPr>
      </w:pPr>
    </w:p>
    <w:p w:rsidRPr="00884D7E" w:rsidR="00B64C50" w:rsidP="00B64C50" w:rsidRDefault="00B64C50" w14:paraId="090930E1" w14:textId="77777777">
      <w:pPr>
        <w:pStyle w:val="zGNormal"/>
        <w:rPr>
          <w:b/>
          <w:bCs/>
        </w:rPr>
      </w:pPr>
    </w:p>
    <w:p w:rsidRPr="00884D7E" w:rsidR="00B64C50" w:rsidP="00B64C50" w:rsidRDefault="00B64C50" w14:paraId="40A4D931" w14:textId="77777777">
      <w:pPr>
        <w:pStyle w:val="zGNormal"/>
        <w:rPr>
          <w:b/>
          <w:bCs/>
          <w:caps/>
          <w:u w:val="single"/>
        </w:rPr>
      </w:pPr>
      <w:bookmarkStart w:name="_Toc167347255" w:id="1069"/>
      <w:bookmarkStart w:name="_Toc169758314" w:id="1070"/>
      <w:r w:rsidRPr="00884D7E">
        <w:rPr>
          <w:b/>
          <w:bCs/>
          <w:caps/>
          <w:u w:val="single"/>
        </w:rPr>
        <w:t>Part 2.  Liquidated Damages</w:t>
      </w:r>
      <w:bookmarkEnd w:id="1069"/>
      <w:bookmarkEnd w:id="1070"/>
    </w:p>
    <w:p w:rsidRPr="00884D7E" w:rsidR="00B64C50" w:rsidP="00B64C50" w:rsidRDefault="00B64C50" w14:paraId="0F2D0226" w14:textId="77777777">
      <w:pPr>
        <w:pStyle w:val="zGNormal"/>
      </w:pPr>
    </w:p>
    <w:p w:rsidRPr="00A06E13" w:rsidR="00B64C50" w:rsidP="00A06E13" w:rsidRDefault="008E7F44" w14:paraId="2702AFED" w14:textId="37E4862C">
      <w:pPr>
        <w:autoSpaceDE w:val="0"/>
        <w:autoSpaceDN w:val="0"/>
        <w:adjustRightInd w:val="0"/>
        <w:spacing w:after="0" w:line="240" w:lineRule="auto"/>
        <w:jc w:val="both"/>
        <w:rPr>
          <w:rFonts w:ascii="Arial" w:hAnsi="Arial" w:eastAsia="MS Mincho" w:cs="Arial"/>
          <w:kern w:val="14"/>
          <w:sz w:val="20"/>
          <w:szCs w:val="20"/>
        </w:rPr>
      </w:pPr>
      <w:r w:rsidRPr="008E7F44">
        <w:rPr>
          <w:rFonts w:ascii="Arial" w:hAnsi="Arial" w:eastAsia="MS Mincho" w:cs="Arial"/>
          <w:kern w:val="14"/>
          <w:sz w:val="20"/>
          <w:szCs w:val="20"/>
        </w:rPr>
        <w:t xml:space="preserve">The following table represents delay liquidated damages amounts that </w:t>
      </w:r>
      <w:r w:rsidR="00594427">
        <w:rPr>
          <w:rFonts w:ascii="Arial" w:hAnsi="Arial" w:eastAsia="MS Mincho" w:cs="Arial"/>
          <w:kern w:val="14"/>
          <w:sz w:val="20"/>
          <w:szCs w:val="20"/>
        </w:rPr>
        <w:t>will</w:t>
      </w:r>
      <w:r w:rsidRPr="008E7F44">
        <w:rPr>
          <w:rFonts w:ascii="Arial" w:hAnsi="Arial" w:eastAsia="MS Mincho" w:cs="Arial"/>
          <w:kern w:val="14"/>
          <w:sz w:val="20"/>
          <w:szCs w:val="20"/>
        </w:rPr>
        <w:t xml:space="preserve"> be owed if Seller does not timely achieve</w:t>
      </w:r>
      <w:r w:rsidR="00D54477">
        <w:rPr>
          <w:rFonts w:ascii="Arial" w:hAnsi="Arial" w:eastAsia="MS Mincho" w:cs="Arial"/>
          <w:kern w:val="14"/>
          <w:sz w:val="20"/>
          <w:szCs w:val="20"/>
        </w:rPr>
        <w:t xml:space="preserve"> Commercial Operation by</w:t>
      </w:r>
      <w:r w:rsidRPr="008E7F44">
        <w:rPr>
          <w:rFonts w:ascii="Arial" w:hAnsi="Arial" w:eastAsia="MS Mincho" w:cs="Arial"/>
          <w:kern w:val="14"/>
          <w:sz w:val="20"/>
          <w:szCs w:val="20"/>
        </w:rPr>
        <w:t xml:space="preserve"> RCOD. The amounts shown in the table are daily amounts that will be owed for each Day of delay beyond the RCOD and in the applicable Month.</w:t>
      </w:r>
    </w:p>
    <w:p w:rsidRPr="00884D7E" w:rsidR="00B64C50" w:rsidP="00B64C50" w:rsidRDefault="00B64C50" w14:paraId="2D23E9D2" w14:textId="77777777">
      <w:pPr>
        <w:pStyle w:val="zGNormal"/>
      </w:pPr>
    </w:p>
    <w:p w:rsidRPr="00261AEB" w:rsidR="00B64C50" w:rsidP="00261AEB" w:rsidRDefault="00B64C50" w14:paraId="55CDE525" w14:textId="77777777">
      <w:pPr>
        <w:pStyle w:val="zGNormal"/>
      </w:pPr>
    </w:p>
    <w:p w:rsidR="00405C48" w:rsidP="00884D7E" w:rsidRDefault="00B64C50" w14:paraId="7B3B8DD9" w14:textId="3B054278">
      <w:pPr>
        <w:jc w:val="both"/>
        <w:sectPr w:rsidR="00405C48" w:rsidSect="003B614F">
          <w:pgSz w:w="12240" w:h="15840" w:code="1"/>
          <w:pgMar w:top="1440" w:right="1440" w:bottom="1440" w:left="1440" w:header="720" w:footer="720" w:gutter="0"/>
          <w:paperSrc w:first="15" w:other="15"/>
          <w:cols w:space="1440"/>
        </w:sectPr>
      </w:pPr>
      <w:r w:rsidRPr="5EF81DE5">
        <w:rPr>
          <w:b/>
          <w:bCs/>
          <w:highlight w:val="cyan"/>
        </w:rPr>
        <w:t>[</w:t>
      </w:r>
      <w:r w:rsidRPr="5EF81DE5">
        <w:rPr>
          <w:b/>
          <w:bCs/>
          <w:i/>
          <w:iCs/>
          <w:highlight w:val="cyan"/>
          <w:u w:val="single"/>
        </w:rPr>
        <w:t>Note to Bidders</w:t>
      </w:r>
      <w:r w:rsidRPr="5EF81DE5">
        <w:rPr>
          <w:b/>
          <w:bCs/>
          <w:i/>
          <w:iCs/>
          <w:highlight w:val="cyan"/>
        </w:rPr>
        <w:t xml:space="preserve">: </w:t>
      </w:r>
      <w:r w:rsidRPr="5EF81DE5" w:rsidR="00A06E13">
        <w:rPr>
          <w:rFonts w:ascii="Arial" w:hAnsi="Arial" w:cs="Arial"/>
          <w:b/>
          <w:bCs/>
          <w:i/>
          <w:iCs/>
          <w:sz w:val="20"/>
          <w:szCs w:val="20"/>
          <w:highlight w:val="cyan"/>
        </w:rPr>
        <w:t>A</w:t>
      </w:r>
      <w:r w:rsidRPr="5EF81DE5">
        <w:rPr>
          <w:rFonts w:ascii="Arial" w:hAnsi="Arial" w:cs="Arial"/>
          <w:b/>
          <w:bCs/>
          <w:i/>
          <w:iCs/>
          <w:sz w:val="20"/>
          <w:szCs w:val="20"/>
          <w:highlight w:val="cyan"/>
        </w:rPr>
        <w:t xml:space="preserve"> Liquidated Damages table will be </w:t>
      </w:r>
      <w:r w:rsidRPr="5EF81DE5" w:rsidR="00A06E13">
        <w:rPr>
          <w:rFonts w:ascii="Arial" w:hAnsi="Arial" w:cs="Arial"/>
          <w:b/>
          <w:bCs/>
          <w:i/>
          <w:iCs/>
          <w:sz w:val="20"/>
          <w:szCs w:val="20"/>
          <w:highlight w:val="cyan"/>
        </w:rPr>
        <w:t>added to include</w:t>
      </w:r>
      <w:r w:rsidRPr="5EF81DE5">
        <w:rPr>
          <w:rFonts w:ascii="Arial" w:hAnsi="Arial" w:cs="Arial"/>
          <w:b/>
          <w:bCs/>
          <w:i/>
          <w:iCs/>
          <w:sz w:val="20"/>
          <w:szCs w:val="20"/>
          <w:highlight w:val="cyan"/>
        </w:rPr>
        <w:t xml:space="preserve"> the applicable delay liquidated damages stated in Attachment </w:t>
      </w:r>
      <w:r w:rsidRPr="5EF81DE5" w:rsidR="705A84FA">
        <w:rPr>
          <w:rFonts w:ascii="Arial" w:hAnsi="Arial" w:cs="Arial"/>
          <w:b/>
          <w:bCs/>
          <w:i/>
          <w:iCs/>
          <w:sz w:val="20"/>
          <w:szCs w:val="20"/>
          <w:highlight w:val="cyan"/>
        </w:rPr>
        <w:t>1</w:t>
      </w:r>
      <w:r w:rsidRPr="5EF81DE5">
        <w:rPr>
          <w:rFonts w:ascii="Arial" w:hAnsi="Arial" w:cs="Arial"/>
          <w:b/>
          <w:bCs/>
          <w:i/>
          <w:iCs/>
          <w:sz w:val="20"/>
          <w:szCs w:val="20"/>
          <w:highlight w:val="cyan"/>
        </w:rPr>
        <w:t xml:space="preserve"> (</w:t>
      </w:r>
      <w:r w:rsidRPr="5EF81DE5" w:rsidR="06CAD919">
        <w:rPr>
          <w:rFonts w:ascii="Arial" w:hAnsi="Arial" w:cs="Arial"/>
          <w:b/>
          <w:bCs/>
          <w:i/>
          <w:iCs/>
          <w:sz w:val="20"/>
          <w:szCs w:val="20"/>
          <w:highlight w:val="cyan"/>
        </w:rPr>
        <w:t xml:space="preserve">Performance Security and </w:t>
      </w:r>
      <w:r w:rsidRPr="5EF81DE5">
        <w:rPr>
          <w:rFonts w:ascii="Arial" w:hAnsi="Arial" w:cs="Arial"/>
          <w:b/>
          <w:bCs/>
          <w:i/>
          <w:iCs/>
          <w:sz w:val="20"/>
          <w:szCs w:val="20"/>
          <w:highlight w:val="cyan"/>
        </w:rPr>
        <w:t xml:space="preserve">Liquidated Damages Summary) of RFP Exhibit </w:t>
      </w:r>
      <w:r w:rsidRPr="5EF81DE5" w:rsidR="29689297">
        <w:rPr>
          <w:rFonts w:ascii="Arial" w:hAnsi="Arial" w:cs="Arial"/>
          <w:b/>
          <w:bCs/>
          <w:i/>
          <w:iCs/>
          <w:sz w:val="20"/>
          <w:szCs w:val="20"/>
          <w:highlight w:val="cyan"/>
        </w:rPr>
        <w:t>D</w:t>
      </w:r>
      <w:r w:rsidRPr="5EF81DE5">
        <w:rPr>
          <w:rFonts w:ascii="Arial" w:hAnsi="Arial" w:cs="Arial"/>
          <w:b/>
          <w:bCs/>
          <w:i/>
          <w:iCs/>
          <w:sz w:val="20"/>
          <w:szCs w:val="20"/>
          <w:highlight w:val="cyan"/>
        </w:rPr>
        <w:t xml:space="preserve"> (Summary of Fees, Costs, Security, and Deadlines).</w:t>
      </w:r>
      <w:r w:rsidRPr="5EF81DE5">
        <w:rPr>
          <w:rFonts w:ascii="Arial" w:hAnsi="Arial" w:cs="Arial"/>
          <w:b/>
          <w:bCs/>
          <w:highlight w:val="cyan"/>
        </w:rPr>
        <w:t>]</w:t>
      </w:r>
      <w:r>
        <w:br w:type="page"/>
      </w:r>
    </w:p>
    <w:p w:rsidR="00C70D82" w:rsidP="00C70D82" w:rsidRDefault="00C70D82" w14:paraId="014EBEC4" w14:textId="77777777">
      <w:pPr>
        <w:pStyle w:val="zGNormal"/>
      </w:pPr>
    </w:p>
    <w:p w:rsidRPr="006012CE" w:rsidR="009B2F30" w:rsidP="00F762E1" w:rsidRDefault="002D54C4" w14:paraId="46B56733" w14:textId="2C4BCDED">
      <w:pPr>
        <w:pStyle w:val="zGTitleExhibit"/>
        <w:rPr>
          <w:rFonts w:cs="Arial"/>
        </w:rPr>
      </w:pPr>
      <w:bookmarkStart w:name="_Toc169778717" w:id="1071"/>
      <w:bookmarkStart w:name="_Toc227451482" w:id="1072"/>
      <w:r w:rsidRPr="006012CE">
        <w:rPr>
          <w:rFonts w:cs="Arial"/>
        </w:rPr>
        <w:t>Exhibit B – Capacity; Capacity Payments</w:t>
      </w:r>
      <w:r w:rsidRPr="006012CE" w:rsidR="00C70526">
        <w:rPr>
          <w:rFonts w:cs="Arial"/>
        </w:rPr>
        <w:t xml:space="preserve"> AND PAYMENT REDUCTIONS</w:t>
      </w:r>
      <w:r w:rsidRPr="006012CE" w:rsidR="00DD5C7F">
        <w:rPr>
          <w:rFonts w:cs="Arial" w:eastAsiaTheme="minorEastAsia"/>
        </w:rPr>
        <w:t xml:space="preserve">; </w:t>
      </w:r>
      <w:r w:rsidRPr="006012CE">
        <w:rPr>
          <w:rFonts w:cs="Arial"/>
        </w:rPr>
        <w:t>BUYDOWN</w:t>
      </w:r>
      <w:bookmarkEnd w:id="1071"/>
      <w:bookmarkEnd w:id="1072"/>
    </w:p>
    <w:p w:rsidRPr="006012CE" w:rsidR="00FC6D64" w:rsidP="00D94D93" w:rsidRDefault="000C31A6" w14:paraId="4C9B784F" w14:textId="69BB9D0D">
      <w:pPr>
        <w:pStyle w:val="zGBody1"/>
        <w:numPr>
          <w:ilvl w:val="0"/>
          <w:numId w:val="22"/>
        </w:numPr>
        <w:spacing w:before="120" w:after="120"/>
      </w:pPr>
      <w:r w:rsidRPr="006012CE">
        <w:t>Testing Requirements</w:t>
      </w:r>
    </w:p>
    <w:p w:rsidRPr="006012CE" w:rsidR="005A7183" w:rsidP="00D94D93" w:rsidRDefault="00BD2DA1" w14:paraId="4E3AA4B6" w14:textId="77777777">
      <w:pPr>
        <w:pStyle w:val="zGBody2"/>
        <w:numPr>
          <w:ilvl w:val="1"/>
          <w:numId w:val="23"/>
        </w:numPr>
        <w:rPr>
          <w:vanish/>
          <w:specVanish/>
        </w:rPr>
      </w:pPr>
      <w:r w:rsidRPr="006012CE">
        <w:t xml:space="preserve">Contracted Capacity </w:t>
      </w:r>
      <w:r w:rsidRPr="006012CE" w:rsidR="002D54C4">
        <w:t xml:space="preserve">Cap. </w:t>
      </w:r>
    </w:p>
    <w:p w:rsidRPr="006012CE" w:rsidR="00E6250F" w:rsidP="00261AEB" w:rsidRDefault="005E0514" w14:paraId="4AA5454C" w14:textId="2139D04E">
      <w:pPr>
        <w:pStyle w:val="zGNormal"/>
        <w:spacing w:before="120" w:after="120"/>
      </w:pPr>
      <w:r w:rsidRPr="006012CE">
        <w:t xml:space="preserve">Throughout the Term, </w:t>
      </w:r>
      <w:r w:rsidRPr="006012CE" w:rsidR="0007323D">
        <w:rPr>
          <w:rStyle w:val="cf01"/>
          <w:rFonts w:ascii="Arial" w:hAnsi="Arial" w:cs="Arial"/>
          <w:sz w:val="20"/>
          <w:szCs w:val="20"/>
        </w:rPr>
        <w:t>SDDC</w:t>
      </w:r>
      <w:r w:rsidRPr="006012CE" w:rsidR="004372C0">
        <w:rPr>
          <w:rStyle w:val="cf01"/>
          <w:rFonts w:ascii="Arial" w:hAnsi="Arial" w:cs="Arial"/>
          <w:sz w:val="20"/>
          <w:szCs w:val="20"/>
        </w:rPr>
        <w:t xml:space="preserve"> will be capped at the</w:t>
      </w:r>
      <w:r w:rsidRPr="006012CE" w:rsidR="0007323D">
        <w:rPr>
          <w:rStyle w:val="cf01"/>
          <w:rFonts w:ascii="Arial" w:hAnsi="Arial" w:cs="Arial"/>
          <w:sz w:val="20"/>
          <w:szCs w:val="20"/>
        </w:rPr>
        <w:t xml:space="preserve"> Contracted Capacity</w:t>
      </w:r>
      <w:r w:rsidRPr="006012CE" w:rsidR="002D54C4">
        <w:t>.</w:t>
      </w:r>
    </w:p>
    <w:p w:rsidRPr="006012CE" w:rsidR="00A830B1" w:rsidP="00D94D93" w:rsidRDefault="002D54C4" w14:paraId="0307231B" w14:textId="62CE14E4">
      <w:pPr>
        <w:pStyle w:val="zGBody2"/>
        <w:numPr>
          <w:ilvl w:val="1"/>
          <w:numId w:val="23"/>
        </w:numPr>
      </w:pPr>
      <w:r w:rsidRPr="006012CE">
        <w:t>Tested</w:t>
      </w:r>
      <w:r w:rsidRPr="006012CE">
        <w:rPr>
          <w:b w:val="0"/>
        </w:rPr>
        <w:t xml:space="preserve"> Storage Capacity; Performance Test</w:t>
      </w:r>
      <w:r w:rsidRPr="006012CE" w:rsidR="00DF7D3A">
        <w:rPr>
          <w:b w:val="0"/>
        </w:rPr>
        <w:t>ing</w:t>
      </w:r>
      <w:r w:rsidRPr="006012CE">
        <w:rPr>
          <w:b w:val="0"/>
        </w:rPr>
        <w:t>.</w:t>
      </w:r>
      <w:r w:rsidRPr="006012CE">
        <w:t xml:space="preserve"> </w:t>
      </w:r>
    </w:p>
    <w:p w:rsidRPr="00A830B1" w:rsidR="00A830B1" w:rsidP="00D94D93" w:rsidRDefault="00D645A9" w14:paraId="6984064C" w14:textId="77777777">
      <w:pPr>
        <w:pStyle w:val="zGBody2"/>
        <w:numPr>
          <w:ilvl w:val="2"/>
          <w:numId w:val="23"/>
        </w:numPr>
        <w:rPr>
          <w:vanish/>
          <w:specVanish/>
        </w:rPr>
      </w:pPr>
      <w:r w:rsidRPr="006012CE">
        <w:t xml:space="preserve">Pre-COD </w:t>
      </w:r>
      <w:r w:rsidRPr="006012CE" w:rsidR="00FA4A5E">
        <w:t xml:space="preserve">Performance </w:t>
      </w:r>
      <w:r w:rsidRPr="006012CE">
        <w:t>Testing.</w:t>
      </w:r>
    </w:p>
    <w:p w:rsidRPr="006012CE" w:rsidR="00656B9B" w:rsidP="00261AEB" w:rsidRDefault="00D645A9" w14:paraId="10DBA29C" w14:textId="08F26E00">
      <w:pPr>
        <w:pStyle w:val="zGBody3"/>
        <w:spacing w:after="120"/>
      </w:pPr>
      <w:r w:rsidRPr="006012CE">
        <w:t xml:space="preserve"> Pre-COD </w:t>
      </w:r>
      <w:r w:rsidRPr="006012CE" w:rsidR="00B60068">
        <w:t xml:space="preserve">Performance </w:t>
      </w:r>
      <w:r w:rsidRPr="006012CE">
        <w:t>Testing will be conducted in accordance with Section 1.</w:t>
      </w:r>
      <w:r w:rsidRPr="006012CE" w:rsidR="00E11092">
        <w:t>2.</w:t>
      </w:r>
      <w:r w:rsidRPr="006012CE" w:rsidR="003B5654">
        <w:t>2</w:t>
      </w:r>
      <w:r w:rsidRPr="006012CE" w:rsidR="002C46E4">
        <w:t xml:space="preserve"> (</w:t>
      </w:r>
      <w:r w:rsidRPr="006012CE" w:rsidR="002C46E4">
        <w:rPr>
          <w:i/>
          <w:iCs/>
        </w:rPr>
        <w:t>Performance Testing</w:t>
      </w:r>
      <w:r w:rsidRPr="006012CE" w:rsidR="002C46E4">
        <w:t>)</w:t>
      </w:r>
      <w:r w:rsidRPr="006012CE" w:rsidR="00486545">
        <w:t xml:space="preserve"> and Exhibit </w:t>
      </w:r>
      <w:r w:rsidRPr="006012CE" w:rsidR="00473918">
        <w:t>E</w:t>
      </w:r>
      <w:r w:rsidRPr="006012CE" w:rsidR="00ED05F6">
        <w:t xml:space="preserve"> (</w:t>
      </w:r>
      <w:r w:rsidRPr="006012CE" w:rsidR="00D47764">
        <w:rPr>
          <w:i/>
          <w:iCs/>
        </w:rPr>
        <w:t>Performance Testing</w:t>
      </w:r>
      <w:r w:rsidRPr="006012CE" w:rsidR="00C2255A">
        <w:rPr>
          <w:i/>
          <w:iCs/>
        </w:rPr>
        <w:t xml:space="preserve"> Procedures</w:t>
      </w:r>
      <w:r w:rsidRPr="006012CE" w:rsidR="00ED05F6">
        <w:t>)</w:t>
      </w:r>
      <w:r w:rsidRPr="006012CE" w:rsidR="00687D71">
        <w:t xml:space="preserve"> </w:t>
      </w:r>
      <w:r w:rsidRPr="006012CE">
        <w:t xml:space="preserve">to establish the tested performance of the </w:t>
      </w:r>
      <w:r w:rsidR="00E94322">
        <w:t>B</w:t>
      </w:r>
      <w:r w:rsidRPr="006012CE">
        <w:t xml:space="preserve">ESS for the Performance Guarantees stated </w:t>
      </w:r>
      <w:r w:rsidRPr="006012CE" w:rsidR="00231D40">
        <w:t>as A</w:t>
      </w:r>
      <w:r w:rsidRPr="006012CE" w:rsidR="00723B01">
        <w:t xml:space="preserve"> – </w:t>
      </w:r>
      <w:r w:rsidRPr="006012CE" w:rsidR="001F652D">
        <w:t>E</w:t>
      </w:r>
      <w:r w:rsidRPr="006012CE" w:rsidR="00723B01">
        <w:t xml:space="preserve"> </w:t>
      </w:r>
      <w:r w:rsidRPr="006012CE">
        <w:t>in</w:t>
      </w:r>
      <w:r w:rsidRPr="006012CE" w:rsidR="00723B01">
        <w:t xml:space="preserve"> Table A</w:t>
      </w:r>
      <w:r w:rsidRPr="006012CE" w:rsidR="00DB0254">
        <w:t>-3</w:t>
      </w:r>
      <w:r w:rsidRPr="006A50D2" w:rsidR="00723B01">
        <w:rPr>
          <w:bCs/>
        </w:rPr>
        <w:t xml:space="preserve"> </w:t>
      </w:r>
      <w:r w:rsidRPr="006A50D2" w:rsidR="006A50D2">
        <w:rPr>
          <w:bCs/>
        </w:rPr>
        <w:t>(</w:t>
      </w:r>
      <w:r w:rsidRPr="006A50D2" w:rsidR="006A50D2">
        <w:rPr>
          <w:bCs/>
          <w:i/>
          <w:iCs/>
        </w:rPr>
        <w:t>Additional Facility and Operating Information</w:t>
      </w:r>
      <w:r w:rsidRPr="006A50D2" w:rsidR="006A50D2">
        <w:rPr>
          <w:bCs/>
        </w:rPr>
        <w:t xml:space="preserve">) </w:t>
      </w:r>
      <w:r w:rsidRPr="006012CE" w:rsidR="00723B01">
        <w:t>of</w:t>
      </w:r>
      <w:r w:rsidRPr="006012CE">
        <w:t xml:space="preserve"> Exhibit A (</w:t>
      </w:r>
      <w:r w:rsidRPr="006012CE">
        <w:rPr>
          <w:i/>
        </w:rPr>
        <w:t xml:space="preserve">Facility Description and </w:t>
      </w:r>
      <w:r w:rsidRPr="006012CE" w:rsidR="00856720">
        <w:rPr>
          <w:i/>
        </w:rPr>
        <w:t>Additional Details</w:t>
      </w:r>
      <w:r w:rsidRPr="006012CE">
        <w:t xml:space="preserve">). For Commercial Operation to be accepted by GPC, the tested performance of the </w:t>
      </w:r>
      <w:r w:rsidR="00E94322">
        <w:t>B</w:t>
      </w:r>
      <w:r w:rsidRPr="006012CE">
        <w:t>ESS must equal or exceed the corresponding Performance Guarantee, except to the extent of a buydown payment made by Seller in accordance with Section 1.</w:t>
      </w:r>
      <w:r w:rsidRPr="006012CE" w:rsidR="0023283B">
        <w:t>3</w:t>
      </w:r>
      <w:r w:rsidRPr="006012CE">
        <w:t xml:space="preserve"> (</w:t>
      </w:r>
      <w:r w:rsidRPr="006012CE">
        <w:rPr>
          <w:i/>
        </w:rPr>
        <w:t xml:space="preserve">Tested Storage Capacity Below SDDC; </w:t>
      </w:r>
      <w:r w:rsidRPr="006012CE" w:rsidR="0023283B">
        <w:rPr>
          <w:i/>
        </w:rPr>
        <w:t xml:space="preserve">SDDC </w:t>
      </w:r>
      <w:r w:rsidRPr="006012CE">
        <w:rPr>
          <w:i/>
        </w:rPr>
        <w:t>Buydown</w:t>
      </w:r>
      <w:r w:rsidRPr="006012CE">
        <w:t>) for SDDC.</w:t>
      </w:r>
      <w:r w:rsidRPr="006012CE" w:rsidR="00062F74">
        <w:t xml:space="preserve"> </w:t>
      </w:r>
      <w:r w:rsidRPr="006012CE" w:rsidR="001D1FF5">
        <w:t>In addition to Performance Testing</w:t>
      </w:r>
      <w:r w:rsidRPr="006012CE" w:rsidR="4EFD8122">
        <w:t xml:space="preserve">, </w:t>
      </w:r>
      <w:r w:rsidRPr="006012CE" w:rsidR="000C516B">
        <w:t xml:space="preserve">Seller must successfully complete any testing required by the IA and </w:t>
      </w:r>
      <w:r w:rsidRPr="006012CE" w:rsidR="002865FE">
        <w:t>any</w:t>
      </w:r>
      <w:r w:rsidRPr="006012CE" w:rsidR="008F306F">
        <w:t xml:space="preserve"> </w:t>
      </w:r>
      <w:r w:rsidRPr="006012CE" w:rsidR="00815B9E">
        <w:t xml:space="preserve">required </w:t>
      </w:r>
      <w:r w:rsidR="00E94322">
        <w:t>B</w:t>
      </w:r>
      <w:r w:rsidRPr="006012CE" w:rsidR="4EFD8122">
        <w:t xml:space="preserve">ESS </w:t>
      </w:r>
      <w:r w:rsidRPr="006012CE" w:rsidR="0AADD73D">
        <w:t>and</w:t>
      </w:r>
      <w:r w:rsidRPr="006012CE" w:rsidR="4EFD8122">
        <w:t xml:space="preserve"> Renewable Resource AGC dispatch testing. </w:t>
      </w:r>
    </w:p>
    <w:p w:rsidRPr="006012CE" w:rsidR="00713D25" w:rsidP="00D94D93" w:rsidRDefault="00D645A9" w14:paraId="38C9DABE" w14:textId="3731084D">
      <w:pPr>
        <w:pStyle w:val="zGBody4"/>
        <w:numPr>
          <w:ilvl w:val="3"/>
          <w:numId w:val="23"/>
        </w:numPr>
        <w:ind w:left="1440"/>
        <w:jc w:val="both"/>
      </w:pPr>
      <w:r w:rsidRPr="006012CE">
        <w:t>Except as</w:t>
      </w:r>
      <w:r>
        <w:rPr>
          <w:b/>
        </w:rPr>
        <w:t xml:space="preserve"> </w:t>
      </w:r>
      <w:r w:rsidRPr="006012CE">
        <w:t>described in Section 1.</w:t>
      </w:r>
      <w:r w:rsidRPr="006012CE" w:rsidR="0040732B">
        <w:t>3</w:t>
      </w:r>
      <w:r w:rsidRPr="006012CE">
        <w:t xml:space="preserve"> (</w:t>
      </w:r>
      <w:r w:rsidRPr="006012CE" w:rsidR="00713D25">
        <w:rPr>
          <w:i/>
        </w:rPr>
        <w:t>Tested</w:t>
      </w:r>
      <w:r w:rsidRPr="006012CE">
        <w:rPr>
          <w:i/>
        </w:rPr>
        <w:t xml:space="preserve"> Storage Capacity Below SDDC; </w:t>
      </w:r>
      <w:r w:rsidRPr="006012CE" w:rsidR="009D0E45">
        <w:rPr>
          <w:i/>
        </w:rPr>
        <w:t xml:space="preserve">SDDC </w:t>
      </w:r>
      <w:r w:rsidRPr="006012CE">
        <w:rPr>
          <w:i/>
        </w:rPr>
        <w:t>Buydown</w:t>
      </w:r>
      <w:r w:rsidRPr="006012CE">
        <w:t xml:space="preserve">), no Performance Test result will change any Performance Guarantee. All Performance Metrics will compare actual performance to the Performance Guarantees. Seller will not receive any additional compensation for tested or actual </w:t>
      </w:r>
      <w:r w:rsidR="00E94322">
        <w:t>B</w:t>
      </w:r>
      <w:r w:rsidRPr="006012CE">
        <w:t>ESS performance that exceeds any of the Performance Guarantees.</w:t>
      </w:r>
    </w:p>
    <w:p w:rsidRPr="007A0E43" w:rsidR="00F85D8C" w:rsidP="00D94D93" w:rsidRDefault="001F6489" w14:paraId="4EB74196" w14:textId="412D6542">
      <w:pPr>
        <w:pStyle w:val="zGBody2"/>
        <w:numPr>
          <w:ilvl w:val="3"/>
          <w:numId w:val="23"/>
        </w:numPr>
        <w:ind w:left="1440"/>
        <w:rPr>
          <w:rFonts w:ascii="Arial" w:hAnsi="Arial" w:cs="Times New Roman"/>
        </w:rPr>
      </w:pPr>
      <w:r>
        <w:rPr>
          <w:rFonts w:ascii="Arial" w:hAnsi="Arial" w:cs="Times New Roman"/>
          <w:b w:val="0"/>
          <w:bCs/>
        </w:rPr>
        <w:t xml:space="preserve">As stated in </w:t>
      </w:r>
      <w:r w:rsidRPr="007800E5" w:rsidR="007800E5">
        <w:rPr>
          <w:rFonts w:ascii="Arial" w:hAnsi="Arial" w:cs="Times New Roman"/>
          <w:b w:val="0"/>
          <w:bCs/>
        </w:rPr>
        <w:t>Section 1.2.1 (</w:t>
      </w:r>
      <w:r w:rsidRPr="007800E5" w:rsidR="007800E5">
        <w:rPr>
          <w:rFonts w:ascii="Arial" w:hAnsi="Arial" w:cs="Times New Roman"/>
          <w:b w:val="0"/>
          <w:bCs/>
          <w:i/>
          <w:iCs/>
        </w:rPr>
        <w:t>Pre-COD Performance Testing</w:t>
      </w:r>
      <w:r w:rsidRPr="007800E5" w:rsidR="007800E5">
        <w:rPr>
          <w:rFonts w:ascii="Arial" w:hAnsi="Arial" w:cs="Times New Roman"/>
          <w:b w:val="0"/>
          <w:bCs/>
        </w:rPr>
        <w:t>), GPC acceptance of Commercial Operation is contingent on Seller meeting or exceeding all Performance Guarantees. Subject to Seller’s one-time option to buydown SDDC under Section 1.3.4.A (</w:t>
      </w:r>
      <w:r w:rsidRPr="007800E5" w:rsidR="007800E5">
        <w:rPr>
          <w:rFonts w:ascii="Arial" w:hAnsi="Arial" w:cs="Times New Roman"/>
          <w:b w:val="0"/>
          <w:bCs/>
          <w:i/>
          <w:iCs/>
        </w:rPr>
        <w:t>Buydown Liquidated Damages</w:t>
      </w:r>
      <w:r w:rsidRPr="007800E5" w:rsidR="007800E5">
        <w:rPr>
          <w:rFonts w:ascii="Arial" w:hAnsi="Arial" w:cs="Times New Roman"/>
          <w:b w:val="0"/>
          <w:bCs/>
        </w:rPr>
        <w:t>), if Performance Testing demonstrates that Seller failed to meet or exceed any Performance Guarantee, Seller must cure the performance deficiency to meet or exceed the Performance Guarantee.</w:t>
      </w:r>
    </w:p>
    <w:p w:rsidRPr="00A830B1" w:rsidR="004603D3" w:rsidP="00D94D93" w:rsidRDefault="00C51E1E" w14:paraId="7675FDB9" w14:textId="40D6C716">
      <w:pPr>
        <w:pStyle w:val="zGBody2"/>
        <w:numPr>
          <w:ilvl w:val="2"/>
          <w:numId w:val="23"/>
        </w:numPr>
        <w:rPr>
          <w:vanish/>
          <w:specVanish/>
        </w:rPr>
      </w:pPr>
      <w:r>
        <w:rPr>
          <w:rFonts w:ascii="Arial" w:hAnsi="Arial" w:cs="Times New Roman"/>
        </w:rPr>
        <w:t>Performance Testing.</w:t>
      </w:r>
    </w:p>
    <w:p w:rsidRPr="006012CE" w:rsidR="00FD6B91" w:rsidP="00FD6B91" w:rsidRDefault="004603D3" w14:paraId="7BF10ED4" w14:textId="77777777">
      <w:pPr>
        <w:pStyle w:val="zGBody3"/>
        <w:spacing w:after="120"/>
      </w:pPr>
      <w:r>
        <w:rPr>
          <w:rFonts w:cs="Times New Roman"/>
        </w:rPr>
        <w:t xml:space="preserve"> </w:t>
      </w:r>
      <w:r w:rsidRPr="007B6F2D" w:rsidR="004A499B">
        <w:rPr>
          <w:rFonts w:cs="Times New Roman"/>
        </w:rPr>
        <w:t>Seller must conduct</w:t>
      </w:r>
      <w:r w:rsidR="004A499B">
        <w:rPr>
          <w:rFonts w:cs="Times New Roman"/>
          <w:b/>
          <w:bCs/>
        </w:rPr>
        <w:t xml:space="preserve"> </w:t>
      </w:r>
      <w:r w:rsidRPr="004A499B" w:rsidR="004A499B">
        <w:rPr>
          <w:rFonts w:cs="Times New Roman"/>
          <w:bCs/>
        </w:rPr>
        <w:t>Performance Testing in accordance with Exhibit E (</w:t>
      </w:r>
      <w:r w:rsidRPr="004A499B" w:rsidR="004A499B">
        <w:rPr>
          <w:rFonts w:cs="Times New Roman"/>
          <w:bCs/>
          <w:i/>
        </w:rPr>
        <w:t>Performance Testing Procedures</w:t>
      </w:r>
      <w:r w:rsidRPr="004A499B" w:rsidR="004A499B">
        <w:rPr>
          <w:rFonts w:cs="Times New Roman"/>
          <w:bCs/>
        </w:rPr>
        <w:t>) to demonstrate that SDDC and all other Performance Guarantees are met. To demonstrate the BESS capability, Performance Tests will measure the maximum output of the BESS at the POI over the SDDD as well as the moment-to-moment variability of energy discharged from the BESS. The moment-to-moment variability of energy discharged from the BESS as determined in the Performance Test will determine if the tested performance of the BESS meets or exceeds the Performance Guarantees specified in Exhibit A (</w:t>
      </w:r>
      <w:r w:rsidRPr="004A499B" w:rsidR="004A499B">
        <w:rPr>
          <w:rFonts w:cs="Times New Roman"/>
          <w:bCs/>
          <w:i/>
          <w:iCs/>
        </w:rPr>
        <w:t>Facility Description and Additional Details</w:t>
      </w:r>
      <w:r w:rsidRPr="004A499B" w:rsidR="004A499B">
        <w:rPr>
          <w:rFonts w:cs="Times New Roman"/>
          <w:bCs/>
        </w:rPr>
        <w:t>). Performance Testing must demonstrate that the Facility can operate autonomously, without human intervention that would not be available and responsive during normal commercial operation, during the charging and discharging Cycles and that the thermal management system performs as required. Prior to COD, Seller must not begin Performance Testing until Seller confirms the Facility is ready for Performance Testing, including confirmation that all commissioning is complete, all equipment is operational, and all activities to confirm BESS health and balancing are complete. After the Delivery Commencement Date and no more than twice each Annual Period, if GPC requests that Seller conduct additional Performance Testing because of documented BESS performance deficiencies, Seller must conduct additional Performance Testing to confirm the BESS meets the Performance Guarantees.</w:t>
      </w:r>
      <w:r w:rsidRPr="004A499B" w:rsidDel="00ED05F6" w:rsidR="004A499B">
        <w:rPr>
          <w:rFonts w:cs="Times New Roman"/>
          <w:bCs/>
        </w:rPr>
        <w:t xml:space="preserve"> </w:t>
      </w:r>
      <w:r w:rsidRPr="004A499B" w:rsidR="004A499B">
        <w:rPr>
          <w:rFonts w:cs="Times New Roman"/>
          <w:bCs/>
        </w:rPr>
        <w:t xml:space="preserve">If Performance Testing shows performance deficiencies, no such limit applies to the frequency with which </w:t>
      </w:r>
      <w:r w:rsidRPr="004A499B" w:rsidR="004A499B">
        <w:rPr>
          <w:rFonts w:cs="Times New Roman"/>
          <w:bCs/>
        </w:rPr>
        <w:lastRenderedPageBreak/>
        <w:t>GPC may request retesting. No later than 10 Days after receipt of a GPC request</w:t>
      </w:r>
      <w:r>
        <w:rPr>
          <w:rFonts w:cs="Times New Roman"/>
        </w:rPr>
        <w:t xml:space="preserve"> </w:t>
      </w:r>
      <w:r w:rsidRPr="006012CE" w:rsidR="00FD6B91">
        <w:t>for Performance Testing, Seller must notify GPC of when the Performance Test will be conducted. Seller must conduct Performance Testing no later than 30 Days after receipt of GPC’s request.</w:t>
      </w:r>
    </w:p>
    <w:p w:rsidRPr="00A830B1" w:rsidR="00FD6B91" w:rsidP="00D94D93" w:rsidRDefault="00FD6B91" w14:paraId="0126BFAE" w14:textId="77777777">
      <w:pPr>
        <w:pStyle w:val="zGBody2"/>
        <w:numPr>
          <w:ilvl w:val="2"/>
          <w:numId w:val="23"/>
        </w:numPr>
        <w:rPr>
          <w:vanish/>
          <w:specVanish/>
        </w:rPr>
      </w:pPr>
      <w:r>
        <w:rPr>
          <w:rFonts w:ascii="Arial" w:hAnsi="Arial" w:cs="Times New Roman"/>
        </w:rPr>
        <w:t>GPC Election; No Waiver.</w:t>
      </w:r>
    </w:p>
    <w:p w:rsidRPr="006012CE" w:rsidR="00FD6B91" w:rsidP="00FD6B91" w:rsidRDefault="00FD6B91" w14:paraId="7ACF6F82" w14:textId="77777777">
      <w:pPr>
        <w:pStyle w:val="zGBody3"/>
        <w:spacing w:after="120"/>
      </w:pPr>
      <w:r>
        <w:rPr>
          <w:rFonts w:cs="Times New Roman"/>
        </w:rPr>
        <w:t xml:space="preserve"> </w:t>
      </w:r>
      <w:r w:rsidRPr="00FD6B91">
        <w:rPr>
          <w:rFonts w:cs="Times New Roman"/>
        </w:rPr>
        <w:t>GPC</w:t>
      </w:r>
      <w:r>
        <w:rPr>
          <w:rFonts w:cs="Times New Roman"/>
          <w:b/>
          <w:bCs/>
        </w:rPr>
        <w:t xml:space="preserve"> </w:t>
      </w:r>
      <w:r w:rsidRPr="006012CE">
        <w:t>in its sole discretion may elect to waive any Performance Test requirement.</w:t>
      </w:r>
      <w:r w:rsidRPr="006012CE">
        <w:rPr>
          <w:b/>
          <w:bCs/>
        </w:rPr>
        <w:t xml:space="preserve"> </w:t>
      </w:r>
      <w:r w:rsidRPr="006012CE">
        <w:t>Any GPC election to waive any Performance Testing requirement will not waive any Performance Testing requirement for future Performance Tests or otherwise relieve Seller from any Performance Guarantee obligation.</w:t>
      </w:r>
    </w:p>
    <w:p w:rsidRPr="00A830B1" w:rsidR="00FD6B91" w:rsidP="00D94D93" w:rsidRDefault="00FD6B91" w14:paraId="1A05224B" w14:textId="77777777">
      <w:pPr>
        <w:pStyle w:val="zGBody2"/>
        <w:numPr>
          <w:ilvl w:val="2"/>
          <w:numId w:val="23"/>
        </w:numPr>
        <w:rPr>
          <w:vanish/>
          <w:specVanish/>
        </w:rPr>
      </w:pPr>
      <w:r w:rsidRPr="006012CE">
        <w:t xml:space="preserve">Test Charge/Discharge Energy Price </w:t>
      </w:r>
      <w:r>
        <w:t>Before</w:t>
      </w:r>
      <w:r w:rsidRPr="006012CE">
        <w:t xml:space="preserve"> Commercial Operation Date</w:t>
      </w:r>
      <w:r>
        <w:t>.</w:t>
      </w:r>
    </w:p>
    <w:p w:rsidRPr="00FB420E" w:rsidR="00FB420E" w:rsidP="00D94D93" w:rsidRDefault="00FD6B91" w14:paraId="60CE6833" w14:textId="05997CC4">
      <w:pPr>
        <w:pStyle w:val="zGBody2"/>
        <w:numPr>
          <w:ilvl w:val="2"/>
          <w:numId w:val="23"/>
        </w:numPr>
        <w:rPr>
          <w:rFonts w:ascii="Arial" w:hAnsi="Arial" w:cs="Times New Roman"/>
          <w:b w:val="0"/>
          <w:bCs/>
        </w:rPr>
      </w:pPr>
      <w:r>
        <w:rPr>
          <w:rFonts w:ascii="Arial" w:hAnsi="Arial" w:cs="Times New Roman"/>
        </w:rPr>
        <w:t xml:space="preserve"> </w:t>
      </w:r>
      <w:r w:rsidRPr="00FD6B91">
        <w:rPr>
          <w:rFonts w:ascii="Arial" w:hAnsi="Arial" w:cs="Times New Roman"/>
          <w:b w:val="0"/>
          <w:bCs/>
        </w:rPr>
        <w:t>For all Grid Charging Energy prior to COD, GPC will sell and Seller will receive and purchase Grid Charging Energy at the Test Charge Energy Price. For all energy delivered to the POI from the BESS or Renewable Resource prior to COD, but not after the Delivery Commencement Date, GPC will receive and purchase such energy from Seller at the Test Discharge Energy Price. After the Delivery Commencement Date, GPC will not pay Seller for any test energy delivered to the POI.</w:t>
      </w:r>
    </w:p>
    <w:p w:rsidRPr="0091064A" w:rsidR="0091064A" w:rsidP="00D94D93" w:rsidRDefault="002D54C4" w14:paraId="5EE7F61D" w14:textId="00DE8A16">
      <w:pPr>
        <w:pStyle w:val="zGBody2"/>
        <w:numPr>
          <w:ilvl w:val="1"/>
          <w:numId w:val="23"/>
        </w:numPr>
        <w:rPr>
          <w:rFonts w:ascii="Arial" w:hAnsi="Arial"/>
          <w:b w:val="0"/>
          <w:bCs/>
        </w:rPr>
      </w:pPr>
      <w:bookmarkStart w:name="_Hlk160060236" w:id="1073"/>
      <w:r w:rsidRPr="006012CE">
        <w:t xml:space="preserve">Tested Storage Capacity Below SDDC; </w:t>
      </w:r>
      <w:r w:rsidRPr="006012CE" w:rsidR="007C5E92">
        <w:t xml:space="preserve">SDDC </w:t>
      </w:r>
      <w:r w:rsidRPr="006012CE">
        <w:t>Buy</w:t>
      </w:r>
      <w:r w:rsidRPr="006012CE" w:rsidR="00EC263C">
        <w:t>d</w:t>
      </w:r>
      <w:r w:rsidRPr="006012CE">
        <w:t>own</w:t>
      </w:r>
      <w:bookmarkEnd w:id="1073"/>
      <w:r w:rsidRPr="006012CE">
        <w:t>.</w:t>
      </w:r>
      <w:r w:rsidR="004873C6">
        <w:t xml:space="preserve"> </w:t>
      </w:r>
      <w:r w:rsidR="0080604F">
        <w:rPr>
          <w:rFonts w:ascii="Arial" w:hAnsi="Arial" w:cs="Times New Roman"/>
          <w:b w:val="0"/>
          <w:bCs/>
        </w:rPr>
        <w:t>This Section 1.3 applies to Tested Storage Capacity only and not to any other Performance Guarantee. During the Performance Test, Tested Storage Capacity must prove continuous and steady output (</w:t>
      </w:r>
      <w:r w:rsidR="005905AF">
        <w:rPr>
          <w:rFonts w:ascii="Arial" w:hAnsi="Arial" w:cs="Times New Roman"/>
          <w:b w:val="0"/>
          <w:bCs/>
        </w:rPr>
        <w:t xml:space="preserve">within the permitted deviation limits outlined in Exhibit E) from the BESS at the SDDC over the entire SDDD. </w:t>
      </w:r>
      <w:r w:rsidR="00E8113A">
        <w:rPr>
          <w:rFonts w:ascii="Arial" w:hAnsi="Arial" w:cs="Times New Roman"/>
          <w:b w:val="0"/>
          <w:bCs/>
        </w:rPr>
        <w:t>If</w:t>
      </w:r>
      <w:r w:rsidR="005905AF">
        <w:rPr>
          <w:rFonts w:ascii="Arial" w:hAnsi="Arial" w:cs="Times New Roman"/>
          <w:b w:val="0"/>
          <w:bCs/>
        </w:rPr>
        <w:t xml:space="preserve"> the Performance Test fails to demonstrate the Tested Storage Capacity is equal to or greater than the SDDC over the entire SDDD, Seller must remedy the failure per the provisions in this Section 1.3.</w:t>
      </w:r>
      <w:r w:rsidR="004873C6">
        <w:t xml:space="preserve"> </w:t>
      </w:r>
    </w:p>
    <w:p w:rsidRPr="00A21463" w:rsidR="00B11D3A" w:rsidP="00D94D93" w:rsidRDefault="002D54C4" w14:paraId="482E8267" w14:textId="73874A49">
      <w:pPr>
        <w:pStyle w:val="zGBody2"/>
        <w:numPr>
          <w:ilvl w:val="2"/>
          <w:numId w:val="56"/>
        </w:numPr>
        <w:rPr>
          <w:rFonts w:ascii="Arial" w:hAnsi="Arial"/>
          <w:vanish/>
          <w:specVanish/>
        </w:rPr>
      </w:pPr>
      <w:r w:rsidRPr="00A21463">
        <w:rPr>
          <w:rFonts w:ascii="Arial" w:hAnsi="Arial"/>
        </w:rPr>
        <w:t>Cure Plan and Cure Period</w:t>
      </w:r>
    </w:p>
    <w:p w:rsidRPr="00745BD2" w:rsidR="00745BD2" w:rsidP="00D94D93" w:rsidRDefault="002D54C4" w14:paraId="2BEED6B7" w14:textId="6CD7B489">
      <w:pPr>
        <w:pStyle w:val="zGBody4"/>
        <w:numPr>
          <w:ilvl w:val="3"/>
          <w:numId w:val="56"/>
        </w:numPr>
        <w:jc w:val="both"/>
      </w:pPr>
      <w:r w:rsidRPr="00A21463">
        <w:t xml:space="preserve">. </w:t>
      </w:r>
      <w:r>
        <w:t xml:space="preserve">In addition to and without limiting the remedies </w:t>
      </w:r>
      <w:r w:rsidRPr="00D972C9">
        <w:t xml:space="preserve">available to GPC </w:t>
      </w:r>
      <w:r w:rsidRPr="00D972C9" w:rsidR="0019681C">
        <w:t>under</w:t>
      </w:r>
      <w:r w:rsidRPr="00D972C9">
        <w:t xml:space="preserve"> PPA Section </w:t>
      </w:r>
      <w:r w:rsidRPr="00D972C9" w:rsidR="0002066F">
        <w:t>16.1.</w:t>
      </w:r>
      <w:r w:rsidRPr="00D972C9" w:rsidR="00B63129">
        <w:t>9</w:t>
      </w:r>
      <w:r w:rsidRPr="00D972C9">
        <w:t xml:space="preserve"> (</w:t>
      </w:r>
      <w:r w:rsidRPr="00D972C9">
        <w:rPr>
          <w:i/>
        </w:rPr>
        <w:t>Tested Storage Capacity Below</w:t>
      </w:r>
      <w:r w:rsidRPr="00D972C9" w:rsidR="00894DF0">
        <w:rPr>
          <w:i/>
        </w:rPr>
        <w:t xml:space="preserve"> 70%</w:t>
      </w:r>
      <w:r w:rsidRPr="00D972C9" w:rsidR="00B407EC">
        <w:rPr>
          <w:i/>
        </w:rPr>
        <w:t xml:space="preserve"> Contracted Capacity</w:t>
      </w:r>
      <w:r w:rsidRPr="00D972C9">
        <w:rPr>
          <w:i/>
        </w:rPr>
        <w:t>; Cure; Remedies</w:t>
      </w:r>
      <w:r w:rsidRPr="00D972C9">
        <w:t xml:space="preserve">), if a Performance Test indicates that the Tested Storage Capacity, including continuous output over the SDDD, is less than SDDC but greater than or equal to 70% of </w:t>
      </w:r>
      <w:r w:rsidRPr="00D972C9" w:rsidR="00C170B9">
        <w:t>Contracted Capacity</w:t>
      </w:r>
      <w:r w:rsidRPr="00D972C9">
        <w:t xml:space="preserve">, Seller </w:t>
      </w:r>
      <w:r w:rsidRPr="00D972C9" w:rsidR="00D80E0B">
        <w:t>must, by no later than</w:t>
      </w:r>
      <w:r w:rsidRPr="00D972C9">
        <w:t xml:space="preserve"> 10 Days </w:t>
      </w:r>
      <w:r w:rsidRPr="00D972C9" w:rsidR="00D80E0B">
        <w:t xml:space="preserve">after the Performance Test date, </w:t>
      </w:r>
      <w:r w:rsidRPr="00D972C9">
        <w:t xml:space="preserve">submit to GPC a </w:t>
      </w:r>
      <w:r w:rsidRPr="00D972C9" w:rsidR="00D80E0B">
        <w:t xml:space="preserve">written </w:t>
      </w:r>
      <w:r w:rsidRPr="00D972C9">
        <w:t xml:space="preserve">cure plan for increasing the Tested </w:t>
      </w:r>
      <w:r w:rsidRPr="00D972C9" w:rsidR="00C66B27">
        <w:t xml:space="preserve">Storage </w:t>
      </w:r>
      <w:r w:rsidRPr="00D972C9">
        <w:t xml:space="preserve">Capacity to the </w:t>
      </w:r>
      <w:r w:rsidRPr="00D972C9" w:rsidR="005D1008">
        <w:t>Contracted Capacity</w:t>
      </w:r>
      <w:r w:rsidRPr="00D972C9">
        <w:t xml:space="preserve">. Seller’s cure plan must be acceptable to GPC and include a reasonable Cure Period during which Seller </w:t>
      </w:r>
      <w:r w:rsidRPr="00D972C9" w:rsidR="005422DC">
        <w:t xml:space="preserve">will </w:t>
      </w:r>
      <w:r w:rsidRPr="00D972C9">
        <w:t>conduct additional Performance Tests. Except as permitted under Section 1.</w:t>
      </w:r>
      <w:r w:rsidRPr="00D972C9" w:rsidR="00D82C21">
        <w:t>3</w:t>
      </w:r>
      <w:r w:rsidRPr="00D972C9">
        <w:t>.</w:t>
      </w:r>
      <w:r w:rsidRPr="00D972C9" w:rsidR="00850694">
        <w:t>1.A</w:t>
      </w:r>
      <w:r w:rsidRPr="00D972C9">
        <w:t xml:space="preserve"> (</w:t>
      </w:r>
      <w:r w:rsidRPr="00D972C9">
        <w:rPr>
          <w:i/>
        </w:rPr>
        <w:t>Cure Period Extension</w:t>
      </w:r>
      <w:r w:rsidRPr="00D972C9">
        <w:t xml:space="preserve">), the Cure Period must not exceed </w:t>
      </w:r>
      <w:r w:rsidRPr="00D972C9" w:rsidR="00D972C9">
        <w:rPr>
          <w:bCs/>
        </w:rPr>
        <w:t>1</w:t>
      </w:r>
      <w:r w:rsidR="00745BD2">
        <w:rPr>
          <w:bCs/>
        </w:rPr>
        <w:t>8</w:t>
      </w:r>
      <w:r w:rsidRPr="00D972C9" w:rsidR="00D972C9">
        <w:rPr>
          <w:bCs/>
        </w:rPr>
        <w:t xml:space="preserve">0 Days. </w:t>
      </w:r>
      <w:r w:rsidRPr="00745BD2" w:rsidR="00745BD2">
        <w:rPr>
          <w:b/>
          <w:bCs/>
        </w:rPr>
        <w:t>Cure Period Extension</w:t>
      </w:r>
      <w:r w:rsidR="00745BD2">
        <w:t xml:space="preserve">. If </w:t>
      </w:r>
      <w:r w:rsidRPr="00745BD2" w:rsidR="00745BD2">
        <w:t>Seller establishes a cure plan under this Section 1.3.1 (</w:t>
      </w:r>
      <w:r w:rsidRPr="00745BD2" w:rsidR="00745BD2">
        <w:rPr>
          <w:i/>
        </w:rPr>
        <w:t>Cure Plan and Cure Period</w:t>
      </w:r>
      <w:r w:rsidRPr="00745BD2" w:rsidR="00745BD2">
        <w:t>) but requires a Cure Period of more than 1</w:t>
      </w:r>
      <w:r w:rsidR="00862849">
        <w:t>8</w:t>
      </w:r>
      <w:r w:rsidRPr="00745BD2" w:rsidR="00745BD2">
        <w:t>0 Days to cure the inadequate Tested Storage Capacity from the most recent Performance Test, then GPC may agree to extend the Cure Period for a reasonable additional period of time, but the extension will not exceed 180</w:t>
      </w:r>
      <w:r w:rsidRPr="00745BD2" w:rsidDel="00F22C25" w:rsidR="00745BD2">
        <w:t xml:space="preserve"> </w:t>
      </w:r>
      <w:r w:rsidRPr="00745BD2" w:rsidR="00745BD2">
        <w:t xml:space="preserve">Days. </w:t>
      </w:r>
      <w:r w:rsidR="007216B7">
        <w:t xml:space="preserve">The total duration of the Cure Period, as extended, must not exceed 360 Days. </w:t>
      </w:r>
      <w:r w:rsidRPr="00745BD2" w:rsidR="00745BD2">
        <w:t>As a condition to GPC granting the Cure Period extension, by no later than 15 Days before the expiration of the initial Cure Period,</w:t>
      </w:r>
      <w:r w:rsidRPr="00745BD2" w:rsidDel="00B30CB4" w:rsidR="00745BD2">
        <w:t xml:space="preserve"> Seller </w:t>
      </w:r>
      <w:r w:rsidRPr="00745BD2" w:rsidR="00745BD2">
        <w:t xml:space="preserve">must provide to GPC: </w:t>
      </w:r>
    </w:p>
    <w:p w:rsidRPr="00745BD2" w:rsidR="00745BD2" w:rsidP="002E261A" w:rsidRDefault="002E261A" w14:paraId="04AFE54E" w14:textId="0DE2B6C0">
      <w:pPr>
        <w:pStyle w:val="zGBody4"/>
        <w:ind w:left="2160"/>
        <w:jc w:val="both"/>
      </w:pPr>
      <w:r w:rsidRPr="002E261A">
        <w:rPr>
          <w:b/>
          <w:bCs/>
        </w:rPr>
        <w:t>(i).</w:t>
      </w:r>
      <w:r>
        <w:t xml:space="preserve"> </w:t>
      </w:r>
      <w:r w:rsidRPr="00745BD2" w:rsidR="00745BD2">
        <w:t>A revised cure plan, acceptable to GPC, setting forth a reasonable extension of the Cure Period, not to exceed 180</w:t>
      </w:r>
      <w:r w:rsidRPr="00745BD2" w:rsidDel="00F22C25" w:rsidR="00745BD2">
        <w:t xml:space="preserve"> </w:t>
      </w:r>
      <w:r w:rsidRPr="00745BD2" w:rsidR="00745BD2">
        <w:t>Days;</w:t>
      </w:r>
      <w:r w:rsidRPr="00745BD2" w:rsidDel="0062497C" w:rsidR="00745BD2">
        <w:t xml:space="preserve"> and</w:t>
      </w:r>
      <w:r w:rsidRPr="00745BD2" w:rsidR="00745BD2">
        <w:t xml:space="preserve"> </w:t>
      </w:r>
    </w:p>
    <w:p w:rsidRPr="00F54035" w:rsidR="00F72C39" w:rsidP="00F54035" w:rsidRDefault="002E261A" w14:paraId="563C5B62" w14:textId="4AB6E5D7">
      <w:pPr>
        <w:pStyle w:val="zGBody4"/>
        <w:ind w:left="2160"/>
        <w:jc w:val="both"/>
      </w:pPr>
      <w:r w:rsidRPr="002E261A">
        <w:rPr>
          <w:b/>
          <w:bCs/>
        </w:rPr>
        <w:t>(ii).</w:t>
      </w:r>
      <w:r>
        <w:t xml:space="preserve"> </w:t>
      </w:r>
      <w:r w:rsidRPr="00745BD2" w:rsidR="00745BD2">
        <w:t xml:space="preserve">A written certification, acceptable to GPC, confirming that </w:t>
      </w:r>
      <w:r w:rsidRPr="00745BD2" w:rsidDel="00547B3E" w:rsidR="00745BD2">
        <w:t>for</w:t>
      </w:r>
      <w:r w:rsidRPr="00745BD2" w:rsidR="00745BD2">
        <w:t xml:space="preserve"> Seller to cure the inadequate Tested Storage Capacity Seller must be afforded the requested additional amount of time. </w:t>
      </w:r>
    </w:p>
    <w:p w:rsidRPr="00FF2EC7" w:rsidR="00F72C39" w:rsidP="00D94D93" w:rsidRDefault="008110A0" w14:paraId="3EE965D4" w14:textId="6857DC77">
      <w:pPr>
        <w:pStyle w:val="zGBody2"/>
        <w:numPr>
          <w:ilvl w:val="2"/>
          <w:numId w:val="54"/>
        </w:numPr>
        <w:rPr>
          <w:rFonts w:ascii="Arial" w:hAnsi="Arial" w:cs="Times New Roman"/>
        </w:rPr>
      </w:pPr>
      <w:r>
        <w:rPr>
          <w:rFonts w:ascii="Arial" w:hAnsi="Arial" w:cs="Times New Roman"/>
        </w:rPr>
        <w:t xml:space="preserve">Cured Inadequate Tested Storage Capacity. </w:t>
      </w:r>
      <w:r>
        <w:rPr>
          <w:rFonts w:ascii="Arial" w:hAnsi="Arial" w:cs="Times New Roman"/>
          <w:b w:val="0"/>
          <w:bCs/>
        </w:rPr>
        <w:t>The</w:t>
      </w:r>
      <w:r w:rsidR="006E7936">
        <w:rPr>
          <w:rFonts w:ascii="Arial" w:hAnsi="Arial" w:cs="Times New Roman"/>
          <w:b w:val="0"/>
          <w:bCs/>
        </w:rPr>
        <w:t xml:space="preserve"> </w:t>
      </w:r>
      <w:r w:rsidR="00653D4B">
        <w:rPr>
          <w:rFonts w:ascii="Arial" w:hAnsi="Arial" w:cs="Times New Roman"/>
          <w:b w:val="0"/>
          <w:bCs/>
        </w:rPr>
        <w:t>inadequate Tested Storage Capacity will be deemed cured under this Section 1.3 (</w:t>
      </w:r>
      <w:r w:rsidRPr="00026E8E" w:rsidR="00653D4B">
        <w:rPr>
          <w:rFonts w:ascii="Arial" w:hAnsi="Arial" w:cs="Times New Roman"/>
          <w:b w:val="0"/>
          <w:bCs/>
          <w:i/>
          <w:iCs/>
        </w:rPr>
        <w:t>Tested Storage Capacity Below SDDC; SDDC B</w:t>
      </w:r>
      <w:r w:rsidRPr="00026E8E" w:rsidR="00026E8E">
        <w:rPr>
          <w:rFonts w:ascii="Arial" w:hAnsi="Arial" w:cs="Times New Roman"/>
          <w:b w:val="0"/>
          <w:bCs/>
          <w:i/>
          <w:iCs/>
        </w:rPr>
        <w:t>uydown</w:t>
      </w:r>
      <w:r w:rsidR="00026E8E">
        <w:rPr>
          <w:rFonts w:ascii="Arial" w:hAnsi="Arial" w:cs="Times New Roman"/>
          <w:b w:val="0"/>
          <w:bCs/>
        </w:rPr>
        <w:t xml:space="preserve">) only if: </w:t>
      </w:r>
      <w:r w:rsidRPr="00FF2EC7" w:rsidR="00FF2EC7">
        <w:rPr>
          <w:rFonts w:ascii="Arial" w:hAnsi="Arial" w:cs="Times New Roman"/>
          <w:b w:val="0"/>
          <w:bCs/>
        </w:rPr>
        <w:t xml:space="preserve">(i) Seller provides GPC with a written certification, reasonably acceptable to GPC, confirming that the inadequate Tested Storage Capacity has been cured; </w:t>
      </w:r>
      <w:r w:rsidRPr="00FF2EC7" w:rsidR="00FF2EC7">
        <w:rPr>
          <w:rFonts w:ascii="Arial" w:hAnsi="Arial" w:cs="Times New Roman"/>
          <w:b w:val="0"/>
          <w:bCs/>
        </w:rPr>
        <w:lastRenderedPageBreak/>
        <w:t>and (ii) the Tested Storage Capacity, as demonstrated by the most recent Performance Test, is increased to a value equal to or greater than the Contracted Capacity</w:t>
      </w:r>
      <w:r w:rsidR="00FF2EC7">
        <w:rPr>
          <w:rFonts w:ascii="Arial" w:hAnsi="Arial" w:cs="Times New Roman"/>
          <w:b w:val="0"/>
          <w:bCs/>
        </w:rPr>
        <w:t>.</w:t>
      </w:r>
    </w:p>
    <w:p w:rsidRPr="00FF2EC7" w:rsidR="00FF2EC7" w:rsidP="00D94D93" w:rsidRDefault="00FF2EC7" w14:paraId="15318EA4" w14:textId="275BFAB6">
      <w:pPr>
        <w:pStyle w:val="zGBody2"/>
        <w:numPr>
          <w:ilvl w:val="2"/>
          <w:numId w:val="54"/>
        </w:numPr>
        <w:rPr>
          <w:rFonts w:ascii="Arial" w:hAnsi="Arial" w:cs="Times New Roman"/>
        </w:rPr>
      </w:pPr>
      <w:r>
        <w:rPr>
          <w:rFonts w:ascii="Arial" w:hAnsi="Arial" w:cs="Times New Roman"/>
        </w:rPr>
        <w:t xml:space="preserve">SDDC During a Cure Period. </w:t>
      </w:r>
      <w:r>
        <w:rPr>
          <w:rFonts w:ascii="Arial" w:hAnsi="Arial" w:cs="Times New Roman"/>
          <w:b w:val="0"/>
          <w:bCs/>
        </w:rPr>
        <w:t xml:space="preserve">During any Cure Period or </w:t>
      </w:r>
      <w:r w:rsidRPr="00FF2EC7">
        <w:rPr>
          <w:rFonts w:ascii="Arial" w:hAnsi="Arial" w:cs="Times New Roman"/>
          <w:b w:val="0"/>
          <w:bCs/>
        </w:rPr>
        <w:t>Cure Period extension, the SDDC will be deemed to be the Tested Storage Capacity determined in accordance with the most recent Performance Test, but the SDDD will not be reduced. The ROC and SDOE will adjust proportionately to the reduction of SDDC</w:t>
      </w:r>
      <w:r>
        <w:rPr>
          <w:rFonts w:ascii="Arial" w:hAnsi="Arial" w:cs="Times New Roman"/>
          <w:b w:val="0"/>
          <w:bCs/>
        </w:rPr>
        <w:t>.</w:t>
      </w:r>
    </w:p>
    <w:p w:rsidRPr="00745BD2" w:rsidR="00FF2EC7" w:rsidP="00D94D93" w:rsidRDefault="00FF2EC7" w14:paraId="44CEAAC4" w14:textId="280DA935">
      <w:pPr>
        <w:pStyle w:val="zGBody2"/>
        <w:numPr>
          <w:ilvl w:val="2"/>
          <w:numId w:val="54"/>
        </w:numPr>
        <w:rPr>
          <w:rFonts w:ascii="Arial" w:hAnsi="Arial" w:cs="Times New Roman"/>
        </w:rPr>
      </w:pPr>
      <w:r w:rsidRPr="00FF2EC7">
        <w:rPr>
          <w:rFonts w:ascii="Arial" w:hAnsi="Arial" w:cs="Times New Roman"/>
        </w:rPr>
        <w:t>Failure to Cure Inadequate Tested Storage Capacity Above 70% Contracted Capacity; Buydown Liquidated Damages</w:t>
      </w:r>
      <w:r>
        <w:rPr>
          <w:rFonts w:ascii="Arial" w:hAnsi="Arial" w:cs="Times New Roman"/>
        </w:rPr>
        <w:t xml:space="preserve">. </w:t>
      </w:r>
      <w:r>
        <w:rPr>
          <w:rFonts w:ascii="Arial" w:hAnsi="Arial" w:cs="Times New Roman"/>
          <w:b w:val="0"/>
          <w:bCs/>
        </w:rPr>
        <w:t xml:space="preserve">If Seller fails to: </w:t>
      </w:r>
      <w:r w:rsidRPr="00FF2EC7">
        <w:rPr>
          <w:rFonts w:ascii="Arial" w:hAnsi="Arial" w:cs="Times New Roman"/>
          <w:b w:val="0"/>
          <w:bCs/>
        </w:rPr>
        <w:t>(i) establish the cure plan within the required 10-Day period set forth</w:t>
      </w:r>
      <w:r w:rsidRPr="00FF2EC7" w:rsidDel="00C45E78">
        <w:rPr>
          <w:rFonts w:ascii="Arial" w:hAnsi="Arial" w:cs="Times New Roman"/>
          <w:b w:val="0"/>
          <w:bCs/>
        </w:rPr>
        <w:t xml:space="preserve"> </w:t>
      </w:r>
      <w:r w:rsidRPr="00FF2EC7">
        <w:rPr>
          <w:rFonts w:ascii="Arial" w:hAnsi="Arial" w:cs="Times New Roman"/>
          <w:b w:val="0"/>
          <w:bCs/>
        </w:rPr>
        <w:t>in</w:t>
      </w:r>
      <w:r w:rsidRPr="00FF2EC7" w:rsidDel="00C45E78">
        <w:rPr>
          <w:rFonts w:ascii="Arial" w:hAnsi="Arial" w:cs="Times New Roman"/>
          <w:b w:val="0"/>
          <w:bCs/>
        </w:rPr>
        <w:t xml:space="preserve"> </w:t>
      </w:r>
      <w:r w:rsidRPr="00FF2EC7">
        <w:rPr>
          <w:rFonts w:ascii="Arial" w:hAnsi="Arial" w:cs="Times New Roman"/>
          <w:b w:val="0"/>
          <w:bCs/>
        </w:rPr>
        <w:t>Section 1.3.1 (</w:t>
      </w:r>
      <w:r w:rsidRPr="00FF2EC7">
        <w:rPr>
          <w:rFonts w:ascii="Arial" w:hAnsi="Arial" w:cs="Times New Roman"/>
          <w:b w:val="0"/>
          <w:bCs/>
          <w:i/>
        </w:rPr>
        <w:t>Cure Plan and Cure Period</w:t>
      </w:r>
      <w:r w:rsidRPr="00FF2EC7">
        <w:rPr>
          <w:rFonts w:ascii="Arial" w:hAnsi="Arial" w:cs="Times New Roman"/>
          <w:b w:val="0"/>
          <w:bCs/>
        </w:rPr>
        <w:t>) or, if applicable, establish the revised cure plan within the required 15-Day period set forth in Section 1.3.1.A (</w:t>
      </w:r>
      <w:r w:rsidRPr="00FF2EC7">
        <w:rPr>
          <w:rFonts w:ascii="Arial" w:hAnsi="Arial" w:cs="Times New Roman"/>
          <w:b w:val="0"/>
          <w:bCs/>
          <w:i/>
        </w:rPr>
        <w:t>Cure Period Extension</w:t>
      </w:r>
      <w:r w:rsidRPr="00FF2EC7">
        <w:rPr>
          <w:rFonts w:ascii="Arial" w:hAnsi="Arial" w:cs="Times New Roman"/>
          <w:b w:val="0"/>
          <w:bCs/>
        </w:rPr>
        <w:t>)</w:t>
      </w:r>
      <w:r w:rsidRPr="00FF2EC7" w:rsidDel="00B305C3">
        <w:rPr>
          <w:rFonts w:ascii="Arial" w:hAnsi="Arial" w:cs="Times New Roman"/>
          <w:b w:val="0"/>
          <w:bCs/>
        </w:rPr>
        <w:t xml:space="preserve"> </w:t>
      </w:r>
      <w:r w:rsidRPr="00FF2EC7">
        <w:rPr>
          <w:rFonts w:ascii="Arial" w:hAnsi="Arial" w:cs="Times New Roman"/>
          <w:b w:val="0"/>
          <w:bCs/>
        </w:rPr>
        <w:t>for a Cure Period extension;</w:t>
      </w:r>
      <w:r w:rsidRPr="00FF2EC7" w:rsidDel="00B26364">
        <w:rPr>
          <w:rFonts w:ascii="Arial" w:hAnsi="Arial" w:cs="Times New Roman"/>
          <w:b w:val="0"/>
          <w:bCs/>
        </w:rPr>
        <w:t xml:space="preserve"> or</w:t>
      </w:r>
      <w:r w:rsidRPr="00FF2EC7">
        <w:rPr>
          <w:rFonts w:ascii="Arial" w:hAnsi="Arial" w:cs="Times New Roman"/>
          <w:b w:val="0"/>
          <w:bCs/>
        </w:rPr>
        <w:t xml:space="preserve"> (ii) diligently implement the cure plan (including implementation of actions as GPC may reasonably request); or (iii) cure the inadequate Tested Storage Capacity within the applicable Cure Period, the SDDC will be deemed to be the Tested Storage Capacity demonstrated in the most recent Performance Test</w:t>
      </w:r>
      <w:r>
        <w:rPr>
          <w:rFonts w:ascii="Arial" w:hAnsi="Arial" w:cs="Times New Roman"/>
          <w:b w:val="0"/>
          <w:bCs/>
        </w:rPr>
        <w:t>.</w:t>
      </w:r>
    </w:p>
    <w:p w:rsidRPr="00652337" w:rsidR="002D54C4" w:rsidP="00D94D93" w:rsidRDefault="00C43281" w14:paraId="0FFB91A3" w14:textId="74D6A65E">
      <w:pPr>
        <w:pStyle w:val="zGBody3"/>
        <w:numPr>
          <w:ilvl w:val="3"/>
          <w:numId w:val="54"/>
        </w:numPr>
        <w:spacing w:after="120"/>
        <w:ind w:left="1440"/>
      </w:pPr>
      <w:r w:rsidRPr="00652337">
        <w:rPr>
          <w:b/>
          <w:bCs/>
        </w:rPr>
        <w:t>Buydown Liquidated Damages</w:t>
      </w:r>
      <w:r w:rsidRPr="00DC2227">
        <w:t>.</w:t>
      </w:r>
      <w:r w:rsidRPr="00652337">
        <w:rPr>
          <w:b/>
          <w:bCs/>
        </w:rPr>
        <w:t xml:space="preserve">  </w:t>
      </w:r>
      <w:r w:rsidRPr="00652337" w:rsidR="002D54C4">
        <w:t>Seller</w:t>
      </w:r>
      <w:r w:rsidRPr="00652337" w:rsidR="006F3326">
        <w:t xml:space="preserve"> will have a one-time option to</w:t>
      </w:r>
      <w:r w:rsidRPr="00652337" w:rsidR="004F3344">
        <w:t xml:space="preserve"> </w:t>
      </w:r>
      <w:r w:rsidRPr="00652337" w:rsidR="009B1DB9">
        <w:t>adjust SDDC</w:t>
      </w:r>
      <w:r w:rsidRPr="00652337" w:rsidR="00D67295">
        <w:t xml:space="preserve"> by</w:t>
      </w:r>
      <w:r w:rsidRPr="00652337" w:rsidR="002D54C4">
        <w:t xml:space="preserve"> pay</w:t>
      </w:r>
      <w:r w:rsidRPr="00652337" w:rsidR="00D67295">
        <w:t>ing</w:t>
      </w:r>
      <w:r w:rsidRPr="00652337" w:rsidR="002D54C4">
        <w:t xml:space="preserve"> GPC, as liquidated damages, the buydown payment shown in Table </w:t>
      </w:r>
      <w:r w:rsidRPr="00652337" w:rsidR="008A6554">
        <w:t>B</w:t>
      </w:r>
      <w:r w:rsidRPr="00652337" w:rsidR="002D54C4">
        <w:t>-1 (</w:t>
      </w:r>
      <w:r w:rsidRPr="00652337" w:rsidR="002D54C4">
        <w:rPr>
          <w:i/>
        </w:rPr>
        <w:t>Buy</w:t>
      </w:r>
      <w:r w:rsidRPr="00652337" w:rsidR="006366B1">
        <w:rPr>
          <w:i/>
        </w:rPr>
        <w:t>d</w:t>
      </w:r>
      <w:r w:rsidRPr="00652337" w:rsidR="002D54C4">
        <w:rPr>
          <w:i/>
        </w:rPr>
        <w:t xml:space="preserve">own Payment for Capacity Reduction </w:t>
      </w:r>
      <w:r w:rsidRPr="00652337" w:rsidR="008A6554">
        <w:rPr>
          <w:i/>
        </w:rPr>
        <w:t>Below</w:t>
      </w:r>
      <w:r w:rsidRPr="00652337" w:rsidR="002D54C4">
        <w:rPr>
          <w:i/>
        </w:rPr>
        <w:t xml:space="preserve"> SDDC</w:t>
      </w:r>
      <w:r w:rsidRPr="00652337" w:rsidR="002D54C4">
        <w:t xml:space="preserve">) corresponding to the Annual Period following the Annual Period in which the most recent Performance Test was conducted, based on the difference (in kW) between the </w:t>
      </w:r>
      <w:r w:rsidRPr="00652337" w:rsidR="006C249C">
        <w:t xml:space="preserve">Contracted Capacity </w:t>
      </w:r>
      <w:r w:rsidRPr="00652337" w:rsidR="002D54C4">
        <w:t>and the Tested Storage Capacity</w:t>
      </w:r>
      <w:r w:rsidRPr="00652337" w:rsidR="00816AE1">
        <w:t xml:space="preserve"> </w:t>
      </w:r>
      <w:r w:rsidRPr="00652337" w:rsidR="006C249C">
        <w:t xml:space="preserve">from </w:t>
      </w:r>
      <w:r w:rsidRPr="00652337" w:rsidR="00816AE1">
        <w:t>the most recent Performance Test</w:t>
      </w:r>
      <w:r w:rsidRPr="00652337" w:rsidR="002D54C4">
        <w:t xml:space="preserve">. </w:t>
      </w:r>
      <w:r w:rsidRPr="00652337" w:rsidR="002C0F10">
        <w:t>U</w:t>
      </w:r>
      <w:r w:rsidRPr="00652337" w:rsidR="002D54C4">
        <w:t>pon Seller making the buydown payment required under this Section 1.</w:t>
      </w:r>
      <w:r w:rsidRPr="00652337" w:rsidR="001C1735">
        <w:t>3</w:t>
      </w:r>
      <w:r w:rsidRPr="00652337" w:rsidR="002D54C4">
        <w:t>.</w:t>
      </w:r>
      <w:r w:rsidRPr="00652337" w:rsidR="00B63129">
        <w:t>4.A</w:t>
      </w:r>
      <w:r w:rsidRPr="00652337" w:rsidR="002D54C4">
        <w:t xml:space="preserve"> (</w:t>
      </w:r>
      <w:r w:rsidRPr="00652337" w:rsidR="002D54C4">
        <w:rPr>
          <w:i/>
        </w:rPr>
        <w:t>Buy</w:t>
      </w:r>
      <w:r w:rsidRPr="00652337" w:rsidR="00F758B0">
        <w:rPr>
          <w:i/>
        </w:rPr>
        <w:t>d</w:t>
      </w:r>
      <w:r w:rsidRPr="00652337" w:rsidR="002D54C4">
        <w:rPr>
          <w:i/>
        </w:rPr>
        <w:t>own Liquidated Damages</w:t>
      </w:r>
      <w:r w:rsidRPr="00652337" w:rsidR="002D54C4">
        <w:t xml:space="preserve">), the SDDC will be </w:t>
      </w:r>
      <w:r w:rsidRPr="00652337" w:rsidR="00F54AFD">
        <w:t xml:space="preserve">deemed </w:t>
      </w:r>
      <w:r w:rsidRPr="00652337" w:rsidR="00416E8C">
        <w:t xml:space="preserve">to </w:t>
      </w:r>
      <w:r w:rsidRPr="00652337" w:rsidR="00F54AFD">
        <w:t xml:space="preserve">be </w:t>
      </w:r>
      <w:r w:rsidRPr="00652337" w:rsidR="002D54C4">
        <w:t xml:space="preserve">the Tested Storage Capacity demonstrated in the most recent Performance Test. However, any </w:t>
      </w:r>
      <w:r w:rsidRPr="00652337" w:rsidR="00B24372">
        <w:t xml:space="preserve">reduction </w:t>
      </w:r>
      <w:r w:rsidRPr="00652337" w:rsidR="002D54C4">
        <w:t>of the SDDC will not limit or modify GPC’s rights and remedies under PPA Section 16.1.</w:t>
      </w:r>
      <w:r w:rsidRPr="00652337" w:rsidR="00B63129">
        <w:t>9</w:t>
      </w:r>
      <w:r w:rsidRPr="00652337" w:rsidR="002D54C4">
        <w:t xml:space="preserve"> (</w:t>
      </w:r>
      <w:r w:rsidRPr="00652337" w:rsidR="002D54C4">
        <w:rPr>
          <w:i/>
        </w:rPr>
        <w:t xml:space="preserve">Tested Storage Capacity Below 70% </w:t>
      </w:r>
      <w:r w:rsidRPr="00652337" w:rsidR="00F87CF4">
        <w:rPr>
          <w:i/>
        </w:rPr>
        <w:t>Contracted Capacity</w:t>
      </w:r>
      <w:r w:rsidRPr="00652337" w:rsidR="002D54C4">
        <w:rPr>
          <w:i/>
        </w:rPr>
        <w:t>; Cure; Remedies</w:t>
      </w:r>
      <w:r w:rsidRPr="00652337" w:rsidR="002D54C4">
        <w:t xml:space="preserve">). Subject to </w:t>
      </w:r>
      <w:r w:rsidRPr="00652337" w:rsidR="00F87CF4">
        <w:t xml:space="preserve">PPA </w:t>
      </w:r>
      <w:r w:rsidRPr="00652337" w:rsidR="002D54C4">
        <w:t>Section 16.1.</w:t>
      </w:r>
      <w:r w:rsidRPr="00652337" w:rsidR="00B63129">
        <w:t>9</w:t>
      </w:r>
      <w:r w:rsidRPr="00652337" w:rsidR="00E03A17">
        <w:t xml:space="preserve"> </w:t>
      </w:r>
      <w:r w:rsidRPr="00652337" w:rsidR="002D54C4">
        <w:t>the payment of buydown liquidated damages under this Section</w:t>
      </w:r>
      <w:r w:rsidRPr="00652337" w:rsidR="00136608">
        <w:t xml:space="preserve"> </w:t>
      </w:r>
      <w:r w:rsidRPr="00652337" w:rsidR="002D54C4">
        <w:t>1.</w:t>
      </w:r>
      <w:r w:rsidRPr="00652337" w:rsidR="00E03A17">
        <w:t>3</w:t>
      </w:r>
      <w:r w:rsidRPr="00652337" w:rsidR="00B63129">
        <w:t>.4.A</w:t>
      </w:r>
      <w:r w:rsidRPr="00652337" w:rsidR="002D54C4">
        <w:t xml:space="preserve"> will be GPC’s exclusive remedy for </w:t>
      </w:r>
      <w:r w:rsidRPr="00652337" w:rsidR="00C27814">
        <w:t xml:space="preserve">the </w:t>
      </w:r>
      <w:r w:rsidRPr="00652337" w:rsidR="002D54C4">
        <w:t xml:space="preserve">reduction of the SDDC </w:t>
      </w:r>
      <w:r w:rsidRPr="00652337" w:rsidR="00B77991">
        <w:t>to the</w:t>
      </w:r>
      <w:r w:rsidRPr="00652337" w:rsidR="0097677E">
        <w:t xml:space="preserve"> Tested Storage Capacity</w:t>
      </w:r>
      <w:r w:rsidRPr="00652337" w:rsidR="00C91279">
        <w:t xml:space="preserve"> from the most recent Performance Test</w:t>
      </w:r>
      <w:r w:rsidRPr="00652337" w:rsidR="002D54C4">
        <w:t>.</w:t>
      </w:r>
      <w:r w:rsidRPr="00652337" w:rsidR="002A5B4C">
        <w:t xml:space="preserve"> </w:t>
      </w:r>
      <w:r w:rsidRPr="00652337" w:rsidR="005171DF">
        <w:t>Seller</w:t>
      </w:r>
      <w:r w:rsidRPr="00652337" w:rsidR="00295278">
        <w:t xml:space="preserve"> will only be allowed to </w:t>
      </w:r>
      <w:r w:rsidRPr="00652337" w:rsidR="0022751B">
        <w:t>reduce</w:t>
      </w:r>
      <w:r w:rsidRPr="00652337" w:rsidR="00BC4D81">
        <w:t xml:space="preserve"> </w:t>
      </w:r>
      <w:r w:rsidRPr="00652337" w:rsidR="00EF0C44">
        <w:t xml:space="preserve">SDDC </w:t>
      </w:r>
      <w:r w:rsidRPr="00652337" w:rsidR="00773A03">
        <w:t>once during the Term.</w:t>
      </w:r>
      <w:r w:rsidRPr="00652337" w:rsidR="00D80B69">
        <w:t xml:space="preserve"> Seller’s buydown </w:t>
      </w:r>
      <w:r w:rsidRPr="00652337" w:rsidR="002B4F1E">
        <w:t>of SDDC will not lower Contracted Capacity</w:t>
      </w:r>
      <w:r w:rsidRPr="00652337" w:rsidR="005914D0">
        <w:t>.</w:t>
      </w:r>
      <w:r w:rsidRPr="00652337" w:rsidR="00BF34E0">
        <w:t xml:space="preserve"> </w:t>
      </w:r>
    </w:p>
    <w:p w:rsidR="00833261" w:rsidP="00261AEB" w:rsidRDefault="004A7BE4" w14:paraId="459BD384" w14:textId="41A6BBC8">
      <w:pPr>
        <w:pStyle w:val="zGNormal"/>
        <w:spacing w:before="120" w:after="120"/>
        <w:ind w:left="1440"/>
      </w:pPr>
      <w:r w:rsidRPr="5EF81DE5">
        <w:rPr>
          <w:b/>
          <w:bCs/>
          <w:highlight w:val="cyan"/>
        </w:rPr>
        <w:t>[</w:t>
      </w:r>
      <w:r w:rsidRPr="5EF81DE5">
        <w:rPr>
          <w:b/>
          <w:bCs/>
          <w:i/>
          <w:iCs/>
          <w:highlight w:val="cyan"/>
          <w:u w:val="single"/>
        </w:rPr>
        <w:t>Note to Bidders</w:t>
      </w:r>
      <w:r w:rsidRPr="5EF81DE5">
        <w:rPr>
          <w:b/>
          <w:bCs/>
          <w:i/>
          <w:iCs/>
          <w:highlight w:val="cyan"/>
        </w:rPr>
        <w:t xml:space="preserve">: Table B-1 will be populated using the applicable amounts stated in Attachment 1 (Performance Security and Liquidated Damages Summary) of RFP Exhibit </w:t>
      </w:r>
      <w:r w:rsidRPr="5EF81DE5" w:rsidR="28F46632">
        <w:rPr>
          <w:b/>
          <w:bCs/>
          <w:i/>
          <w:iCs/>
          <w:highlight w:val="cyan"/>
        </w:rPr>
        <w:t>D</w:t>
      </w:r>
      <w:r w:rsidRPr="5EF81DE5">
        <w:rPr>
          <w:b/>
          <w:bCs/>
          <w:i/>
          <w:iCs/>
          <w:highlight w:val="cyan"/>
        </w:rPr>
        <w:t xml:space="preserve"> (Summary of Fees, Costs, Security, and Deadlines).</w:t>
      </w:r>
      <w:r w:rsidRPr="5EF81DE5">
        <w:rPr>
          <w:b/>
          <w:bCs/>
          <w:highlight w:val="cyan"/>
        </w:rPr>
        <w:t>]</w:t>
      </w:r>
    </w:p>
    <w:p w:rsidRPr="001225D2" w:rsidR="009641B2" w:rsidP="00652337" w:rsidRDefault="009641B2" w14:paraId="655DA045" w14:textId="3D2FB111">
      <w:pPr>
        <w:pStyle w:val="zG03"/>
        <w:numPr>
          <w:ilvl w:val="0"/>
          <w:numId w:val="0"/>
        </w:numPr>
        <w:ind w:left="259"/>
      </w:pPr>
    </w:p>
    <w:tbl>
      <w:tblPr>
        <w:tblStyle w:val="TableGrid"/>
        <w:tblW w:w="0" w:type="auto"/>
        <w:tblInd w:w="1345" w:type="dxa"/>
        <w:tblLook w:val="04A0" w:firstRow="1" w:lastRow="0" w:firstColumn="1" w:lastColumn="0" w:noHBand="0" w:noVBand="1"/>
      </w:tblPr>
      <w:tblGrid>
        <w:gridCol w:w="1800"/>
        <w:gridCol w:w="4770"/>
      </w:tblGrid>
      <w:tr w:rsidR="0027297F" w14:paraId="4451EC5B" w14:textId="77777777">
        <w:tc>
          <w:tcPr>
            <w:tcW w:w="6570" w:type="dxa"/>
            <w:gridSpan w:val="2"/>
            <w:shd w:val="clear" w:color="auto" w:fill="BFBFBF" w:themeFill="background1" w:themeFillShade="BF"/>
          </w:tcPr>
          <w:p w:rsidRPr="00D96264" w:rsidR="0027297F" w:rsidRDefault="0027297F" w14:paraId="46FBC8C4" w14:textId="438F5269">
            <w:pPr>
              <w:pStyle w:val="Subtitle-Bold"/>
              <w:adjustRightInd w:val="0"/>
              <w:spacing w:after="120"/>
              <w:textAlignment w:val="baseline"/>
              <w:rPr>
                <w:rFonts w:eastAsia="Times New Roman" w:cs="Arial"/>
              </w:rPr>
            </w:pPr>
            <w:r w:rsidRPr="00D96264">
              <w:rPr>
                <w:rFonts w:eastAsia="Times New Roman" w:cs="Arial"/>
              </w:rPr>
              <w:t>Table B-1</w:t>
            </w:r>
          </w:p>
        </w:tc>
      </w:tr>
      <w:tr w:rsidR="0027297F" w14:paraId="15AB8770" w14:textId="77777777">
        <w:tc>
          <w:tcPr>
            <w:tcW w:w="6570" w:type="dxa"/>
            <w:gridSpan w:val="2"/>
            <w:shd w:val="clear" w:color="auto" w:fill="D9D9D9" w:themeFill="background1" w:themeFillShade="D9"/>
            <w:vAlign w:val="center"/>
          </w:tcPr>
          <w:p w:rsidRPr="00D96264" w:rsidR="0027297F" w:rsidRDefault="0027297F" w14:paraId="15E54125" w14:textId="77777777">
            <w:pPr>
              <w:pStyle w:val="Subtitle-Bold"/>
              <w:adjustRightInd w:val="0"/>
              <w:spacing w:after="120"/>
              <w:textAlignment w:val="baseline"/>
              <w:rPr>
                <w:rFonts w:eastAsia="Times New Roman" w:cs="Arial"/>
              </w:rPr>
            </w:pPr>
            <w:r w:rsidRPr="00D96264">
              <w:rPr>
                <w:rFonts w:eastAsia="Times New Roman" w:cs="Arial"/>
              </w:rPr>
              <w:t xml:space="preserve">Buydown Payment for Capacity Reduction </w:t>
            </w:r>
          </w:p>
          <w:p w:rsidRPr="004B6C20" w:rsidR="0027297F" w:rsidRDefault="0027297F" w14:paraId="1700D301" w14:textId="77777777">
            <w:pPr>
              <w:adjustRightInd w:val="0"/>
              <w:spacing w:after="120"/>
              <w:jc w:val="center"/>
              <w:textAlignment w:val="baseline"/>
              <w:rPr>
                <w:rFonts w:eastAsia="Times New Roman" w:cs="Arial"/>
                <w:b/>
                <w:bCs/>
              </w:rPr>
            </w:pPr>
            <w:r>
              <w:rPr>
                <w:rFonts w:eastAsia="Times New Roman" w:cs="Arial"/>
                <w:b/>
                <w:bCs/>
              </w:rPr>
              <w:t xml:space="preserve">below Contracted Capacity </w:t>
            </w:r>
          </w:p>
        </w:tc>
      </w:tr>
      <w:tr w:rsidR="0027297F" w14:paraId="269F49B8" w14:textId="77777777">
        <w:tc>
          <w:tcPr>
            <w:tcW w:w="1800" w:type="dxa"/>
            <w:shd w:val="clear" w:color="auto" w:fill="F2F2F2" w:themeFill="background1" w:themeFillShade="F2"/>
          </w:tcPr>
          <w:p w:rsidRPr="004B6C20" w:rsidR="0027297F" w:rsidRDefault="0027297F" w14:paraId="70777E65" w14:textId="77777777">
            <w:pPr>
              <w:adjustRightInd w:val="0"/>
              <w:spacing w:after="120"/>
              <w:jc w:val="center"/>
              <w:textAlignment w:val="baseline"/>
              <w:rPr>
                <w:rFonts w:eastAsia="Times New Roman" w:cs="Arial"/>
                <w:b/>
                <w:bCs/>
              </w:rPr>
            </w:pPr>
            <w:r w:rsidRPr="004B6C20">
              <w:rPr>
                <w:rFonts w:eastAsia="Times New Roman" w:cs="Arial"/>
                <w:b/>
                <w:bCs/>
              </w:rPr>
              <w:t xml:space="preserve">Annual Period </w:t>
            </w:r>
          </w:p>
        </w:tc>
        <w:tc>
          <w:tcPr>
            <w:tcW w:w="4770" w:type="dxa"/>
            <w:shd w:val="clear" w:color="auto" w:fill="F2F2F2" w:themeFill="background1" w:themeFillShade="F2"/>
          </w:tcPr>
          <w:p w:rsidRPr="004B6C20" w:rsidR="0027297F" w:rsidRDefault="0027297F" w14:paraId="3338D710" w14:textId="77777777">
            <w:pPr>
              <w:adjustRightInd w:val="0"/>
              <w:spacing w:after="120"/>
              <w:jc w:val="center"/>
              <w:textAlignment w:val="baseline"/>
              <w:rPr>
                <w:rFonts w:eastAsia="Times New Roman" w:cs="Arial"/>
                <w:b/>
                <w:bCs/>
              </w:rPr>
            </w:pPr>
            <w:r w:rsidRPr="004B6C20">
              <w:rPr>
                <w:rFonts w:eastAsia="Times New Roman" w:cs="Arial"/>
                <w:b/>
                <w:bCs/>
              </w:rPr>
              <w:t>Buy</w:t>
            </w:r>
            <w:r>
              <w:rPr>
                <w:rFonts w:eastAsia="Times New Roman" w:cs="Arial"/>
                <w:b/>
                <w:bCs/>
              </w:rPr>
              <w:t>d</w:t>
            </w:r>
            <w:r w:rsidRPr="004B6C20">
              <w:rPr>
                <w:rFonts w:eastAsia="Times New Roman" w:cs="Arial"/>
                <w:b/>
                <w:bCs/>
              </w:rPr>
              <w:t>own Payment ($/kW)</w:t>
            </w:r>
          </w:p>
        </w:tc>
      </w:tr>
      <w:tr w:rsidR="0027297F" w14:paraId="3862AB0A" w14:textId="77777777">
        <w:tc>
          <w:tcPr>
            <w:tcW w:w="1800" w:type="dxa"/>
          </w:tcPr>
          <w:p w:rsidR="0027297F" w:rsidRDefault="0027297F" w14:paraId="47DBE791" w14:textId="77777777">
            <w:pPr>
              <w:adjustRightInd w:val="0"/>
              <w:spacing w:after="120"/>
              <w:jc w:val="center"/>
              <w:textAlignment w:val="baseline"/>
              <w:rPr>
                <w:rFonts w:eastAsia="Times New Roman" w:cs="Arial"/>
              </w:rPr>
            </w:pPr>
            <w:r>
              <w:rPr>
                <w:rFonts w:eastAsia="Times New Roman" w:cs="Arial"/>
              </w:rPr>
              <w:t>1-5</w:t>
            </w:r>
          </w:p>
        </w:tc>
        <w:tc>
          <w:tcPr>
            <w:tcW w:w="4770" w:type="dxa"/>
          </w:tcPr>
          <w:p w:rsidR="0027297F" w:rsidRDefault="0027297F" w14:paraId="5A4F89B4" w14:textId="77777777">
            <w:pPr>
              <w:adjustRightInd w:val="0"/>
              <w:spacing w:after="120"/>
              <w:jc w:val="center"/>
              <w:textAlignment w:val="baseline"/>
              <w:rPr>
                <w:rFonts w:eastAsia="Times New Roman" w:cs="Arial"/>
              </w:rPr>
            </w:pPr>
            <w:r w:rsidRPr="004B6C20">
              <w:rPr>
                <w:rFonts w:eastAsia="Times New Roman" w:cs="Arial"/>
                <w:highlight w:val="yellow"/>
              </w:rPr>
              <w:t>#Amount</w:t>
            </w:r>
          </w:p>
        </w:tc>
      </w:tr>
      <w:tr w:rsidR="0027297F" w14:paraId="6F7BEFA5" w14:textId="77777777">
        <w:tc>
          <w:tcPr>
            <w:tcW w:w="1800" w:type="dxa"/>
          </w:tcPr>
          <w:p w:rsidR="0027297F" w:rsidRDefault="0027297F" w14:paraId="3C4860A5" w14:textId="77777777">
            <w:pPr>
              <w:adjustRightInd w:val="0"/>
              <w:spacing w:after="120"/>
              <w:jc w:val="center"/>
              <w:textAlignment w:val="baseline"/>
              <w:rPr>
                <w:rFonts w:eastAsia="Times New Roman" w:cs="Arial"/>
              </w:rPr>
            </w:pPr>
            <w:r w:rsidRPr="004B6C20">
              <w:rPr>
                <w:rFonts w:eastAsia="Times New Roman" w:cs="Arial"/>
                <w:highlight w:val="yellow"/>
              </w:rPr>
              <w:t>#6-10</w:t>
            </w:r>
          </w:p>
        </w:tc>
        <w:tc>
          <w:tcPr>
            <w:tcW w:w="4770" w:type="dxa"/>
          </w:tcPr>
          <w:p w:rsidR="0027297F" w:rsidRDefault="0027297F" w14:paraId="3FB074C1" w14:textId="77777777">
            <w:pPr>
              <w:adjustRightInd w:val="0"/>
              <w:spacing w:after="120"/>
              <w:jc w:val="center"/>
              <w:textAlignment w:val="baseline"/>
              <w:rPr>
                <w:rFonts w:eastAsia="Times New Roman" w:cs="Arial"/>
              </w:rPr>
            </w:pPr>
            <w:r w:rsidRPr="004B6C20">
              <w:rPr>
                <w:rFonts w:eastAsia="Times New Roman" w:cs="Arial"/>
                <w:highlight w:val="yellow"/>
              </w:rPr>
              <w:t>#Amount</w:t>
            </w:r>
          </w:p>
        </w:tc>
      </w:tr>
      <w:tr w:rsidR="0027297F" w14:paraId="1128FC86" w14:textId="77777777">
        <w:tc>
          <w:tcPr>
            <w:tcW w:w="1800" w:type="dxa"/>
          </w:tcPr>
          <w:p w:rsidR="0027297F" w:rsidRDefault="0027297F" w14:paraId="00A57D7D" w14:textId="77777777">
            <w:pPr>
              <w:adjustRightInd w:val="0"/>
              <w:spacing w:after="120"/>
              <w:jc w:val="center"/>
              <w:textAlignment w:val="baseline"/>
              <w:rPr>
                <w:rFonts w:eastAsia="Times New Roman" w:cs="Arial"/>
              </w:rPr>
            </w:pPr>
            <w:r w:rsidRPr="004B6C20">
              <w:rPr>
                <w:rFonts w:eastAsia="Times New Roman" w:cs="Arial"/>
                <w:highlight w:val="yellow"/>
              </w:rPr>
              <w:t>#11-15</w:t>
            </w:r>
          </w:p>
        </w:tc>
        <w:tc>
          <w:tcPr>
            <w:tcW w:w="4770" w:type="dxa"/>
          </w:tcPr>
          <w:p w:rsidR="0027297F" w:rsidRDefault="0027297F" w14:paraId="67CBD14A" w14:textId="77777777">
            <w:pPr>
              <w:adjustRightInd w:val="0"/>
              <w:spacing w:after="120"/>
              <w:jc w:val="center"/>
              <w:textAlignment w:val="baseline"/>
              <w:rPr>
                <w:rFonts w:eastAsia="Times New Roman" w:cs="Arial"/>
              </w:rPr>
            </w:pPr>
            <w:r w:rsidRPr="004B6C20">
              <w:rPr>
                <w:rFonts w:eastAsia="Times New Roman" w:cs="Arial"/>
                <w:highlight w:val="yellow"/>
              </w:rPr>
              <w:t>#Amount</w:t>
            </w:r>
          </w:p>
        </w:tc>
      </w:tr>
      <w:tr w:rsidR="0027297F" w14:paraId="384724E6" w14:textId="77777777">
        <w:tc>
          <w:tcPr>
            <w:tcW w:w="1800" w:type="dxa"/>
          </w:tcPr>
          <w:p w:rsidR="0027297F" w:rsidRDefault="0027297F" w14:paraId="6C6C4A30" w14:textId="77777777">
            <w:pPr>
              <w:adjustRightInd w:val="0"/>
              <w:spacing w:after="120"/>
              <w:jc w:val="center"/>
              <w:textAlignment w:val="baseline"/>
              <w:rPr>
                <w:rFonts w:eastAsia="Times New Roman" w:cs="Arial"/>
              </w:rPr>
            </w:pPr>
            <w:r w:rsidRPr="004B6C20">
              <w:rPr>
                <w:rFonts w:eastAsia="Times New Roman" w:cs="Arial"/>
                <w:highlight w:val="yellow"/>
              </w:rPr>
              <w:t>#16-20</w:t>
            </w:r>
          </w:p>
        </w:tc>
        <w:tc>
          <w:tcPr>
            <w:tcW w:w="4770" w:type="dxa"/>
          </w:tcPr>
          <w:p w:rsidR="0027297F" w:rsidRDefault="0027297F" w14:paraId="11670568" w14:textId="77777777">
            <w:pPr>
              <w:adjustRightInd w:val="0"/>
              <w:spacing w:after="120"/>
              <w:jc w:val="center"/>
              <w:textAlignment w:val="baseline"/>
              <w:rPr>
                <w:rFonts w:eastAsia="Times New Roman" w:cs="Arial"/>
              </w:rPr>
            </w:pPr>
            <w:r w:rsidRPr="004B6C20">
              <w:rPr>
                <w:rFonts w:eastAsia="Times New Roman" w:cs="Arial"/>
                <w:highlight w:val="yellow"/>
              </w:rPr>
              <w:t>#Amount</w:t>
            </w:r>
          </w:p>
        </w:tc>
      </w:tr>
      <w:tr w:rsidR="00D16611" w14:paraId="5C28EE6C" w14:textId="77777777">
        <w:tc>
          <w:tcPr>
            <w:tcW w:w="1800" w:type="dxa"/>
          </w:tcPr>
          <w:p w:rsidRPr="004B6C20" w:rsidR="00D16611" w:rsidRDefault="00D16611" w14:paraId="1786B6D7" w14:textId="2C2226F7">
            <w:pPr>
              <w:adjustRightInd w:val="0"/>
              <w:spacing w:after="120"/>
              <w:jc w:val="center"/>
              <w:textAlignment w:val="baseline"/>
              <w:rPr>
                <w:rFonts w:eastAsia="Times New Roman" w:cs="Arial"/>
                <w:highlight w:val="yellow"/>
              </w:rPr>
            </w:pPr>
            <w:r>
              <w:rPr>
                <w:rFonts w:eastAsia="Times New Roman" w:cs="Arial"/>
                <w:highlight w:val="yellow"/>
              </w:rPr>
              <w:lastRenderedPageBreak/>
              <w:t>#</w:t>
            </w:r>
            <w:r w:rsidR="00561143">
              <w:rPr>
                <w:rFonts w:eastAsia="Times New Roman" w:cs="Arial"/>
                <w:highlight w:val="yellow"/>
              </w:rPr>
              <w:t>2</w:t>
            </w:r>
            <w:r w:rsidR="008E7C78">
              <w:rPr>
                <w:rFonts w:eastAsia="Times New Roman" w:cs="Arial"/>
                <w:highlight w:val="yellow"/>
              </w:rPr>
              <w:t>1</w:t>
            </w:r>
            <w:r w:rsidR="00561143">
              <w:rPr>
                <w:rFonts w:eastAsia="Times New Roman" w:cs="Arial"/>
                <w:highlight w:val="yellow"/>
              </w:rPr>
              <w:t xml:space="preserve"> – 25</w:t>
            </w:r>
          </w:p>
        </w:tc>
        <w:tc>
          <w:tcPr>
            <w:tcW w:w="4770" w:type="dxa"/>
          </w:tcPr>
          <w:p w:rsidRPr="004B6C20" w:rsidR="00D16611" w:rsidRDefault="00561143" w14:paraId="2621077C" w14:textId="5608FE16">
            <w:pPr>
              <w:adjustRightInd w:val="0"/>
              <w:spacing w:after="120"/>
              <w:jc w:val="center"/>
              <w:textAlignment w:val="baseline"/>
              <w:rPr>
                <w:rFonts w:eastAsia="Times New Roman" w:cs="Arial"/>
                <w:highlight w:val="yellow"/>
              </w:rPr>
            </w:pPr>
            <w:r>
              <w:rPr>
                <w:rFonts w:eastAsia="Times New Roman" w:cs="Arial"/>
                <w:highlight w:val="yellow"/>
              </w:rPr>
              <w:t>#Amount</w:t>
            </w:r>
          </w:p>
        </w:tc>
      </w:tr>
    </w:tbl>
    <w:p w:rsidR="00F64839" w:rsidP="00F75551" w:rsidRDefault="004E11CE" w14:paraId="744E7C7D" w14:textId="78ADB000">
      <w:pPr>
        <w:pStyle w:val="zGTableTxt10"/>
        <w:widowControl/>
        <w:autoSpaceDE/>
        <w:autoSpaceDN/>
        <w:adjustRightInd/>
        <w:spacing w:after="200" w:line="276" w:lineRule="auto"/>
        <w:ind w:left="1440"/>
        <w:jc w:val="both"/>
        <w:sectPr w:rsidR="00F64839" w:rsidSect="003B614F">
          <w:pgSz w:w="12240" w:h="15840" w:code="1"/>
          <w:pgMar w:top="1440" w:right="1440" w:bottom="1440" w:left="1440" w:header="720" w:footer="720" w:gutter="0"/>
          <w:paperSrc w:first="15" w:other="15"/>
          <w:cols w:space="1440"/>
        </w:sectPr>
      </w:pPr>
      <w:r w:rsidRPr="002D2A8F">
        <w:rPr>
          <w:rFonts w:eastAsiaTheme="minorHAnsi"/>
          <w:spacing w:val="0"/>
          <w:kern w:val="0"/>
        </w:rPr>
        <w:br w:type="textWrapping" w:clear="all"/>
      </w:r>
      <w:r w:rsidRPr="00652337" w:rsidR="005A3075">
        <w:t>If</w:t>
      </w:r>
      <w:r w:rsidRPr="00652337" w:rsidR="002D54C4">
        <w:t xml:space="preserve"> SDDC is </w:t>
      </w:r>
      <w:r w:rsidRPr="00652337" w:rsidR="005A3075">
        <w:t>reduced</w:t>
      </w:r>
      <w:r w:rsidRPr="00652337" w:rsidR="002D54C4">
        <w:t xml:space="preserve"> as set forth in this Section 1.</w:t>
      </w:r>
      <w:r w:rsidRPr="00652337" w:rsidR="00F77731">
        <w:t>3</w:t>
      </w:r>
      <w:r w:rsidRPr="00652337" w:rsidR="002D54C4">
        <w:t xml:space="preserve"> (</w:t>
      </w:r>
      <w:r w:rsidRPr="00652337" w:rsidR="002D54C4">
        <w:rPr>
          <w:i/>
        </w:rPr>
        <w:t xml:space="preserve">Tested Storage Capacity Below SDDC; </w:t>
      </w:r>
      <w:r w:rsidRPr="00652337" w:rsidR="00807571">
        <w:rPr>
          <w:i/>
        </w:rPr>
        <w:t xml:space="preserve">SDDC </w:t>
      </w:r>
      <w:r w:rsidRPr="00652337" w:rsidR="002D54C4">
        <w:rPr>
          <w:i/>
          <w:iCs/>
        </w:rPr>
        <w:t>Buy</w:t>
      </w:r>
      <w:r w:rsidRPr="00652337" w:rsidR="00F758B0">
        <w:rPr>
          <w:i/>
          <w:iCs/>
        </w:rPr>
        <w:t>d</w:t>
      </w:r>
      <w:r w:rsidRPr="00652337" w:rsidR="002D54C4">
        <w:rPr>
          <w:i/>
        </w:rPr>
        <w:t>own</w:t>
      </w:r>
      <w:r w:rsidRPr="00652337" w:rsidR="002D54C4">
        <w:t xml:space="preserve">), and, </w:t>
      </w:r>
      <w:r w:rsidRPr="00652337" w:rsidR="00805112">
        <w:t xml:space="preserve">after </w:t>
      </w:r>
      <w:r w:rsidRPr="00652337" w:rsidR="002D54C4">
        <w:t xml:space="preserve">the SDDC </w:t>
      </w:r>
      <w:r w:rsidRPr="00652337" w:rsidR="00805112">
        <w:t>reduction</w:t>
      </w:r>
      <w:r w:rsidRPr="00652337" w:rsidR="002D54C4">
        <w:t>, Seller</w:t>
      </w:r>
      <w:r w:rsidRPr="00652337" w:rsidDel="00D12600" w:rsidR="002D54C4">
        <w:t xml:space="preserve"> </w:t>
      </w:r>
      <w:r w:rsidRPr="00652337" w:rsidR="002D54C4">
        <w:t xml:space="preserve">restores the </w:t>
      </w:r>
      <w:r w:rsidR="00F90220">
        <w:t>B</w:t>
      </w:r>
      <w:r w:rsidRPr="00652337" w:rsidR="00A66338">
        <w:t xml:space="preserve">ESS </w:t>
      </w:r>
      <w:r w:rsidRPr="00652337" w:rsidR="002D54C4">
        <w:t xml:space="preserve">capacity to a value equal to or greater than the </w:t>
      </w:r>
      <w:r w:rsidRPr="00652337" w:rsidR="008B1E65">
        <w:t>Contracted Capacity</w:t>
      </w:r>
      <w:r w:rsidRPr="00652337" w:rsidR="002D54C4">
        <w:t xml:space="preserve">, then: (i) GPC will not be required to refund to Seller any buydown liquidated </w:t>
      </w:r>
      <w:r w:rsidRPr="00937930" w:rsidR="002D54C4">
        <w:t xml:space="preserve">damages Seller paid under </w:t>
      </w:r>
      <w:r w:rsidR="00A91DFF">
        <w:t xml:space="preserve">this </w:t>
      </w:r>
      <w:r w:rsidRPr="00937930" w:rsidR="002D54C4">
        <w:t>Section 1.</w:t>
      </w:r>
      <w:r w:rsidRPr="00937930" w:rsidR="00353248">
        <w:t>3</w:t>
      </w:r>
      <w:r w:rsidRPr="00937930" w:rsidR="002D54C4">
        <w:t>.</w:t>
      </w:r>
      <w:r w:rsidRPr="00937930" w:rsidR="00691493">
        <w:t>4.A</w:t>
      </w:r>
      <w:r w:rsidRPr="00937930" w:rsidR="002D54C4">
        <w:t xml:space="preserve">; and (ii) Seller </w:t>
      </w:r>
      <w:r w:rsidRPr="00937930" w:rsidR="00C503BB">
        <w:t xml:space="preserve">may </w:t>
      </w:r>
      <w:r w:rsidRPr="00937930" w:rsidR="002D54C4">
        <w:t>offer the restored capacity</w:t>
      </w:r>
      <w:r w:rsidRPr="00937930" w:rsidR="00692D07">
        <w:t>,</w:t>
      </w:r>
      <w:r w:rsidRPr="00937930" w:rsidR="002D54C4">
        <w:t xml:space="preserve"> </w:t>
      </w:r>
      <w:r w:rsidRPr="00937930" w:rsidR="00A523F3">
        <w:t xml:space="preserve">up to the </w:t>
      </w:r>
      <w:r w:rsidRPr="00937930" w:rsidR="00AB3964">
        <w:t>Contacted Capacity</w:t>
      </w:r>
      <w:r w:rsidRPr="00937930" w:rsidR="00692D07">
        <w:t>,</w:t>
      </w:r>
      <w:r w:rsidRPr="00937930" w:rsidR="002D54C4">
        <w:t xml:space="preserve"> to GPC at the Annual Capacity Price and in accordance with the payment terms set forth in Exhibit </w:t>
      </w:r>
      <w:r w:rsidRPr="00937930" w:rsidR="00FD081E">
        <w:t>C</w:t>
      </w:r>
      <w:r w:rsidRPr="00937930" w:rsidR="000615B0">
        <w:t xml:space="preserve"> </w:t>
      </w:r>
      <w:r w:rsidRPr="00937930" w:rsidR="002D54C4">
        <w:t>(</w:t>
      </w:r>
      <w:r w:rsidRPr="00937930" w:rsidR="00F91C01">
        <w:rPr>
          <w:i/>
          <w:iCs/>
        </w:rPr>
        <w:t xml:space="preserve">Monthly Capacity Payments; Monthly Capacity Reductions; AGC Performance </w:t>
      </w:r>
      <w:r w:rsidRPr="00937930" w:rsidR="00937930">
        <w:rPr>
          <w:bCs/>
          <w:i/>
        </w:rPr>
        <w:t>Metrics and</w:t>
      </w:r>
      <w:r w:rsidRPr="00937930" w:rsidR="00937930">
        <w:rPr>
          <w:i/>
          <w:iCs/>
        </w:rPr>
        <w:t xml:space="preserve"> </w:t>
      </w:r>
      <w:r w:rsidRPr="00937930" w:rsidR="00F91C01">
        <w:rPr>
          <w:i/>
          <w:iCs/>
        </w:rPr>
        <w:t>Requirements</w:t>
      </w:r>
      <w:r w:rsidRPr="00937930" w:rsidR="002D54C4">
        <w:t>). If GPC accepts Seller’s offer, the SDDC</w:t>
      </w:r>
      <w:r w:rsidRPr="00652337" w:rsidDel="000F18BC" w:rsidR="002D54C4">
        <w:t xml:space="preserve"> </w:t>
      </w:r>
      <w:r w:rsidRPr="00652337" w:rsidR="002D54C4">
        <w:t xml:space="preserve">will be </w:t>
      </w:r>
      <w:r w:rsidRPr="00652337" w:rsidR="002F5628">
        <w:t>increase</w:t>
      </w:r>
      <w:r w:rsidRPr="00652337" w:rsidR="00194BA3">
        <w:t>d</w:t>
      </w:r>
      <w:r w:rsidRPr="00652337" w:rsidR="002D54C4">
        <w:t xml:space="preserve"> by an amount equal to the portion of the restored capacity accepted by GPC</w:t>
      </w:r>
      <w:r w:rsidRPr="00652337" w:rsidR="00FA3A02">
        <w:t>,</w:t>
      </w:r>
      <w:r w:rsidRPr="00652337" w:rsidR="001F5A35">
        <w:t xml:space="preserve"> </w:t>
      </w:r>
      <w:r w:rsidRPr="00652337" w:rsidR="003355F2">
        <w:t>not</w:t>
      </w:r>
      <w:r w:rsidRPr="00652337" w:rsidR="001F5A35">
        <w:t xml:space="preserve"> to exceed the </w:t>
      </w:r>
      <w:r w:rsidRPr="00652337" w:rsidR="000F3A90">
        <w:t>Contracted Capacity</w:t>
      </w:r>
      <w:r w:rsidRPr="00652337" w:rsidR="002D54C4">
        <w:t xml:space="preserve">. </w:t>
      </w:r>
      <w:r w:rsidRPr="00652337" w:rsidR="00A029C6">
        <w:t>Any</w:t>
      </w:r>
      <w:r w:rsidRPr="00652337" w:rsidR="00C5104F">
        <w:t xml:space="preserve"> </w:t>
      </w:r>
      <w:r w:rsidRPr="00652337" w:rsidR="00452D58">
        <w:t>adjust</w:t>
      </w:r>
      <w:r w:rsidRPr="00652337" w:rsidR="00A029C6">
        <w:t>ment to</w:t>
      </w:r>
      <w:r w:rsidRPr="00652337" w:rsidR="0028648D">
        <w:t xml:space="preserve"> SDDC </w:t>
      </w:r>
      <w:r w:rsidRPr="00652337" w:rsidR="00563418">
        <w:t>will</w:t>
      </w:r>
      <w:r w:rsidRPr="00652337" w:rsidR="0028648D">
        <w:t xml:space="preserve"> be </w:t>
      </w:r>
      <w:r w:rsidRPr="00652337" w:rsidR="00A12A79">
        <w:t>documented</w:t>
      </w:r>
      <w:r w:rsidRPr="00652337" w:rsidR="0028648D">
        <w:t xml:space="preserve"> in the Operating Procedures</w:t>
      </w:r>
      <w:r w:rsidRPr="00652337" w:rsidR="00A12A79">
        <w:t>.</w:t>
      </w:r>
      <w:r w:rsidRPr="002D2A8F" w:rsidR="00A12A79">
        <w:t xml:space="preserve"> </w:t>
      </w:r>
      <w:r w:rsidRPr="002D2A8F" w:rsidR="002D54C4">
        <w:t xml:space="preserve"> </w:t>
      </w:r>
    </w:p>
    <w:p w:rsidRPr="00F64839" w:rsidR="002D54C4" w:rsidP="002D54C4" w:rsidRDefault="002D54C4" w14:paraId="151FCB59" w14:textId="602EAEE8">
      <w:pPr>
        <w:pStyle w:val="zGTitleExhibit"/>
        <w:rPr>
          <w:rFonts w:cs="Arial"/>
          <w:szCs w:val="22"/>
        </w:rPr>
      </w:pPr>
      <w:bookmarkStart w:name="_DV_M1229" w:id="1074"/>
      <w:bookmarkStart w:name="_DV_M1230" w:id="1075"/>
      <w:bookmarkStart w:name="_Toc169778718" w:id="1076"/>
      <w:bookmarkStart w:name="_Toc227451483" w:id="1077"/>
      <w:bookmarkEnd w:id="1074"/>
      <w:bookmarkEnd w:id="1075"/>
      <w:r w:rsidRPr="00F64839">
        <w:rPr>
          <w:rFonts w:cs="Arial"/>
          <w:szCs w:val="22"/>
        </w:rPr>
        <w:lastRenderedPageBreak/>
        <w:t xml:space="preserve">Exhibit C – </w:t>
      </w:r>
      <w:r w:rsidRPr="00F64839" w:rsidR="00A63F0B">
        <w:rPr>
          <w:rFonts w:cs="Arial"/>
          <w:szCs w:val="22"/>
        </w:rPr>
        <w:t xml:space="preserve">MONTHLY </w:t>
      </w:r>
      <w:r w:rsidRPr="00F64839" w:rsidR="00FD4176">
        <w:rPr>
          <w:rFonts w:cs="Arial"/>
          <w:szCs w:val="22"/>
        </w:rPr>
        <w:t>CAPACITY PAYMENT</w:t>
      </w:r>
      <w:r w:rsidRPr="00F64839" w:rsidR="002061FA">
        <w:rPr>
          <w:rFonts w:cs="Arial"/>
          <w:szCs w:val="22"/>
        </w:rPr>
        <w:t>S;</w:t>
      </w:r>
      <w:r w:rsidRPr="00F64839" w:rsidR="002D36D6">
        <w:rPr>
          <w:rFonts w:cs="Arial"/>
          <w:szCs w:val="22"/>
        </w:rPr>
        <w:t xml:space="preserve"> MONTHLY CAPACITY REDUCTIONS; AGC PERFORMANCE </w:t>
      </w:r>
      <w:r w:rsidR="00652337">
        <w:rPr>
          <w:rFonts w:cs="Arial"/>
          <w:szCs w:val="22"/>
        </w:rPr>
        <w:t xml:space="preserve">METRICS AND </w:t>
      </w:r>
      <w:r w:rsidRPr="00F64839" w:rsidR="002D36D6">
        <w:rPr>
          <w:rFonts w:cs="Arial"/>
          <w:szCs w:val="22"/>
        </w:rPr>
        <w:t>REQUIREMENTS</w:t>
      </w:r>
      <w:bookmarkEnd w:id="1076"/>
      <w:bookmarkEnd w:id="1077"/>
      <w:r w:rsidRPr="00F64839" w:rsidR="002061FA">
        <w:rPr>
          <w:rFonts w:cs="Arial"/>
          <w:szCs w:val="22"/>
        </w:rPr>
        <w:t xml:space="preserve"> </w:t>
      </w:r>
    </w:p>
    <w:p w:rsidRPr="002D2A8F" w:rsidR="00DE4501" w:rsidP="00D94D93" w:rsidRDefault="00DE4501" w14:paraId="4E58DA24" w14:textId="6FEFEA73">
      <w:pPr>
        <w:pStyle w:val="zGBody1"/>
        <w:numPr>
          <w:ilvl w:val="0"/>
          <w:numId w:val="58"/>
        </w:numPr>
        <w:spacing w:before="120" w:after="120"/>
      </w:pPr>
      <w:bookmarkStart w:name="_Toc158593318" w:id="1078"/>
      <w:bookmarkStart w:name="_Toc158597597" w:id="1079"/>
      <w:r w:rsidRPr="002D2A8F">
        <w:t>Pricing</w:t>
      </w:r>
      <w:bookmarkEnd w:id="1078"/>
      <w:bookmarkEnd w:id="1079"/>
    </w:p>
    <w:p w:rsidRPr="009F25FC" w:rsidR="00CF324B" w:rsidP="00D94D93" w:rsidRDefault="00CF324B" w14:paraId="760C3D70" w14:textId="3B4C3951">
      <w:pPr>
        <w:pStyle w:val="zGBody2"/>
        <w:numPr>
          <w:ilvl w:val="1"/>
          <w:numId w:val="57"/>
        </w:numPr>
        <w:rPr>
          <w:b w:val="0"/>
          <w:vanish/>
          <w:specVanish/>
        </w:rPr>
      </w:pPr>
      <w:bookmarkStart w:name="_Toc158593319" w:id="1080"/>
      <w:bookmarkStart w:name="_Toc158597598" w:id="1081"/>
      <w:r w:rsidRPr="009F25FC">
        <w:t>Capacity Pricing.</w:t>
      </w:r>
      <w:bookmarkEnd w:id="1080"/>
      <w:bookmarkEnd w:id="1081"/>
    </w:p>
    <w:p w:rsidRPr="009F25FC" w:rsidR="00CF324B" w:rsidP="00261AEB" w:rsidRDefault="00CF324B" w14:paraId="4E9DF84C" w14:textId="26707FC7">
      <w:pPr>
        <w:pStyle w:val="zG03"/>
        <w:tabs>
          <w:tab w:val="num" w:pos="576"/>
        </w:tabs>
        <w:spacing w:after="120"/>
      </w:pPr>
      <w:r w:rsidRPr="009F25FC">
        <w:rPr>
          <w:b/>
          <w:bCs/>
        </w:rPr>
        <w:t xml:space="preserve"> </w:t>
      </w:r>
      <w:r w:rsidRPr="00850244" w:rsidR="00850244">
        <w:rPr>
          <w:bCs/>
        </w:rPr>
        <w:t>Commencing on the Delivery Commencement Date,</w:t>
      </w:r>
      <w:r w:rsidR="00850244">
        <w:rPr>
          <w:b/>
        </w:rPr>
        <w:t xml:space="preserve"> </w:t>
      </w:r>
      <w:r w:rsidR="00850244">
        <w:t>t</w:t>
      </w:r>
      <w:r w:rsidRPr="002D2A8F">
        <w:t>he</w:t>
      </w:r>
      <w:r w:rsidRPr="009F25FC">
        <w:t xml:space="preserve"> “</w:t>
      </w:r>
      <w:r w:rsidRPr="009F25FC">
        <w:rPr>
          <w:b/>
          <w:bCs/>
        </w:rPr>
        <w:t>Annual Capacity Price</w:t>
      </w:r>
      <w:r w:rsidRPr="009F25FC">
        <w:t>” for the first Annual Period will be $</w:t>
      </w:r>
      <w:r w:rsidRPr="009F25FC">
        <w:rPr>
          <w:highlight w:val="yellow"/>
        </w:rPr>
        <w:t>#Price</w:t>
      </w:r>
      <w:r w:rsidRPr="009F25FC">
        <w:t xml:space="preserve">/kW-year and will increase per Table C-1 </w:t>
      </w:r>
      <w:r w:rsidR="00A91DFF">
        <w:t>(</w:t>
      </w:r>
      <w:r w:rsidRPr="00A91DFF" w:rsidR="00A91DFF">
        <w:rPr>
          <w:i/>
          <w:iCs/>
        </w:rPr>
        <w:t>Annual Capacity Price</w:t>
      </w:r>
      <w:r w:rsidR="00A91DFF">
        <w:t xml:space="preserve">) </w:t>
      </w:r>
      <w:r w:rsidRPr="009F25FC">
        <w:t>below on December 1 of each Annual Period thereafter</w:t>
      </w:r>
      <w:r w:rsidR="00652337">
        <w:t>, as follows</w:t>
      </w:r>
      <w:r w:rsidRPr="009F25FC">
        <w:t>:</w:t>
      </w:r>
    </w:p>
    <w:p w:rsidRPr="002D2A8F" w:rsidR="00CF324B" w:rsidP="00137E2C" w:rsidRDefault="00CF324B" w14:paraId="1D4B4E8F" w14:textId="77777777">
      <w:pPr>
        <w:pStyle w:val="zGNormal"/>
      </w:pP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3369"/>
        <w:gridCol w:w="2850"/>
      </w:tblGrid>
      <w:tr w:rsidRPr="002D2A8F" w:rsidR="00CF324B" w14:paraId="65C3EC44" w14:textId="77777777">
        <w:trPr>
          <w:jc w:val="center"/>
        </w:trPr>
        <w:tc>
          <w:tcPr>
            <w:tcW w:w="6219" w:type="dxa"/>
            <w:gridSpan w:val="2"/>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Pr="002D2A8F" w:rsidR="00CF324B" w:rsidRDefault="00CF324B" w14:paraId="6D117A58" w14:textId="77777777">
            <w:pPr>
              <w:adjustRightInd w:val="0"/>
              <w:spacing w:after="0"/>
              <w:jc w:val="center"/>
              <w:textAlignment w:val="baseline"/>
              <w:rPr>
                <w:rFonts w:ascii="Arial" w:hAnsi="Arial" w:eastAsia="Times New Roman" w:cs="Arial"/>
                <w:b/>
                <w:sz w:val="20"/>
                <w:szCs w:val="20"/>
              </w:rPr>
            </w:pPr>
            <w:r w:rsidRPr="002D2A8F">
              <w:rPr>
                <w:rFonts w:ascii="Arial" w:hAnsi="Arial" w:eastAsia="Times New Roman" w:cs="Arial"/>
                <w:b/>
                <w:sz w:val="20"/>
                <w:szCs w:val="20"/>
              </w:rPr>
              <w:t>Table C-1</w:t>
            </w:r>
          </w:p>
          <w:p w:rsidRPr="002D2A8F" w:rsidR="00CF324B" w:rsidRDefault="00CF324B" w14:paraId="528F7D3A" w14:textId="77777777">
            <w:pPr>
              <w:adjustRightInd w:val="0"/>
              <w:spacing w:after="0"/>
              <w:jc w:val="center"/>
              <w:textAlignment w:val="baseline"/>
              <w:rPr>
                <w:rFonts w:ascii="Arial" w:hAnsi="Arial" w:eastAsia="Times New Roman" w:cs="Arial"/>
                <w:b/>
                <w:sz w:val="20"/>
                <w:szCs w:val="20"/>
              </w:rPr>
            </w:pPr>
            <w:r w:rsidRPr="002D2A8F">
              <w:rPr>
                <w:rFonts w:ascii="Arial" w:hAnsi="Arial" w:eastAsia="Times New Roman" w:cs="Arial"/>
                <w:b/>
                <w:sz w:val="20"/>
                <w:szCs w:val="20"/>
              </w:rPr>
              <w:t xml:space="preserve">Annual Capacity Price </w:t>
            </w:r>
          </w:p>
        </w:tc>
      </w:tr>
      <w:tr w:rsidRPr="002D2A8F" w:rsidR="00CF324B" w14:paraId="0E321279" w14:textId="77777777">
        <w:trPr>
          <w:jc w:val="center"/>
        </w:trPr>
        <w:tc>
          <w:tcPr>
            <w:tcW w:w="3369"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2D2A8F" w:rsidR="00CF324B" w:rsidRDefault="00CF324B" w14:paraId="284BD082" w14:textId="77777777">
            <w:pPr>
              <w:adjustRightInd w:val="0"/>
              <w:spacing w:after="0"/>
              <w:ind w:left="450" w:hanging="450"/>
              <w:jc w:val="center"/>
              <w:textAlignment w:val="baseline"/>
              <w:rPr>
                <w:rFonts w:ascii="Arial" w:hAnsi="Arial" w:eastAsia="Times New Roman" w:cs="Arial"/>
                <w:b/>
                <w:sz w:val="20"/>
                <w:szCs w:val="20"/>
              </w:rPr>
            </w:pPr>
            <w:r w:rsidRPr="002D2A8F">
              <w:rPr>
                <w:rFonts w:ascii="Arial" w:hAnsi="Arial" w:eastAsia="Times New Roman" w:cs="Arial"/>
                <w:b/>
                <w:sz w:val="20"/>
                <w:szCs w:val="20"/>
              </w:rPr>
              <w:t>Annual Period</w:t>
            </w:r>
          </w:p>
        </w:tc>
        <w:tc>
          <w:tcPr>
            <w:tcW w:w="2850"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2D2A8F" w:rsidR="00CF324B" w:rsidRDefault="00CF324B" w14:paraId="7F8AE2F7" w14:textId="77777777">
            <w:pPr>
              <w:adjustRightInd w:val="0"/>
              <w:spacing w:after="0"/>
              <w:jc w:val="center"/>
              <w:textAlignment w:val="baseline"/>
              <w:rPr>
                <w:rFonts w:ascii="Arial" w:hAnsi="Arial" w:eastAsia="Times New Roman" w:cs="Arial"/>
                <w:b/>
                <w:sz w:val="20"/>
                <w:szCs w:val="20"/>
              </w:rPr>
            </w:pPr>
            <w:r w:rsidRPr="002D2A8F">
              <w:rPr>
                <w:rFonts w:ascii="Arial" w:hAnsi="Arial" w:eastAsia="Times New Roman" w:cs="Arial"/>
                <w:b/>
                <w:sz w:val="20"/>
                <w:szCs w:val="20"/>
              </w:rPr>
              <w:t>($/kW-year)</w:t>
            </w:r>
          </w:p>
        </w:tc>
      </w:tr>
      <w:tr w:rsidRPr="002D2A8F" w:rsidR="00CF324B" w14:paraId="08786E08" w14:textId="77777777">
        <w:trPr>
          <w:jc w:val="center"/>
        </w:trPr>
        <w:tc>
          <w:tcPr>
            <w:tcW w:w="3369" w:type="dxa"/>
            <w:tcBorders>
              <w:top w:val="single" w:color="auto" w:sz="4" w:space="0"/>
              <w:left w:val="single" w:color="auto" w:sz="4" w:space="0"/>
              <w:bottom w:val="single" w:color="auto" w:sz="4" w:space="0"/>
              <w:right w:val="single" w:color="auto" w:sz="4" w:space="0"/>
            </w:tcBorders>
          </w:tcPr>
          <w:p w:rsidRPr="002D2A8F" w:rsidR="00CF324B" w:rsidRDefault="00CF324B" w14:paraId="31FB5F6F" w14:textId="77777777">
            <w:pPr>
              <w:adjustRightInd w:val="0"/>
              <w:spacing w:after="0"/>
              <w:ind w:left="450" w:hanging="450"/>
              <w:jc w:val="center"/>
              <w:textAlignment w:val="baseline"/>
              <w:rPr>
                <w:rFonts w:ascii="Arial" w:hAnsi="Arial" w:eastAsia="Times New Roman" w:cs="Arial"/>
                <w:b/>
                <w:i/>
                <w:sz w:val="20"/>
                <w:szCs w:val="20"/>
              </w:rPr>
            </w:pPr>
          </w:p>
        </w:tc>
        <w:tc>
          <w:tcPr>
            <w:tcW w:w="2850" w:type="dxa"/>
            <w:tcBorders>
              <w:top w:val="single" w:color="auto" w:sz="4" w:space="0"/>
              <w:left w:val="single" w:color="auto" w:sz="4" w:space="0"/>
              <w:bottom w:val="single" w:color="auto" w:sz="4" w:space="0"/>
              <w:right w:val="single" w:color="auto" w:sz="4" w:space="0"/>
            </w:tcBorders>
          </w:tcPr>
          <w:p w:rsidRPr="002D2A8F" w:rsidR="00CF324B" w:rsidRDefault="00CF324B" w14:paraId="1388F700" w14:textId="77777777">
            <w:pPr>
              <w:adjustRightInd w:val="0"/>
              <w:spacing w:after="0"/>
              <w:ind w:left="450" w:hanging="450"/>
              <w:jc w:val="center"/>
              <w:textAlignment w:val="baseline"/>
              <w:rPr>
                <w:rFonts w:ascii="Arial" w:hAnsi="Arial" w:eastAsia="Times New Roman" w:cs="Arial"/>
                <w:sz w:val="20"/>
                <w:szCs w:val="20"/>
              </w:rPr>
            </w:pPr>
          </w:p>
        </w:tc>
      </w:tr>
      <w:tr w:rsidRPr="002D2A8F" w:rsidR="00CF324B" w14:paraId="499AD2C4" w14:textId="77777777">
        <w:trPr>
          <w:jc w:val="center"/>
        </w:trPr>
        <w:tc>
          <w:tcPr>
            <w:tcW w:w="3369" w:type="dxa"/>
            <w:tcBorders>
              <w:top w:val="single" w:color="auto" w:sz="4" w:space="0"/>
              <w:left w:val="single" w:color="auto" w:sz="4" w:space="0"/>
              <w:bottom w:val="single" w:color="auto" w:sz="4" w:space="0"/>
              <w:right w:val="single" w:color="auto" w:sz="4" w:space="0"/>
            </w:tcBorders>
          </w:tcPr>
          <w:p w:rsidRPr="002D2A8F" w:rsidR="00CF324B" w:rsidRDefault="00CF324B" w14:paraId="0F21D0C5" w14:textId="77777777">
            <w:pPr>
              <w:adjustRightInd w:val="0"/>
              <w:spacing w:after="0"/>
              <w:ind w:left="450" w:hanging="220"/>
              <w:jc w:val="center"/>
              <w:textAlignment w:val="baseline"/>
              <w:rPr>
                <w:rFonts w:ascii="Arial" w:hAnsi="Arial" w:eastAsia="Times New Roman" w:cs="Arial"/>
                <w:b/>
                <w:i/>
                <w:sz w:val="20"/>
                <w:szCs w:val="20"/>
              </w:rPr>
            </w:pPr>
          </w:p>
        </w:tc>
        <w:tc>
          <w:tcPr>
            <w:tcW w:w="2850" w:type="dxa"/>
            <w:tcBorders>
              <w:top w:val="single" w:color="auto" w:sz="4" w:space="0"/>
              <w:left w:val="single" w:color="auto" w:sz="4" w:space="0"/>
              <w:bottom w:val="single" w:color="auto" w:sz="4" w:space="0"/>
              <w:right w:val="single" w:color="auto" w:sz="4" w:space="0"/>
            </w:tcBorders>
          </w:tcPr>
          <w:p w:rsidRPr="002D2A8F" w:rsidR="00CF324B" w:rsidRDefault="00CF324B" w14:paraId="1F52E152" w14:textId="77777777">
            <w:pPr>
              <w:adjustRightInd w:val="0"/>
              <w:spacing w:after="0"/>
              <w:ind w:left="450" w:hanging="450"/>
              <w:jc w:val="center"/>
              <w:textAlignment w:val="baseline"/>
              <w:rPr>
                <w:rFonts w:ascii="Arial" w:hAnsi="Arial" w:eastAsia="Times New Roman" w:cs="Arial"/>
                <w:sz w:val="20"/>
                <w:szCs w:val="20"/>
              </w:rPr>
            </w:pPr>
          </w:p>
        </w:tc>
      </w:tr>
      <w:tr w:rsidRPr="002D2A8F" w:rsidR="00CF324B" w14:paraId="143E713C" w14:textId="77777777">
        <w:trPr>
          <w:jc w:val="center"/>
        </w:trPr>
        <w:tc>
          <w:tcPr>
            <w:tcW w:w="3369" w:type="dxa"/>
            <w:tcBorders>
              <w:top w:val="single" w:color="auto" w:sz="4" w:space="0"/>
              <w:left w:val="single" w:color="auto" w:sz="4" w:space="0"/>
              <w:bottom w:val="single" w:color="auto" w:sz="4" w:space="0"/>
              <w:right w:val="single" w:color="auto" w:sz="4" w:space="0"/>
            </w:tcBorders>
          </w:tcPr>
          <w:p w:rsidRPr="002D2A8F" w:rsidR="00CF324B" w:rsidRDefault="00CF324B" w14:paraId="53948A16" w14:textId="77777777">
            <w:pPr>
              <w:adjustRightInd w:val="0"/>
              <w:spacing w:after="0"/>
              <w:ind w:left="450" w:hanging="450"/>
              <w:jc w:val="center"/>
              <w:textAlignment w:val="baseline"/>
              <w:rPr>
                <w:rFonts w:ascii="Arial" w:hAnsi="Arial" w:eastAsia="Times New Roman" w:cs="Arial"/>
                <w:sz w:val="20"/>
                <w:szCs w:val="20"/>
              </w:rPr>
            </w:pPr>
          </w:p>
        </w:tc>
        <w:tc>
          <w:tcPr>
            <w:tcW w:w="2850" w:type="dxa"/>
            <w:tcBorders>
              <w:top w:val="single" w:color="auto" w:sz="4" w:space="0"/>
              <w:left w:val="single" w:color="auto" w:sz="4" w:space="0"/>
              <w:bottom w:val="single" w:color="auto" w:sz="4" w:space="0"/>
              <w:right w:val="single" w:color="auto" w:sz="4" w:space="0"/>
            </w:tcBorders>
          </w:tcPr>
          <w:p w:rsidRPr="002D2A8F" w:rsidR="00CF324B" w:rsidRDefault="00CF324B" w14:paraId="04824284" w14:textId="77777777">
            <w:pPr>
              <w:adjustRightInd w:val="0"/>
              <w:spacing w:after="0"/>
              <w:ind w:left="450" w:hanging="450"/>
              <w:jc w:val="center"/>
              <w:textAlignment w:val="baseline"/>
              <w:rPr>
                <w:rFonts w:ascii="Arial" w:hAnsi="Arial" w:eastAsia="Times New Roman" w:cs="Arial"/>
                <w:sz w:val="20"/>
                <w:szCs w:val="20"/>
              </w:rPr>
            </w:pPr>
          </w:p>
        </w:tc>
      </w:tr>
      <w:tr w:rsidRPr="002D2A8F" w:rsidR="00CF324B" w14:paraId="401BEB65" w14:textId="77777777">
        <w:trPr>
          <w:jc w:val="center"/>
        </w:trPr>
        <w:tc>
          <w:tcPr>
            <w:tcW w:w="3369" w:type="dxa"/>
            <w:tcBorders>
              <w:top w:val="single" w:color="auto" w:sz="4" w:space="0"/>
              <w:left w:val="single" w:color="auto" w:sz="4" w:space="0"/>
              <w:bottom w:val="single" w:color="auto" w:sz="4" w:space="0"/>
              <w:right w:val="single" w:color="auto" w:sz="4" w:space="0"/>
            </w:tcBorders>
          </w:tcPr>
          <w:p w:rsidRPr="002D2A8F" w:rsidR="00CF324B" w:rsidRDefault="00CF324B" w14:paraId="3A8AD5E0" w14:textId="77777777">
            <w:pPr>
              <w:adjustRightInd w:val="0"/>
              <w:spacing w:after="0"/>
              <w:ind w:left="450" w:hanging="450"/>
              <w:jc w:val="center"/>
              <w:textAlignment w:val="baseline"/>
              <w:rPr>
                <w:rFonts w:ascii="Arial" w:hAnsi="Arial" w:eastAsia="Times New Roman" w:cs="Arial"/>
                <w:sz w:val="20"/>
                <w:szCs w:val="20"/>
              </w:rPr>
            </w:pPr>
          </w:p>
        </w:tc>
        <w:tc>
          <w:tcPr>
            <w:tcW w:w="2850" w:type="dxa"/>
            <w:tcBorders>
              <w:top w:val="single" w:color="auto" w:sz="4" w:space="0"/>
              <w:left w:val="single" w:color="auto" w:sz="4" w:space="0"/>
              <w:bottom w:val="single" w:color="auto" w:sz="4" w:space="0"/>
              <w:right w:val="single" w:color="auto" w:sz="4" w:space="0"/>
            </w:tcBorders>
          </w:tcPr>
          <w:p w:rsidRPr="002D2A8F" w:rsidR="00CF324B" w:rsidRDefault="00CF324B" w14:paraId="7B3BCC5C" w14:textId="77777777">
            <w:pPr>
              <w:adjustRightInd w:val="0"/>
              <w:spacing w:after="0"/>
              <w:ind w:left="450" w:hanging="450"/>
              <w:jc w:val="center"/>
              <w:textAlignment w:val="baseline"/>
              <w:rPr>
                <w:rFonts w:ascii="Arial" w:hAnsi="Arial" w:eastAsia="Times New Roman" w:cs="Arial"/>
                <w:sz w:val="20"/>
                <w:szCs w:val="20"/>
              </w:rPr>
            </w:pPr>
          </w:p>
        </w:tc>
      </w:tr>
      <w:tr w:rsidRPr="002D2A8F" w:rsidR="00CF324B" w14:paraId="22F1D757" w14:textId="77777777">
        <w:trPr>
          <w:jc w:val="center"/>
        </w:trPr>
        <w:tc>
          <w:tcPr>
            <w:tcW w:w="3369" w:type="dxa"/>
            <w:tcBorders>
              <w:top w:val="single" w:color="auto" w:sz="4" w:space="0"/>
              <w:left w:val="single" w:color="auto" w:sz="4" w:space="0"/>
              <w:bottom w:val="single" w:color="auto" w:sz="4" w:space="0"/>
              <w:right w:val="single" w:color="auto" w:sz="4" w:space="0"/>
            </w:tcBorders>
          </w:tcPr>
          <w:p w:rsidRPr="002D2A8F" w:rsidR="00CF324B" w:rsidRDefault="00CF324B" w14:paraId="0A2252D8" w14:textId="77777777">
            <w:pPr>
              <w:adjustRightInd w:val="0"/>
              <w:spacing w:after="0"/>
              <w:ind w:left="450" w:hanging="450"/>
              <w:jc w:val="center"/>
              <w:textAlignment w:val="baseline"/>
              <w:rPr>
                <w:rFonts w:ascii="Arial" w:hAnsi="Arial" w:eastAsia="Times New Roman" w:cs="Arial"/>
                <w:sz w:val="20"/>
                <w:szCs w:val="20"/>
              </w:rPr>
            </w:pPr>
          </w:p>
        </w:tc>
        <w:tc>
          <w:tcPr>
            <w:tcW w:w="2850" w:type="dxa"/>
            <w:tcBorders>
              <w:top w:val="single" w:color="auto" w:sz="4" w:space="0"/>
              <w:left w:val="single" w:color="auto" w:sz="4" w:space="0"/>
              <w:bottom w:val="single" w:color="auto" w:sz="4" w:space="0"/>
              <w:right w:val="single" w:color="auto" w:sz="4" w:space="0"/>
            </w:tcBorders>
          </w:tcPr>
          <w:p w:rsidRPr="002D2A8F" w:rsidR="00CF324B" w:rsidRDefault="00CF324B" w14:paraId="61D0D114" w14:textId="77777777">
            <w:pPr>
              <w:adjustRightInd w:val="0"/>
              <w:spacing w:after="0"/>
              <w:ind w:left="450" w:hanging="450"/>
              <w:jc w:val="center"/>
              <w:textAlignment w:val="baseline"/>
              <w:rPr>
                <w:rFonts w:ascii="Arial" w:hAnsi="Arial" w:eastAsia="Times New Roman" w:cs="Arial"/>
                <w:sz w:val="20"/>
                <w:szCs w:val="20"/>
              </w:rPr>
            </w:pPr>
          </w:p>
        </w:tc>
      </w:tr>
      <w:tr w:rsidRPr="002D2A8F" w:rsidR="00CF324B" w14:paraId="6A7C40C3" w14:textId="77777777">
        <w:trPr>
          <w:jc w:val="center"/>
        </w:trPr>
        <w:tc>
          <w:tcPr>
            <w:tcW w:w="3369" w:type="dxa"/>
            <w:tcBorders>
              <w:top w:val="single" w:color="auto" w:sz="4" w:space="0"/>
              <w:left w:val="single" w:color="auto" w:sz="4" w:space="0"/>
              <w:bottom w:val="single" w:color="auto" w:sz="4" w:space="0"/>
              <w:right w:val="single" w:color="auto" w:sz="4" w:space="0"/>
            </w:tcBorders>
          </w:tcPr>
          <w:p w:rsidRPr="002D2A8F" w:rsidR="00CF324B" w:rsidRDefault="00CF324B" w14:paraId="32DEEDBD" w14:textId="77777777">
            <w:pPr>
              <w:adjustRightInd w:val="0"/>
              <w:spacing w:after="0"/>
              <w:ind w:left="450" w:hanging="450"/>
              <w:jc w:val="center"/>
              <w:textAlignment w:val="baseline"/>
              <w:rPr>
                <w:rFonts w:ascii="Arial" w:hAnsi="Arial" w:eastAsia="Times New Roman" w:cs="Arial"/>
                <w:sz w:val="20"/>
                <w:szCs w:val="20"/>
              </w:rPr>
            </w:pPr>
          </w:p>
        </w:tc>
        <w:tc>
          <w:tcPr>
            <w:tcW w:w="2850" w:type="dxa"/>
            <w:tcBorders>
              <w:top w:val="single" w:color="auto" w:sz="4" w:space="0"/>
              <w:left w:val="single" w:color="auto" w:sz="4" w:space="0"/>
              <w:bottom w:val="single" w:color="auto" w:sz="4" w:space="0"/>
              <w:right w:val="single" w:color="auto" w:sz="4" w:space="0"/>
            </w:tcBorders>
          </w:tcPr>
          <w:p w:rsidRPr="002D2A8F" w:rsidR="00CF324B" w:rsidRDefault="00CF324B" w14:paraId="2D5329ED" w14:textId="77777777">
            <w:pPr>
              <w:adjustRightInd w:val="0"/>
              <w:spacing w:after="0"/>
              <w:ind w:left="450" w:hanging="450"/>
              <w:jc w:val="center"/>
              <w:textAlignment w:val="baseline"/>
              <w:rPr>
                <w:rFonts w:ascii="Arial" w:hAnsi="Arial" w:eastAsia="Times New Roman" w:cs="Arial"/>
                <w:sz w:val="20"/>
                <w:szCs w:val="20"/>
              </w:rPr>
            </w:pPr>
          </w:p>
        </w:tc>
      </w:tr>
      <w:tr w:rsidRPr="002D2A8F" w:rsidR="00CF324B" w14:paraId="0B10F469" w14:textId="77777777">
        <w:trPr>
          <w:jc w:val="center"/>
        </w:trPr>
        <w:tc>
          <w:tcPr>
            <w:tcW w:w="3369" w:type="dxa"/>
            <w:tcBorders>
              <w:top w:val="single" w:color="auto" w:sz="4" w:space="0"/>
              <w:left w:val="single" w:color="auto" w:sz="4" w:space="0"/>
              <w:bottom w:val="single" w:color="auto" w:sz="4" w:space="0"/>
              <w:right w:val="single" w:color="auto" w:sz="4" w:space="0"/>
            </w:tcBorders>
          </w:tcPr>
          <w:p w:rsidRPr="002D2A8F" w:rsidR="00CF324B" w:rsidRDefault="00CF324B" w14:paraId="3BCD669C" w14:textId="77777777">
            <w:pPr>
              <w:adjustRightInd w:val="0"/>
              <w:spacing w:after="0"/>
              <w:ind w:left="450" w:hanging="450"/>
              <w:jc w:val="center"/>
              <w:textAlignment w:val="baseline"/>
              <w:rPr>
                <w:rFonts w:ascii="Arial" w:hAnsi="Arial" w:eastAsia="Times New Roman" w:cs="Arial"/>
                <w:sz w:val="20"/>
                <w:szCs w:val="20"/>
              </w:rPr>
            </w:pPr>
          </w:p>
        </w:tc>
        <w:tc>
          <w:tcPr>
            <w:tcW w:w="2850" w:type="dxa"/>
            <w:tcBorders>
              <w:top w:val="single" w:color="auto" w:sz="4" w:space="0"/>
              <w:left w:val="single" w:color="auto" w:sz="4" w:space="0"/>
              <w:bottom w:val="single" w:color="auto" w:sz="4" w:space="0"/>
              <w:right w:val="single" w:color="auto" w:sz="4" w:space="0"/>
            </w:tcBorders>
          </w:tcPr>
          <w:p w:rsidRPr="002D2A8F" w:rsidR="00CF324B" w:rsidRDefault="00CF324B" w14:paraId="51E64C7B" w14:textId="77777777">
            <w:pPr>
              <w:adjustRightInd w:val="0"/>
              <w:spacing w:after="0"/>
              <w:ind w:left="450" w:hanging="450"/>
              <w:jc w:val="center"/>
              <w:textAlignment w:val="baseline"/>
              <w:rPr>
                <w:rFonts w:ascii="Arial" w:hAnsi="Arial" w:eastAsia="Times New Roman" w:cs="Arial"/>
                <w:sz w:val="20"/>
                <w:szCs w:val="20"/>
              </w:rPr>
            </w:pPr>
          </w:p>
        </w:tc>
      </w:tr>
      <w:tr w:rsidRPr="002D2A8F" w:rsidR="00CF324B" w14:paraId="1DAECD35" w14:textId="77777777">
        <w:trPr>
          <w:jc w:val="center"/>
        </w:trPr>
        <w:tc>
          <w:tcPr>
            <w:tcW w:w="3369" w:type="dxa"/>
            <w:tcBorders>
              <w:top w:val="single" w:color="auto" w:sz="4" w:space="0"/>
              <w:left w:val="single" w:color="auto" w:sz="4" w:space="0"/>
              <w:bottom w:val="single" w:color="auto" w:sz="4" w:space="0"/>
              <w:right w:val="single" w:color="auto" w:sz="4" w:space="0"/>
            </w:tcBorders>
          </w:tcPr>
          <w:p w:rsidRPr="002D2A8F" w:rsidR="00CF324B" w:rsidRDefault="00CF324B" w14:paraId="247D1EF0" w14:textId="77777777">
            <w:pPr>
              <w:adjustRightInd w:val="0"/>
              <w:spacing w:after="0"/>
              <w:ind w:left="450" w:hanging="450"/>
              <w:jc w:val="center"/>
              <w:textAlignment w:val="baseline"/>
              <w:rPr>
                <w:rFonts w:ascii="Arial" w:hAnsi="Arial" w:eastAsia="Times New Roman" w:cs="Arial"/>
                <w:sz w:val="20"/>
                <w:szCs w:val="20"/>
              </w:rPr>
            </w:pPr>
          </w:p>
        </w:tc>
        <w:tc>
          <w:tcPr>
            <w:tcW w:w="2850" w:type="dxa"/>
            <w:tcBorders>
              <w:top w:val="single" w:color="auto" w:sz="4" w:space="0"/>
              <w:left w:val="single" w:color="auto" w:sz="4" w:space="0"/>
              <w:bottom w:val="single" w:color="auto" w:sz="4" w:space="0"/>
              <w:right w:val="single" w:color="auto" w:sz="4" w:space="0"/>
            </w:tcBorders>
          </w:tcPr>
          <w:p w:rsidRPr="002D2A8F" w:rsidR="00CF324B" w:rsidRDefault="00CF324B" w14:paraId="6F1898E7" w14:textId="77777777">
            <w:pPr>
              <w:adjustRightInd w:val="0"/>
              <w:spacing w:after="0"/>
              <w:ind w:left="450" w:hanging="450"/>
              <w:jc w:val="center"/>
              <w:textAlignment w:val="baseline"/>
              <w:rPr>
                <w:rFonts w:ascii="Arial" w:hAnsi="Arial" w:eastAsia="Times New Roman" w:cs="Arial"/>
                <w:sz w:val="20"/>
                <w:szCs w:val="20"/>
              </w:rPr>
            </w:pPr>
          </w:p>
        </w:tc>
      </w:tr>
      <w:tr w:rsidRPr="002D2A8F" w:rsidR="00CF324B" w14:paraId="68F35A13" w14:textId="77777777">
        <w:trPr>
          <w:jc w:val="center"/>
        </w:trPr>
        <w:tc>
          <w:tcPr>
            <w:tcW w:w="3369" w:type="dxa"/>
            <w:tcBorders>
              <w:top w:val="single" w:color="auto" w:sz="4" w:space="0"/>
              <w:left w:val="single" w:color="auto" w:sz="4" w:space="0"/>
              <w:bottom w:val="single" w:color="auto" w:sz="4" w:space="0"/>
              <w:right w:val="single" w:color="auto" w:sz="4" w:space="0"/>
            </w:tcBorders>
          </w:tcPr>
          <w:p w:rsidRPr="002D2A8F" w:rsidR="00CF324B" w:rsidRDefault="00CF324B" w14:paraId="56032453" w14:textId="77777777">
            <w:pPr>
              <w:adjustRightInd w:val="0"/>
              <w:spacing w:after="0"/>
              <w:ind w:left="450" w:hanging="450"/>
              <w:jc w:val="center"/>
              <w:textAlignment w:val="baseline"/>
              <w:rPr>
                <w:rFonts w:ascii="Arial" w:hAnsi="Arial" w:eastAsia="Times New Roman" w:cs="Arial"/>
                <w:sz w:val="20"/>
                <w:szCs w:val="20"/>
              </w:rPr>
            </w:pPr>
          </w:p>
        </w:tc>
        <w:tc>
          <w:tcPr>
            <w:tcW w:w="2850" w:type="dxa"/>
            <w:tcBorders>
              <w:top w:val="single" w:color="auto" w:sz="4" w:space="0"/>
              <w:left w:val="single" w:color="auto" w:sz="4" w:space="0"/>
              <w:bottom w:val="single" w:color="auto" w:sz="4" w:space="0"/>
              <w:right w:val="single" w:color="auto" w:sz="4" w:space="0"/>
            </w:tcBorders>
          </w:tcPr>
          <w:p w:rsidRPr="002D2A8F" w:rsidR="00CF324B" w:rsidRDefault="00CF324B" w14:paraId="51955539" w14:textId="77777777">
            <w:pPr>
              <w:adjustRightInd w:val="0"/>
              <w:spacing w:after="0"/>
              <w:ind w:left="450" w:hanging="450"/>
              <w:jc w:val="center"/>
              <w:textAlignment w:val="baseline"/>
              <w:rPr>
                <w:rFonts w:ascii="Arial" w:hAnsi="Arial" w:eastAsia="Times New Roman" w:cs="Arial"/>
                <w:sz w:val="20"/>
                <w:szCs w:val="20"/>
              </w:rPr>
            </w:pPr>
          </w:p>
        </w:tc>
      </w:tr>
      <w:tr w:rsidRPr="002D2A8F" w:rsidR="00CF324B" w14:paraId="5B54CEE4" w14:textId="77777777">
        <w:trPr>
          <w:jc w:val="center"/>
        </w:trPr>
        <w:tc>
          <w:tcPr>
            <w:tcW w:w="3369" w:type="dxa"/>
            <w:tcBorders>
              <w:top w:val="single" w:color="auto" w:sz="4" w:space="0"/>
              <w:left w:val="single" w:color="auto" w:sz="4" w:space="0"/>
              <w:bottom w:val="single" w:color="auto" w:sz="4" w:space="0"/>
              <w:right w:val="single" w:color="auto" w:sz="4" w:space="0"/>
            </w:tcBorders>
          </w:tcPr>
          <w:p w:rsidRPr="002D2A8F" w:rsidR="00CF324B" w:rsidRDefault="00CF324B" w14:paraId="5AD37A18" w14:textId="77777777">
            <w:pPr>
              <w:adjustRightInd w:val="0"/>
              <w:spacing w:after="0"/>
              <w:ind w:left="450" w:hanging="450"/>
              <w:jc w:val="center"/>
              <w:textAlignment w:val="baseline"/>
              <w:rPr>
                <w:rFonts w:ascii="Arial" w:hAnsi="Arial" w:eastAsia="Times New Roman" w:cs="Arial"/>
                <w:sz w:val="20"/>
                <w:szCs w:val="20"/>
              </w:rPr>
            </w:pPr>
          </w:p>
        </w:tc>
        <w:tc>
          <w:tcPr>
            <w:tcW w:w="2850" w:type="dxa"/>
            <w:tcBorders>
              <w:top w:val="single" w:color="auto" w:sz="4" w:space="0"/>
              <w:left w:val="single" w:color="auto" w:sz="4" w:space="0"/>
              <w:bottom w:val="single" w:color="auto" w:sz="4" w:space="0"/>
              <w:right w:val="single" w:color="auto" w:sz="4" w:space="0"/>
            </w:tcBorders>
          </w:tcPr>
          <w:p w:rsidRPr="002D2A8F" w:rsidR="00CF324B" w:rsidRDefault="00CF324B" w14:paraId="7DFFD9D5" w14:textId="77777777">
            <w:pPr>
              <w:adjustRightInd w:val="0"/>
              <w:spacing w:after="0"/>
              <w:ind w:left="450" w:hanging="450"/>
              <w:jc w:val="center"/>
              <w:textAlignment w:val="baseline"/>
              <w:rPr>
                <w:rFonts w:ascii="Arial" w:hAnsi="Arial" w:eastAsia="Times New Roman" w:cs="Arial"/>
                <w:sz w:val="20"/>
                <w:szCs w:val="20"/>
              </w:rPr>
            </w:pPr>
          </w:p>
        </w:tc>
      </w:tr>
      <w:tr w:rsidRPr="002D2A8F" w:rsidR="00CF324B" w14:paraId="5E951105" w14:textId="77777777">
        <w:trPr>
          <w:jc w:val="center"/>
        </w:trPr>
        <w:tc>
          <w:tcPr>
            <w:tcW w:w="3369" w:type="dxa"/>
            <w:tcBorders>
              <w:top w:val="single" w:color="auto" w:sz="4" w:space="0"/>
              <w:left w:val="single" w:color="auto" w:sz="4" w:space="0"/>
              <w:bottom w:val="single" w:color="auto" w:sz="4" w:space="0"/>
              <w:right w:val="single" w:color="auto" w:sz="4" w:space="0"/>
            </w:tcBorders>
          </w:tcPr>
          <w:p w:rsidRPr="002D2A8F" w:rsidR="00CF324B" w:rsidRDefault="00CF324B" w14:paraId="5F91ED3F" w14:textId="77777777">
            <w:pPr>
              <w:adjustRightInd w:val="0"/>
              <w:spacing w:after="0"/>
              <w:ind w:left="450" w:hanging="450"/>
              <w:jc w:val="center"/>
              <w:textAlignment w:val="baseline"/>
              <w:rPr>
                <w:rFonts w:ascii="Arial" w:hAnsi="Arial" w:eastAsia="Times New Roman" w:cs="Arial"/>
                <w:sz w:val="20"/>
                <w:szCs w:val="20"/>
              </w:rPr>
            </w:pPr>
          </w:p>
        </w:tc>
        <w:tc>
          <w:tcPr>
            <w:tcW w:w="2850" w:type="dxa"/>
            <w:tcBorders>
              <w:top w:val="single" w:color="auto" w:sz="4" w:space="0"/>
              <w:left w:val="single" w:color="auto" w:sz="4" w:space="0"/>
              <w:bottom w:val="single" w:color="auto" w:sz="4" w:space="0"/>
              <w:right w:val="single" w:color="auto" w:sz="4" w:space="0"/>
            </w:tcBorders>
          </w:tcPr>
          <w:p w:rsidRPr="002D2A8F" w:rsidR="00CF324B" w:rsidRDefault="00CF324B" w14:paraId="7C4783B7" w14:textId="77777777">
            <w:pPr>
              <w:adjustRightInd w:val="0"/>
              <w:spacing w:after="0"/>
              <w:ind w:left="450" w:hanging="450"/>
              <w:jc w:val="center"/>
              <w:textAlignment w:val="baseline"/>
              <w:rPr>
                <w:rFonts w:ascii="Arial" w:hAnsi="Arial" w:eastAsia="Times New Roman" w:cs="Arial"/>
                <w:sz w:val="20"/>
                <w:szCs w:val="20"/>
              </w:rPr>
            </w:pPr>
          </w:p>
        </w:tc>
      </w:tr>
      <w:tr w:rsidRPr="002D2A8F" w:rsidR="00CF324B" w14:paraId="108A3401" w14:textId="77777777">
        <w:trPr>
          <w:jc w:val="center"/>
        </w:trPr>
        <w:tc>
          <w:tcPr>
            <w:tcW w:w="3369" w:type="dxa"/>
            <w:tcBorders>
              <w:top w:val="single" w:color="auto" w:sz="4" w:space="0"/>
              <w:left w:val="single" w:color="auto" w:sz="4" w:space="0"/>
              <w:bottom w:val="single" w:color="auto" w:sz="4" w:space="0"/>
              <w:right w:val="single" w:color="auto" w:sz="4" w:space="0"/>
            </w:tcBorders>
          </w:tcPr>
          <w:p w:rsidRPr="002D2A8F" w:rsidR="00CF324B" w:rsidRDefault="00CF324B" w14:paraId="17BACB4E" w14:textId="77777777">
            <w:pPr>
              <w:adjustRightInd w:val="0"/>
              <w:spacing w:after="0"/>
              <w:ind w:left="450" w:hanging="450"/>
              <w:jc w:val="center"/>
              <w:textAlignment w:val="baseline"/>
              <w:rPr>
                <w:rFonts w:ascii="Arial" w:hAnsi="Arial" w:eastAsia="Times New Roman" w:cs="Arial"/>
                <w:b/>
                <w:i/>
                <w:sz w:val="20"/>
                <w:szCs w:val="20"/>
              </w:rPr>
            </w:pPr>
          </w:p>
        </w:tc>
        <w:tc>
          <w:tcPr>
            <w:tcW w:w="2850" w:type="dxa"/>
            <w:tcBorders>
              <w:top w:val="single" w:color="auto" w:sz="4" w:space="0"/>
              <w:left w:val="single" w:color="auto" w:sz="4" w:space="0"/>
              <w:bottom w:val="single" w:color="auto" w:sz="4" w:space="0"/>
              <w:right w:val="single" w:color="auto" w:sz="4" w:space="0"/>
            </w:tcBorders>
          </w:tcPr>
          <w:p w:rsidRPr="002D2A8F" w:rsidR="00CF324B" w:rsidRDefault="00CF324B" w14:paraId="741624AF" w14:textId="77777777">
            <w:pPr>
              <w:adjustRightInd w:val="0"/>
              <w:spacing w:after="0"/>
              <w:ind w:left="450" w:hanging="450"/>
              <w:jc w:val="center"/>
              <w:textAlignment w:val="baseline"/>
              <w:rPr>
                <w:rFonts w:ascii="Arial" w:hAnsi="Arial" w:eastAsia="Times New Roman" w:cs="Arial"/>
                <w:sz w:val="20"/>
                <w:szCs w:val="20"/>
              </w:rPr>
            </w:pPr>
          </w:p>
        </w:tc>
      </w:tr>
      <w:tr w:rsidRPr="002D2A8F" w:rsidR="00CF324B" w14:paraId="2463DCA1" w14:textId="77777777">
        <w:trPr>
          <w:jc w:val="center"/>
        </w:trPr>
        <w:tc>
          <w:tcPr>
            <w:tcW w:w="3369" w:type="dxa"/>
            <w:tcBorders>
              <w:top w:val="single" w:color="auto" w:sz="4" w:space="0"/>
              <w:left w:val="single" w:color="auto" w:sz="4" w:space="0"/>
              <w:bottom w:val="single" w:color="auto" w:sz="4" w:space="0"/>
              <w:right w:val="single" w:color="auto" w:sz="4" w:space="0"/>
            </w:tcBorders>
          </w:tcPr>
          <w:p w:rsidRPr="002D2A8F" w:rsidR="00CF324B" w:rsidRDefault="00CF324B" w14:paraId="20F9C988" w14:textId="77777777">
            <w:pPr>
              <w:adjustRightInd w:val="0"/>
              <w:spacing w:after="0"/>
              <w:ind w:left="450" w:hanging="450"/>
              <w:jc w:val="center"/>
              <w:textAlignment w:val="baseline"/>
              <w:rPr>
                <w:rFonts w:ascii="Arial" w:hAnsi="Arial" w:eastAsia="Times New Roman" w:cs="Arial"/>
                <w:b/>
                <w:i/>
                <w:sz w:val="20"/>
                <w:szCs w:val="20"/>
              </w:rPr>
            </w:pPr>
          </w:p>
        </w:tc>
        <w:tc>
          <w:tcPr>
            <w:tcW w:w="2850" w:type="dxa"/>
            <w:tcBorders>
              <w:top w:val="single" w:color="auto" w:sz="4" w:space="0"/>
              <w:left w:val="single" w:color="auto" w:sz="4" w:space="0"/>
              <w:bottom w:val="single" w:color="auto" w:sz="4" w:space="0"/>
              <w:right w:val="single" w:color="auto" w:sz="4" w:space="0"/>
            </w:tcBorders>
          </w:tcPr>
          <w:p w:rsidRPr="002D2A8F" w:rsidR="00CF324B" w:rsidRDefault="00CF324B" w14:paraId="29B51E9B" w14:textId="77777777">
            <w:pPr>
              <w:adjustRightInd w:val="0"/>
              <w:spacing w:after="0"/>
              <w:ind w:left="450" w:hanging="450"/>
              <w:jc w:val="center"/>
              <w:textAlignment w:val="baseline"/>
              <w:rPr>
                <w:rFonts w:ascii="Arial" w:hAnsi="Arial" w:eastAsia="Times New Roman" w:cs="Arial"/>
                <w:sz w:val="20"/>
                <w:szCs w:val="20"/>
              </w:rPr>
            </w:pPr>
          </w:p>
        </w:tc>
      </w:tr>
      <w:tr w:rsidRPr="002D2A8F" w:rsidR="00CF324B" w14:paraId="096D5E75" w14:textId="77777777">
        <w:trPr>
          <w:jc w:val="center"/>
        </w:trPr>
        <w:tc>
          <w:tcPr>
            <w:tcW w:w="3369" w:type="dxa"/>
            <w:tcBorders>
              <w:top w:val="single" w:color="auto" w:sz="4" w:space="0"/>
              <w:left w:val="single" w:color="auto" w:sz="4" w:space="0"/>
              <w:bottom w:val="single" w:color="auto" w:sz="4" w:space="0"/>
              <w:right w:val="single" w:color="auto" w:sz="4" w:space="0"/>
            </w:tcBorders>
          </w:tcPr>
          <w:p w:rsidRPr="002D2A8F" w:rsidR="00CF324B" w:rsidRDefault="00CF324B" w14:paraId="2613C86F" w14:textId="77777777">
            <w:pPr>
              <w:adjustRightInd w:val="0"/>
              <w:spacing w:after="0"/>
              <w:ind w:left="450" w:hanging="450"/>
              <w:jc w:val="center"/>
              <w:textAlignment w:val="baseline"/>
              <w:rPr>
                <w:rFonts w:ascii="Arial" w:hAnsi="Arial" w:eastAsia="Times New Roman" w:cs="Arial"/>
                <w:b/>
                <w:i/>
                <w:sz w:val="20"/>
                <w:szCs w:val="20"/>
              </w:rPr>
            </w:pPr>
          </w:p>
        </w:tc>
        <w:tc>
          <w:tcPr>
            <w:tcW w:w="2850" w:type="dxa"/>
            <w:tcBorders>
              <w:top w:val="single" w:color="auto" w:sz="4" w:space="0"/>
              <w:left w:val="single" w:color="auto" w:sz="4" w:space="0"/>
              <w:bottom w:val="single" w:color="auto" w:sz="4" w:space="0"/>
              <w:right w:val="single" w:color="auto" w:sz="4" w:space="0"/>
            </w:tcBorders>
          </w:tcPr>
          <w:p w:rsidRPr="002D2A8F" w:rsidR="00CF324B" w:rsidRDefault="00CF324B" w14:paraId="5FFD09C9" w14:textId="77777777">
            <w:pPr>
              <w:adjustRightInd w:val="0"/>
              <w:spacing w:after="0"/>
              <w:ind w:left="450" w:hanging="450"/>
              <w:jc w:val="center"/>
              <w:textAlignment w:val="baseline"/>
              <w:rPr>
                <w:rFonts w:ascii="Arial" w:hAnsi="Arial" w:eastAsia="Times New Roman" w:cs="Arial"/>
                <w:sz w:val="20"/>
                <w:szCs w:val="20"/>
              </w:rPr>
            </w:pPr>
          </w:p>
        </w:tc>
      </w:tr>
      <w:tr w:rsidRPr="002D2A8F" w:rsidR="00CF324B" w14:paraId="44A3991A" w14:textId="77777777">
        <w:trPr>
          <w:jc w:val="center"/>
        </w:trPr>
        <w:tc>
          <w:tcPr>
            <w:tcW w:w="3369" w:type="dxa"/>
            <w:tcBorders>
              <w:top w:val="single" w:color="auto" w:sz="4" w:space="0"/>
              <w:left w:val="single" w:color="auto" w:sz="4" w:space="0"/>
              <w:bottom w:val="single" w:color="auto" w:sz="4" w:space="0"/>
              <w:right w:val="single" w:color="auto" w:sz="4" w:space="0"/>
            </w:tcBorders>
          </w:tcPr>
          <w:p w:rsidRPr="002D2A8F" w:rsidR="00CF324B" w:rsidRDefault="00CF324B" w14:paraId="43CD5A56" w14:textId="77777777">
            <w:pPr>
              <w:adjustRightInd w:val="0"/>
              <w:spacing w:after="0"/>
              <w:ind w:left="450" w:hanging="450"/>
              <w:jc w:val="center"/>
              <w:textAlignment w:val="baseline"/>
              <w:rPr>
                <w:rFonts w:ascii="Arial" w:hAnsi="Arial" w:eastAsia="Times New Roman" w:cs="Arial"/>
                <w:b/>
                <w:i/>
                <w:sz w:val="20"/>
                <w:szCs w:val="20"/>
              </w:rPr>
            </w:pPr>
          </w:p>
        </w:tc>
        <w:tc>
          <w:tcPr>
            <w:tcW w:w="2850" w:type="dxa"/>
            <w:tcBorders>
              <w:top w:val="single" w:color="auto" w:sz="4" w:space="0"/>
              <w:left w:val="single" w:color="auto" w:sz="4" w:space="0"/>
              <w:bottom w:val="single" w:color="auto" w:sz="4" w:space="0"/>
              <w:right w:val="single" w:color="auto" w:sz="4" w:space="0"/>
            </w:tcBorders>
          </w:tcPr>
          <w:p w:rsidRPr="002D2A8F" w:rsidR="00CF324B" w:rsidRDefault="00CF324B" w14:paraId="380F790C" w14:textId="77777777">
            <w:pPr>
              <w:adjustRightInd w:val="0"/>
              <w:spacing w:after="0"/>
              <w:ind w:left="450" w:hanging="450"/>
              <w:jc w:val="center"/>
              <w:textAlignment w:val="baseline"/>
              <w:rPr>
                <w:rFonts w:ascii="Arial" w:hAnsi="Arial" w:eastAsia="Times New Roman" w:cs="Arial"/>
                <w:sz w:val="20"/>
                <w:szCs w:val="20"/>
              </w:rPr>
            </w:pPr>
          </w:p>
        </w:tc>
      </w:tr>
      <w:tr w:rsidRPr="002D2A8F" w:rsidR="00CF324B" w14:paraId="714F55EB" w14:textId="77777777">
        <w:trPr>
          <w:jc w:val="center"/>
        </w:trPr>
        <w:tc>
          <w:tcPr>
            <w:tcW w:w="3369" w:type="dxa"/>
            <w:tcBorders>
              <w:top w:val="single" w:color="auto" w:sz="4" w:space="0"/>
              <w:left w:val="single" w:color="auto" w:sz="4" w:space="0"/>
              <w:bottom w:val="single" w:color="auto" w:sz="4" w:space="0"/>
              <w:right w:val="single" w:color="auto" w:sz="4" w:space="0"/>
            </w:tcBorders>
          </w:tcPr>
          <w:p w:rsidRPr="002D2A8F" w:rsidR="00CF324B" w:rsidRDefault="00CF324B" w14:paraId="533548D2" w14:textId="77777777">
            <w:pPr>
              <w:adjustRightInd w:val="0"/>
              <w:spacing w:after="0"/>
              <w:ind w:left="450" w:hanging="450"/>
              <w:jc w:val="center"/>
              <w:textAlignment w:val="baseline"/>
              <w:rPr>
                <w:rFonts w:ascii="Arial" w:hAnsi="Arial" w:eastAsia="Times New Roman" w:cs="Arial"/>
                <w:b/>
                <w:i/>
                <w:sz w:val="20"/>
                <w:szCs w:val="20"/>
              </w:rPr>
            </w:pPr>
          </w:p>
        </w:tc>
        <w:tc>
          <w:tcPr>
            <w:tcW w:w="2850" w:type="dxa"/>
            <w:tcBorders>
              <w:top w:val="single" w:color="auto" w:sz="4" w:space="0"/>
              <w:left w:val="single" w:color="auto" w:sz="4" w:space="0"/>
              <w:bottom w:val="single" w:color="auto" w:sz="4" w:space="0"/>
              <w:right w:val="single" w:color="auto" w:sz="4" w:space="0"/>
            </w:tcBorders>
          </w:tcPr>
          <w:p w:rsidRPr="002D2A8F" w:rsidR="00CF324B" w:rsidRDefault="00CF324B" w14:paraId="3E3779FB" w14:textId="77777777">
            <w:pPr>
              <w:adjustRightInd w:val="0"/>
              <w:spacing w:after="0"/>
              <w:ind w:left="450" w:hanging="450"/>
              <w:jc w:val="center"/>
              <w:textAlignment w:val="baseline"/>
              <w:rPr>
                <w:rFonts w:ascii="Arial" w:hAnsi="Arial" w:eastAsia="Times New Roman" w:cs="Arial"/>
                <w:sz w:val="20"/>
                <w:szCs w:val="20"/>
              </w:rPr>
            </w:pPr>
          </w:p>
        </w:tc>
      </w:tr>
    </w:tbl>
    <w:p w:rsidRPr="002D2A8F" w:rsidR="00CF324B" w:rsidP="00CF324B" w:rsidRDefault="00CF324B" w14:paraId="0B9FFA02" w14:textId="77777777">
      <w:pPr>
        <w:pStyle w:val="zGNormal"/>
        <w:ind w:left="1170"/>
      </w:pPr>
    </w:p>
    <w:p w:rsidRPr="002D2A8F" w:rsidR="00DE4501" w:rsidP="00261AEB" w:rsidRDefault="00CF324B" w14:paraId="2A157B32" w14:textId="2DCCBD27">
      <w:pPr>
        <w:pStyle w:val="zGNormal"/>
        <w:spacing w:before="120" w:after="120"/>
        <w:ind w:left="1170"/>
      </w:pPr>
      <w:r w:rsidRPr="002D2A8F">
        <w:t>The Annual Capacity Price will include all costs, including operation and maintenance charges for the Facility.</w:t>
      </w:r>
    </w:p>
    <w:p w:rsidRPr="009F25FC" w:rsidR="00DE4501" w:rsidP="00D94D93" w:rsidRDefault="00DE4501" w14:paraId="20A3B4C1" w14:textId="5BDB230F">
      <w:pPr>
        <w:pStyle w:val="zGBody2"/>
        <w:numPr>
          <w:ilvl w:val="1"/>
          <w:numId w:val="57"/>
        </w:numPr>
        <w:rPr>
          <w:b w:val="0"/>
          <w:bCs/>
        </w:rPr>
      </w:pPr>
      <w:bookmarkStart w:name="_Toc158593320" w:id="1082"/>
      <w:bookmarkStart w:name="_Toc158597599" w:id="1083"/>
      <w:r w:rsidRPr="009F25FC">
        <w:t>Monthly Capacity Payment.</w:t>
      </w:r>
      <w:bookmarkEnd w:id="1082"/>
      <w:bookmarkEnd w:id="1083"/>
    </w:p>
    <w:p w:rsidRPr="009F25FC" w:rsidR="002F4D8B" w:rsidP="00D94D93" w:rsidRDefault="00AB606C" w14:paraId="35887628" w14:textId="77777777">
      <w:pPr>
        <w:pStyle w:val="zGBody2"/>
        <w:numPr>
          <w:ilvl w:val="2"/>
          <w:numId w:val="57"/>
        </w:numPr>
        <w:rPr>
          <w:b w:val="0"/>
          <w:vanish/>
          <w:specVanish/>
        </w:rPr>
      </w:pPr>
      <w:r w:rsidRPr="002D2A8F">
        <w:rPr>
          <w:b w:val="0"/>
        </w:rPr>
        <w:t>Monthly Capacity Payment.</w:t>
      </w:r>
    </w:p>
    <w:p w:rsidRPr="00AD0C9A" w:rsidR="00AB606C" w:rsidP="00261AEB" w:rsidRDefault="00AB606C" w14:paraId="0EBD46EB" w14:textId="4F29AF8D">
      <w:pPr>
        <w:pStyle w:val="zGBody3"/>
        <w:spacing w:after="120"/>
        <w:rPr>
          <w:b/>
        </w:rPr>
      </w:pPr>
      <w:r w:rsidRPr="002D2A8F">
        <w:rPr>
          <w:b/>
        </w:rPr>
        <w:t xml:space="preserve"> </w:t>
      </w:r>
      <w:r w:rsidRPr="002D2A8F">
        <w:t>For each Month of each Annual Period, GPC will pay to the Seller the “</w:t>
      </w:r>
      <w:r w:rsidRPr="002D2A8F">
        <w:rPr>
          <w:b/>
        </w:rPr>
        <w:t>Monthly Capacity Payment</w:t>
      </w:r>
      <w:r w:rsidRPr="002D2A8F">
        <w:t xml:space="preserve"> (</w:t>
      </w:r>
      <w:r w:rsidRPr="002D2A8F">
        <w:rPr>
          <w:b/>
        </w:rPr>
        <w:t>MCP</w:t>
      </w:r>
      <w:r w:rsidRPr="002D2A8F">
        <w:t>)</w:t>
      </w:r>
      <w:r w:rsidRPr="002D2A8F" w:rsidR="0017211C">
        <w:t>”</w:t>
      </w:r>
      <w:r w:rsidRPr="002D2A8F">
        <w:t xml:space="preserve"> calculated as follows:</w:t>
      </w:r>
    </w:p>
    <w:p w:rsidR="007B2796" w:rsidP="001154F4" w:rsidRDefault="00AB606C" w14:paraId="78565F32" w14:textId="77777777">
      <w:pPr>
        <w:pStyle w:val="zGNormal"/>
      </w:pPr>
      <w:r w:rsidRPr="002D2A8F">
        <w:tab/>
      </w:r>
    </w:p>
    <w:p w:rsidRPr="002D2A8F" w:rsidR="00AB606C" w:rsidP="00567503" w:rsidRDefault="00AB606C" w14:paraId="0E565B66" w14:textId="36D083A0">
      <w:pPr>
        <w:pStyle w:val="zGNormal"/>
        <w:ind w:left="720" w:firstLine="720"/>
      </w:pPr>
      <w:r w:rsidRPr="002D2A8F">
        <w:t>MCP = MCF – MCR</w:t>
      </w:r>
    </w:p>
    <w:p w:rsidR="007B2796" w:rsidP="001154F4" w:rsidRDefault="009A2E82" w14:paraId="649454EF" w14:textId="77777777">
      <w:pPr>
        <w:pStyle w:val="zGNormal"/>
      </w:pPr>
      <w:r>
        <w:tab/>
      </w:r>
    </w:p>
    <w:p w:rsidRPr="002D2A8F" w:rsidR="00AB606C" w:rsidDel="00AD0C9A" w:rsidP="00567503" w:rsidRDefault="00AB606C" w14:paraId="0379948A" w14:textId="2CEB93DD">
      <w:pPr>
        <w:pStyle w:val="zGNormal"/>
        <w:ind w:left="720" w:firstLine="720"/>
      </w:pPr>
      <w:r w:rsidRPr="002D2A8F">
        <w:t>Where:</w:t>
      </w:r>
    </w:p>
    <w:p w:rsidRPr="002D2A8F" w:rsidR="00AB606C" w:rsidP="001154F4" w:rsidRDefault="00AB606C" w14:paraId="6A4426BB" w14:textId="6F06F38E">
      <w:pPr>
        <w:pStyle w:val="zGNormal"/>
      </w:pPr>
    </w:p>
    <w:p w:rsidRPr="002D2A8F" w:rsidR="00AB606C" w:rsidP="001154F4" w:rsidRDefault="00AB606C" w14:paraId="269E74B8" w14:textId="29A963C0">
      <w:pPr>
        <w:pStyle w:val="zGNormal"/>
      </w:pPr>
      <w:r w:rsidRPr="002D2A8F">
        <w:tab/>
      </w:r>
      <w:r w:rsidRPr="002D2A8F">
        <w:tab/>
      </w:r>
      <w:r w:rsidRPr="002D2A8F">
        <w:rPr>
          <w:u w:val="single"/>
        </w:rPr>
        <w:t>MCF</w:t>
      </w:r>
      <w:r w:rsidRPr="002D2A8F">
        <w:t xml:space="preserve"> =</w:t>
      </w:r>
      <w:r w:rsidRPr="002D2A8F" w:rsidR="000231FC">
        <w:t xml:space="preserve"> </w:t>
      </w:r>
      <w:r w:rsidRPr="002D2A8F">
        <w:t xml:space="preserve">Monthly Capacity Fee, determined as follows: </w:t>
      </w:r>
    </w:p>
    <w:p w:rsidRPr="002D2A8F" w:rsidR="00FC0243" w:rsidP="001154F4" w:rsidRDefault="00FC0243" w14:paraId="715B7C8C" w14:textId="77777777">
      <w:pPr>
        <w:pStyle w:val="zGNormal"/>
      </w:pPr>
    </w:p>
    <w:p w:rsidRPr="002D2A8F" w:rsidR="00AB606C" w:rsidP="001154F4" w:rsidRDefault="00AB606C" w14:paraId="27F08AB1" w14:textId="0C4408CA">
      <w:pPr>
        <w:pStyle w:val="zGNormal"/>
      </w:pPr>
      <w:r w:rsidRPr="002D2A8F">
        <w:tab/>
      </w:r>
      <w:r w:rsidRPr="002D2A8F">
        <w:tab/>
        <w:t>MCF = SDDC * (ACP * 1000) * MVF</w:t>
      </w:r>
    </w:p>
    <w:p w:rsidR="00FC0243" w:rsidP="001154F4" w:rsidRDefault="00AB606C" w14:paraId="24E68692" w14:textId="77777777">
      <w:pPr>
        <w:pStyle w:val="zGNormal"/>
      </w:pPr>
      <w:r w:rsidRPr="002D2A8F">
        <w:tab/>
      </w:r>
      <w:r w:rsidR="00FC0243">
        <w:tab/>
      </w:r>
    </w:p>
    <w:p w:rsidRPr="002D2A8F" w:rsidR="00AB606C" w:rsidP="00567503" w:rsidRDefault="00AB606C" w14:paraId="7B4CB6CB" w14:textId="12320B41">
      <w:pPr>
        <w:pStyle w:val="zGNormal"/>
        <w:ind w:left="1440" w:firstLine="720"/>
      </w:pPr>
      <w:r w:rsidRPr="002D2A8F">
        <w:t>Where:</w:t>
      </w:r>
    </w:p>
    <w:p w:rsidRPr="002D2A8F" w:rsidR="00567503" w:rsidP="00567503" w:rsidRDefault="00567503" w14:paraId="288E66A2" w14:textId="77777777">
      <w:pPr>
        <w:pStyle w:val="zGNormal"/>
        <w:ind w:left="1440" w:firstLine="720"/>
      </w:pPr>
    </w:p>
    <w:p w:rsidRPr="00652337" w:rsidR="00AB606C" w:rsidP="00567503" w:rsidRDefault="00AB606C" w14:paraId="490D890D" w14:textId="3E110402">
      <w:pPr>
        <w:pStyle w:val="zGNormal"/>
        <w:ind w:left="2160"/>
      </w:pPr>
      <w:r w:rsidRPr="00652337">
        <w:rPr>
          <w:u w:val="single"/>
        </w:rPr>
        <w:t>SDDC</w:t>
      </w:r>
      <w:r w:rsidRPr="00652337">
        <w:t xml:space="preserve"> = Storage Device Design Capacity, as may be adjusted pursuant to Exhibit B</w:t>
      </w:r>
      <w:r w:rsidRPr="00652337" w:rsidR="0017211C">
        <w:t xml:space="preserve"> </w:t>
      </w:r>
      <w:r w:rsidRPr="00652337">
        <w:t>Section 1.3. (</w:t>
      </w:r>
      <w:r w:rsidRPr="00652337">
        <w:rPr>
          <w:i/>
        </w:rPr>
        <w:t>Tested Storage Capacity Below SDDC; SDDC Buydown</w:t>
      </w:r>
      <w:r w:rsidRPr="00652337">
        <w:t xml:space="preserve">). </w:t>
      </w:r>
    </w:p>
    <w:p w:rsidRPr="00652337" w:rsidR="00AB606C" w:rsidP="001154F4" w:rsidRDefault="00AB606C" w14:paraId="274F8294" w14:textId="77777777">
      <w:pPr>
        <w:pStyle w:val="zGNormal"/>
        <w:rPr>
          <w:u w:val="single"/>
        </w:rPr>
      </w:pPr>
    </w:p>
    <w:p w:rsidRPr="00652337" w:rsidR="00AB606C" w:rsidP="00261AEB" w:rsidRDefault="00AB606C" w14:paraId="30512CDA" w14:textId="6A5FE961">
      <w:pPr>
        <w:pStyle w:val="zGNormal"/>
        <w:ind w:left="1440"/>
      </w:pPr>
      <w:r w:rsidRPr="00652337">
        <w:rPr>
          <w:u w:val="single"/>
        </w:rPr>
        <w:t>ACP</w:t>
      </w:r>
      <w:r w:rsidRPr="00652337">
        <w:t xml:space="preserve"> =The applicable Annual Capacity Price (in $/kW-year)</w:t>
      </w:r>
      <w:r w:rsidRPr="00652337" w:rsidR="00652337">
        <w:t xml:space="preserve"> </w:t>
      </w:r>
      <w:r w:rsidRPr="00652337">
        <w:t>set forth in Table C-1</w:t>
      </w:r>
      <w:r w:rsidR="0023171B">
        <w:t xml:space="preserve"> (</w:t>
      </w:r>
      <w:r w:rsidRPr="0023171B" w:rsidR="0023171B">
        <w:rPr>
          <w:i/>
          <w:iCs/>
        </w:rPr>
        <w:t>Annual Capacity Price</w:t>
      </w:r>
      <w:r w:rsidR="0023171B">
        <w:t>)</w:t>
      </w:r>
      <w:r w:rsidRPr="00652337">
        <w:t>.</w:t>
      </w:r>
    </w:p>
    <w:p w:rsidRPr="00652337" w:rsidR="00AB606C" w:rsidP="001154F4" w:rsidRDefault="00AB606C" w14:paraId="35326CCE" w14:textId="77777777">
      <w:pPr>
        <w:pStyle w:val="zGNormal"/>
      </w:pPr>
    </w:p>
    <w:p w:rsidRPr="00652337" w:rsidR="00AB606C" w:rsidP="001154F4" w:rsidRDefault="001F2E7A" w14:paraId="6A84EADB" w14:textId="7C891E7A">
      <w:pPr>
        <w:pStyle w:val="zGNormal"/>
      </w:pPr>
      <w:r w:rsidRPr="00652337">
        <w:tab/>
      </w:r>
      <w:r w:rsidRPr="00652337" w:rsidR="00814210">
        <w:tab/>
      </w:r>
      <w:r w:rsidRPr="00652337" w:rsidR="00AB606C">
        <w:rPr>
          <w:u w:val="single"/>
        </w:rPr>
        <w:t>MVF</w:t>
      </w:r>
      <w:r w:rsidRPr="00652337" w:rsidR="00AB606C">
        <w:t xml:space="preserve"> =The applicable Monthly Value Factor from Table C-2 (</w:t>
      </w:r>
      <w:r w:rsidRPr="00652337" w:rsidR="00AB606C">
        <w:rPr>
          <w:i/>
        </w:rPr>
        <w:t>Monthly Value Factor</w:t>
      </w:r>
      <w:r w:rsidR="00E914C0">
        <w:rPr>
          <w:i/>
        </w:rPr>
        <w:t xml:space="preserve"> (MVF)</w:t>
      </w:r>
      <w:r w:rsidRPr="00652337" w:rsidR="00AB606C">
        <w:t>).</w:t>
      </w:r>
    </w:p>
    <w:p w:rsidRPr="00652337" w:rsidR="00AB606C" w:rsidP="001154F4" w:rsidRDefault="00AB606C" w14:paraId="0832D377" w14:textId="0A8EAEFE">
      <w:pPr>
        <w:pStyle w:val="zGNormal"/>
      </w:pPr>
      <w:r w:rsidRPr="00652337">
        <w:tab/>
      </w:r>
    </w:p>
    <w:p w:rsidRPr="00652337" w:rsidR="009630F4" w:rsidP="00567503" w:rsidRDefault="00AB606C" w14:paraId="192814F6" w14:textId="0BD348AE">
      <w:pPr>
        <w:pStyle w:val="zGNormal"/>
        <w:ind w:left="720"/>
        <w:rPr>
          <w:b/>
        </w:rPr>
      </w:pPr>
      <w:r w:rsidRPr="00652337">
        <w:rPr>
          <w:u w:val="single"/>
        </w:rPr>
        <w:t>MCR</w:t>
      </w:r>
      <w:r w:rsidRPr="00652337">
        <w:t xml:space="preserve"> = </w:t>
      </w:r>
      <w:r w:rsidRPr="00652337">
        <w:tab/>
        <w:t xml:space="preserve">The Monthly Capacity Reduction for </w:t>
      </w:r>
      <w:r w:rsidRPr="00652337" w:rsidR="00C754A4">
        <w:t xml:space="preserve">the </w:t>
      </w:r>
      <w:r w:rsidRPr="00652337">
        <w:t>Month determined in</w:t>
      </w:r>
      <w:r w:rsidRPr="00652337" w:rsidR="000231FC">
        <w:t xml:space="preserve"> accordance with</w:t>
      </w:r>
      <w:r w:rsidRPr="00652337">
        <w:t xml:space="preserve"> Section 2.1</w:t>
      </w:r>
      <w:r w:rsidRPr="00652337" w:rsidR="00D11157">
        <w:t xml:space="preserve"> (</w:t>
      </w:r>
      <w:r w:rsidRPr="00652337" w:rsidR="00D11157">
        <w:rPr>
          <w:i/>
        </w:rPr>
        <w:t>Monthly Capacity Reduction</w:t>
      </w:r>
      <w:r w:rsidRPr="00652337" w:rsidR="00D11157">
        <w:t>).</w:t>
      </w:r>
    </w:p>
    <w:p w:rsidRPr="009F25FC" w:rsidR="00567503" w:rsidP="00D94D93" w:rsidRDefault="00811D39" w14:paraId="1390EDA4" w14:textId="77777777">
      <w:pPr>
        <w:pStyle w:val="zGBody2"/>
        <w:numPr>
          <w:ilvl w:val="2"/>
          <w:numId w:val="57"/>
        </w:numPr>
        <w:rPr>
          <w:b w:val="0"/>
          <w:vanish/>
          <w:specVanish/>
        </w:rPr>
      </w:pPr>
      <w:r w:rsidRPr="00652337">
        <w:rPr>
          <w:b w:val="0"/>
        </w:rPr>
        <w:t>Pro Rata MCP Calculation.</w:t>
      </w:r>
    </w:p>
    <w:p w:rsidRPr="00652337" w:rsidR="00811D39" w:rsidP="00261AEB" w:rsidRDefault="00811D39" w14:paraId="0FAE397B" w14:textId="39F96394">
      <w:pPr>
        <w:pStyle w:val="zGBody3"/>
        <w:spacing w:after="120"/>
      </w:pPr>
      <w:r w:rsidRPr="00652337">
        <w:rPr>
          <w:b/>
        </w:rPr>
        <w:t xml:space="preserve"> </w:t>
      </w:r>
      <w:r w:rsidRPr="00652337">
        <w:t>If the Delivery Commencement Date occurs on a Day other than the first Day of a Month, or if the last Day of the Term occurs on a Day other than the last Day of a Month, GPC will calculate the MCP on a pro rata basis.</w:t>
      </w:r>
    </w:p>
    <w:p w:rsidRPr="00652337" w:rsidR="001154F4" w:rsidP="00D94D93" w:rsidRDefault="00AB606C" w14:paraId="0997DCBE" w14:textId="77777777">
      <w:pPr>
        <w:pStyle w:val="zGBody2"/>
        <w:numPr>
          <w:ilvl w:val="2"/>
          <w:numId w:val="57"/>
        </w:numPr>
        <w:rPr>
          <w:b w:val="0"/>
          <w:bCs/>
          <w:vanish/>
          <w:specVanish/>
        </w:rPr>
      </w:pPr>
      <w:r w:rsidRPr="00652337">
        <w:rPr>
          <w:b w:val="0"/>
        </w:rPr>
        <w:t xml:space="preserve">MVF; GPC Right to Modify. </w:t>
      </w:r>
    </w:p>
    <w:p w:rsidRPr="001225D2" w:rsidR="00DE4501" w:rsidP="00A21F79" w:rsidRDefault="00AB606C" w14:paraId="106642C7" w14:textId="6E7B94BF">
      <w:pPr>
        <w:pStyle w:val="zGBody3"/>
        <w:spacing w:after="120"/>
      </w:pPr>
      <w:r w:rsidRPr="00652337">
        <w:t xml:space="preserve">The Monthly Value Factor for each Month is </w:t>
      </w:r>
      <w:r w:rsidRPr="00652337" w:rsidR="00C754A4">
        <w:t xml:space="preserve">stated </w:t>
      </w:r>
      <w:r w:rsidRPr="00652337">
        <w:t>in Table C-2</w:t>
      </w:r>
      <w:r w:rsidRPr="00652337" w:rsidR="00D11157">
        <w:t xml:space="preserve"> (Monthly Value Factor (</w:t>
      </w:r>
      <w:r w:rsidRPr="00652337" w:rsidR="00D11157">
        <w:rPr>
          <w:i/>
        </w:rPr>
        <w:t>MVF</w:t>
      </w:r>
      <w:r w:rsidRPr="00652337" w:rsidR="00D11157">
        <w:t>)</w:t>
      </w:r>
      <w:r w:rsidR="00E914C0">
        <w:t>)</w:t>
      </w:r>
      <w:r w:rsidRPr="00652337">
        <w:t>. Despite the Monthly Value Factors in Table C-2 (</w:t>
      </w:r>
      <w:r w:rsidRPr="00652337">
        <w:rPr>
          <w:i/>
        </w:rPr>
        <w:t>Monthly Value Factor (MVF)</w:t>
      </w:r>
      <w:r w:rsidRPr="00652337">
        <w:t xml:space="preserve">), </w:t>
      </w:r>
      <w:r w:rsidR="0023171B">
        <w:t>GPC has the right</w:t>
      </w:r>
      <w:r w:rsidRPr="00652337">
        <w:t xml:space="preserve">, in GPC’s sole discretion, to modify </w:t>
      </w:r>
      <w:r w:rsidR="0023171B">
        <w:t>Table C-2, in whole or in part, once every three Annual Periods</w:t>
      </w:r>
      <w:r w:rsidRPr="00652337">
        <w:t xml:space="preserve"> by providing notice to Seller, so long as: (i) GPC provides Seller</w:t>
      </w:r>
      <w:r w:rsidR="00920EA2">
        <w:t xml:space="preserve"> the</w:t>
      </w:r>
      <w:r w:rsidRPr="00652337">
        <w:t xml:space="preserve"> notice at least </w:t>
      </w:r>
      <w:r w:rsidRPr="00652337" w:rsidR="00F56053">
        <w:t xml:space="preserve">180 </w:t>
      </w:r>
      <w:r w:rsidRPr="00652337">
        <w:t xml:space="preserve">Days before the </w:t>
      </w:r>
      <w:r w:rsidRPr="00652337" w:rsidR="00C001C6">
        <w:t xml:space="preserve">start </w:t>
      </w:r>
      <w:r w:rsidRPr="00652337">
        <w:t>of the Annual Period; (ii) each Monthly Value Factor is at least equal to</w:t>
      </w:r>
      <w:r w:rsidR="00944473">
        <w:t xml:space="preserve"> 0.05 and is not greater than 0.25</w:t>
      </w:r>
      <w:r w:rsidRPr="00652337">
        <w:t xml:space="preserve">; (iii) </w:t>
      </w:r>
      <w:r w:rsidR="00625601">
        <w:t xml:space="preserve">only a single month </w:t>
      </w:r>
      <w:r w:rsidR="0093741E">
        <w:t>has</w:t>
      </w:r>
      <w:r w:rsidR="00625601">
        <w:t xml:space="preserve"> a Monthly Value Factor of 0.25</w:t>
      </w:r>
      <w:r w:rsidR="00C128C0">
        <w:t xml:space="preserve">; (iv) the sum of MVFs for any two immediately adjacent calendar months </w:t>
      </w:r>
      <w:r w:rsidR="0093741E">
        <w:t>is</w:t>
      </w:r>
      <w:r w:rsidR="00C128C0">
        <w:t xml:space="preserve"> not greater than 0.40; and (v) </w:t>
      </w:r>
      <w:r w:rsidRPr="00652337">
        <w:t>the sum of all Monthly Value</w:t>
      </w:r>
      <w:r w:rsidRPr="009630F4">
        <w:t xml:space="preserve"> Factors for each Annual Period equals 1.0.</w:t>
      </w:r>
    </w:p>
    <w:tbl>
      <w:tblPr>
        <w:tblW w:w="0" w:type="auto"/>
        <w:tblInd w:w="1998"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val="04A0" w:firstRow="1" w:lastRow="0" w:firstColumn="1" w:lastColumn="0" w:noHBand="0" w:noVBand="1"/>
      </w:tblPr>
      <w:tblGrid>
        <w:gridCol w:w="1440"/>
        <w:gridCol w:w="3960"/>
      </w:tblGrid>
      <w:tr w:rsidRPr="002D2A8F" w:rsidR="00DE4501" w14:paraId="78E46100" w14:textId="77777777">
        <w:tc>
          <w:tcPr>
            <w:tcW w:w="5400" w:type="dxa"/>
            <w:gridSpan w:val="2"/>
            <w:tcBorders>
              <w:top w:val="single" w:color="auto" w:sz="6" w:space="0"/>
              <w:left w:val="single" w:color="auto" w:sz="6" w:space="0"/>
              <w:bottom w:val="single" w:color="auto" w:sz="6" w:space="0"/>
              <w:right w:val="single" w:color="auto" w:sz="6" w:space="0"/>
            </w:tcBorders>
            <w:shd w:val="clear" w:color="auto" w:fill="D9D9D9" w:themeFill="background1" w:themeFillShade="D9"/>
            <w:hideMark/>
          </w:tcPr>
          <w:p w:rsidRPr="002D2A8F" w:rsidR="00DE4501" w:rsidRDefault="00DE4501" w14:paraId="3E1C8025" w14:textId="0A77CA73">
            <w:pPr>
              <w:adjustRightInd w:val="0"/>
              <w:spacing w:after="0"/>
              <w:ind w:left="450" w:hanging="450"/>
              <w:jc w:val="center"/>
              <w:textAlignment w:val="baseline"/>
              <w:rPr>
                <w:rFonts w:ascii="Arial" w:hAnsi="Arial" w:eastAsia="Times New Roman" w:cs="Arial"/>
                <w:b/>
                <w:sz w:val="20"/>
                <w:szCs w:val="20"/>
              </w:rPr>
            </w:pPr>
            <w:r w:rsidRPr="002D2A8F">
              <w:rPr>
                <w:rFonts w:ascii="Arial" w:hAnsi="Arial" w:eastAsia="Times New Roman" w:cs="Arial"/>
                <w:b/>
                <w:sz w:val="20"/>
                <w:szCs w:val="20"/>
              </w:rPr>
              <w:t xml:space="preserve">Table </w:t>
            </w:r>
            <w:r w:rsidRPr="002D2A8F" w:rsidR="008D677B">
              <w:rPr>
                <w:rFonts w:ascii="Arial" w:hAnsi="Arial" w:eastAsia="Times New Roman" w:cs="Arial"/>
                <w:b/>
                <w:sz w:val="20"/>
                <w:szCs w:val="20"/>
              </w:rPr>
              <w:t>C-</w:t>
            </w:r>
            <w:r w:rsidRPr="002D2A8F" w:rsidR="00C10882">
              <w:rPr>
                <w:rFonts w:ascii="Arial" w:hAnsi="Arial" w:eastAsia="Times New Roman" w:cs="Arial"/>
                <w:b/>
                <w:sz w:val="20"/>
                <w:szCs w:val="20"/>
              </w:rPr>
              <w:t>2</w:t>
            </w:r>
          </w:p>
          <w:p w:rsidRPr="002D2A8F" w:rsidR="00DE4501" w:rsidRDefault="00DE4501" w14:paraId="666CD997" w14:textId="62023A75">
            <w:pPr>
              <w:adjustRightInd w:val="0"/>
              <w:spacing w:after="0"/>
              <w:ind w:left="450" w:hanging="450"/>
              <w:jc w:val="center"/>
              <w:textAlignment w:val="baseline"/>
              <w:rPr>
                <w:rFonts w:ascii="Arial" w:hAnsi="Arial" w:eastAsia="Times New Roman" w:cs="Arial"/>
                <w:b/>
                <w:sz w:val="20"/>
                <w:szCs w:val="20"/>
              </w:rPr>
            </w:pPr>
            <w:r w:rsidRPr="002D2A8F">
              <w:rPr>
                <w:rFonts w:ascii="Arial" w:hAnsi="Arial" w:eastAsia="Times New Roman" w:cs="Arial"/>
                <w:b/>
                <w:sz w:val="20"/>
                <w:szCs w:val="20"/>
              </w:rPr>
              <w:t>Monthly Value Factor (MVF)</w:t>
            </w:r>
          </w:p>
        </w:tc>
      </w:tr>
      <w:tr w:rsidRPr="002D2A8F" w:rsidR="00DE4501" w14:paraId="127B18DD" w14:textId="77777777">
        <w:tc>
          <w:tcPr>
            <w:tcW w:w="1440" w:type="dxa"/>
            <w:tcBorders>
              <w:top w:val="single" w:color="auto" w:sz="6" w:space="0"/>
              <w:left w:val="single" w:color="auto" w:sz="6" w:space="0"/>
              <w:bottom w:val="single" w:color="auto" w:sz="6" w:space="0"/>
              <w:right w:val="single" w:color="auto" w:sz="6" w:space="0"/>
            </w:tcBorders>
            <w:shd w:val="clear" w:color="auto" w:fill="F2F2F2" w:themeFill="background1" w:themeFillShade="F2"/>
            <w:hideMark/>
          </w:tcPr>
          <w:p w:rsidRPr="002D2A8F" w:rsidR="00DE4501" w:rsidRDefault="00DE4501" w14:paraId="6C6A3376" w14:textId="77777777">
            <w:pPr>
              <w:adjustRightInd w:val="0"/>
              <w:spacing w:after="0"/>
              <w:jc w:val="center"/>
              <w:textAlignment w:val="baseline"/>
              <w:rPr>
                <w:rFonts w:ascii="Arial" w:hAnsi="Arial" w:eastAsia="Times New Roman" w:cs="Arial"/>
                <w:b/>
                <w:sz w:val="20"/>
                <w:szCs w:val="20"/>
              </w:rPr>
            </w:pPr>
            <w:r w:rsidRPr="002D2A8F">
              <w:rPr>
                <w:rFonts w:ascii="Arial" w:hAnsi="Arial" w:eastAsia="Times New Roman" w:cs="Arial"/>
                <w:b/>
                <w:sz w:val="20"/>
                <w:szCs w:val="20"/>
              </w:rPr>
              <w:t>Month</w:t>
            </w:r>
          </w:p>
        </w:tc>
        <w:tc>
          <w:tcPr>
            <w:tcW w:w="3960" w:type="dxa"/>
            <w:tcBorders>
              <w:top w:val="single" w:color="auto" w:sz="6" w:space="0"/>
              <w:left w:val="single" w:color="auto" w:sz="6" w:space="0"/>
              <w:bottom w:val="single" w:color="auto" w:sz="6" w:space="0"/>
              <w:right w:val="single" w:color="auto" w:sz="6" w:space="0"/>
            </w:tcBorders>
            <w:shd w:val="clear" w:color="auto" w:fill="F2F2F2" w:themeFill="background1" w:themeFillShade="F2"/>
            <w:hideMark/>
          </w:tcPr>
          <w:p w:rsidRPr="002D2A8F" w:rsidR="00DE4501" w:rsidRDefault="00DE4501" w14:paraId="41451673" w14:textId="77777777">
            <w:pPr>
              <w:adjustRightInd w:val="0"/>
              <w:spacing w:after="0"/>
              <w:jc w:val="center"/>
              <w:textAlignment w:val="baseline"/>
              <w:rPr>
                <w:rFonts w:ascii="Arial" w:hAnsi="Arial" w:eastAsia="Times New Roman" w:cs="Arial"/>
                <w:b/>
                <w:sz w:val="20"/>
                <w:szCs w:val="20"/>
              </w:rPr>
            </w:pPr>
            <w:r w:rsidRPr="002D2A8F">
              <w:rPr>
                <w:rFonts w:ascii="Arial" w:hAnsi="Arial" w:eastAsia="Times New Roman" w:cs="Arial"/>
                <w:b/>
                <w:sz w:val="20"/>
                <w:szCs w:val="20"/>
              </w:rPr>
              <w:t>MVF</w:t>
            </w:r>
          </w:p>
        </w:tc>
      </w:tr>
      <w:tr w:rsidRPr="002D2A8F" w:rsidR="00FB635E" w14:paraId="0FB16AAB" w14:textId="77777777">
        <w:tc>
          <w:tcPr>
            <w:tcW w:w="1440" w:type="dxa"/>
            <w:tcBorders>
              <w:top w:val="single" w:color="auto" w:sz="6" w:space="0"/>
              <w:left w:val="single" w:color="auto" w:sz="6" w:space="0"/>
              <w:bottom w:val="single" w:color="auto" w:sz="6" w:space="0"/>
              <w:right w:val="single" w:color="auto" w:sz="6" w:space="0"/>
            </w:tcBorders>
            <w:shd w:val="clear" w:color="auto" w:fill="F2F2F2" w:themeFill="background1" w:themeFillShade="F2"/>
          </w:tcPr>
          <w:p w:rsidRPr="00E8729E" w:rsidR="00FB635E" w:rsidP="00FB635E" w:rsidRDefault="00FB635E" w14:paraId="20D0D6A1" w14:textId="4EBA13F1">
            <w:pPr>
              <w:pStyle w:val="Subtitle-Bold"/>
              <w:adjustRightInd w:val="0"/>
              <w:spacing w:before="0" w:after="0" w:line="276" w:lineRule="auto"/>
              <w:textAlignment w:val="baseline"/>
              <w:rPr>
                <w:rFonts w:eastAsia="Times New Roman" w:cs="Arial"/>
                <w:bCs w:val="0"/>
              </w:rPr>
            </w:pPr>
            <w:r w:rsidRPr="00E8729E">
              <w:rPr>
                <w:rFonts w:eastAsia="Times New Roman" w:cs="Arial"/>
                <w:bCs w:val="0"/>
              </w:rPr>
              <w:t>December</w:t>
            </w:r>
          </w:p>
        </w:tc>
        <w:tc>
          <w:tcPr>
            <w:tcW w:w="3960" w:type="dxa"/>
            <w:tcBorders>
              <w:top w:val="single" w:color="auto" w:sz="6" w:space="0"/>
              <w:left w:val="single" w:color="auto" w:sz="6" w:space="0"/>
              <w:bottom w:val="single" w:color="auto" w:sz="6" w:space="0"/>
              <w:right w:val="single" w:color="auto" w:sz="6" w:space="0"/>
            </w:tcBorders>
            <w:shd w:val="clear" w:color="auto" w:fill="F2F2F2" w:themeFill="background1" w:themeFillShade="F2"/>
          </w:tcPr>
          <w:p w:rsidRPr="002D2A8F" w:rsidR="00FB635E" w:rsidP="00FB635E" w:rsidRDefault="00FB635E" w14:paraId="06C6B243" w14:textId="293AC7D5">
            <w:pPr>
              <w:adjustRightInd w:val="0"/>
              <w:spacing w:after="0"/>
              <w:jc w:val="center"/>
              <w:textAlignment w:val="baseline"/>
              <w:rPr>
                <w:rFonts w:ascii="Arial" w:hAnsi="Arial" w:eastAsia="Times New Roman" w:cs="Arial"/>
                <w:b/>
                <w:sz w:val="20"/>
                <w:szCs w:val="20"/>
              </w:rPr>
            </w:pPr>
            <w:r>
              <w:rPr>
                <w:rFonts w:ascii="Arial" w:hAnsi="Arial" w:eastAsia="Times New Roman" w:cs="Arial"/>
                <w:sz w:val="20"/>
                <w:szCs w:val="20"/>
              </w:rPr>
              <w:t>0.10</w:t>
            </w:r>
          </w:p>
        </w:tc>
      </w:tr>
      <w:tr w:rsidRPr="002D2A8F" w:rsidR="00FB635E" w:rsidTr="00FB635E" w14:paraId="53FFFBE1" w14:textId="77777777">
        <w:tc>
          <w:tcPr>
            <w:tcW w:w="1440" w:type="dxa"/>
            <w:tcBorders>
              <w:top w:val="single" w:color="auto" w:sz="6" w:space="0"/>
              <w:left w:val="single" w:color="auto" w:sz="6" w:space="0"/>
              <w:bottom w:val="single" w:color="auto" w:sz="6" w:space="0"/>
              <w:right w:val="single" w:color="auto" w:sz="6" w:space="0"/>
            </w:tcBorders>
            <w:hideMark/>
          </w:tcPr>
          <w:p w:rsidRPr="002D2A8F" w:rsidR="00FB635E" w:rsidP="00FB635E" w:rsidRDefault="00FB635E" w14:paraId="17759D05" w14:textId="77777777">
            <w:pPr>
              <w:adjustRightInd w:val="0"/>
              <w:spacing w:after="0"/>
              <w:jc w:val="center"/>
              <w:textAlignment w:val="baseline"/>
              <w:rPr>
                <w:rFonts w:ascii="Arial" w:hAnsi="Arial" w:eastAsia="Times New Roman" w:cs="Arial"/>
                <w:b/>
                <w:sz w:val="20"/>
                <w:szCs w:val="20"/>
              </w:rPr>
            </w:pPr>
            <w:r w:rsidRPr="002D2A8F">
              <w:rPr>
                <w:rFonts w:ascii="Arial" w:hAnsi="Arial" w:eastAsia="Times New Roman" w:cs="Arial"/>
                <w:b/>
                <w:sz w:val="20"/>
                <w:szCs w:val="20"/>
              </w:rPr>
              <w:t>January</w:t>
            </w:r>
          </w:p>
        </w:tc>
        <w:tc>
          <w:tcPr>
            <w:tcW w:w="3960" w:type="dxa"/>
            <w:tcBorders>
              <w:top w:val="single" w:color="auto" w:sz="6" w:space="0"/>
              <w:left w:val="single" w:color="auto" w:sz="6" w:space="0"/>
              <w:bottom w:val="single" w:color="auto" w:sz="6" w:space="0"/>
              <w:right w:val="single" w:color="auto" w:sz="6" w:space="0"/>
            </w:tcBorders>
          </w:tcPr>
          <w:p w:rsidRPr="002D2A8F" w:rsidR="00FB635E" w:rsidP="00FB635E" w:rsidRDefault="00FB635E" w14:paraId="16158E47" w14:textId="160657C1">
            <w:pPr>
              <w:adjustRightInd w:val="0"/>
              <w:spacing w:after="0"/>
              <w:jc w:val="center"/>
              <w:textAlignment w:val="baseline"/>
              <w:rPr>
                <w:rFonts w:ascii="Arial" w:hAnsi="Arial" w:eastAsia="Times New Roman" w:cs="Arial"/>
                <w:sz w:val="20"/>
                <w:szCs w:val="20"/>
              </w:rPr>
            </w:pPr>
            <w:r>
              <w:rPr>
                <w:rFonts w:ascii="Arial" w:hAnsi="Arial" w:eastAsia="Times New Roman" w:cs="Arial"/>
                <w:sz w:val="20"/>
                <w:szCs w:val="20"/>
              </w:rPr>
              <w:t>0.25</w:t>
            </w:r>
          </w:p>
        </w:tc>
      </w:tr>
      <w:tr w:rsidRPr="002D2A8F" w:rsidR="00FB635E" w:rsidTr="00FB635E" w14:paraId="3A8ADD7D" w14:textId="77777777">
        <w:tc>
          <w:tcPr>
            <w:tcW w:w="1440" w:type="dxa"/>
            <w:tcBorders>
              <w:top w:val="single" w:color="auto" w:sz="6" w:space="0"/>
              <w:left w:val="single" w:color="auto" w:sz="6" w:space="0"/>
              <w:bottom w:val="single" w:color="auto" w:sz="6" w:space="0"/>
              <w:right w:val="single" w:color="auto" w:sz="6" w:space="0"/>
            </w:tcBorders>
            <w:hideMark/>
          </w:tcPr>
          <w:p w:rsidRPr="002D2A8F" w:rsidR="00FB635E" w:rsidP="00FB635E" w:rsidRDefault="00FB635E" w14:paraId="1E6EC886" w14:textId="77777777">
            <w:pPr>
              <w:adjustRightInd w:val="0"/>
              <w:spacing w:after="0"/>
              <w:jc w:val="center"/>
              <w:textAlignment w:val="baseline"/>
              <w:rPr>
                <w:rFonts w:ascii="Arial" w:hAnsi="Arial" w:eastAsia="Times New Roman" w:cs="Arial"/>
                <w:b/>
                <w:sz w:val="20"/>
                <w:szCs w:val="20"/>
              </w:rPr>
            </w:pPr>
            <w:r w:rsidRPr="002D2A8F">
              <w:rPr>
                <w:rFonts w:ascii="Arial" w:hAnsi="Arial" w:eastAsia="Times New Roman" w:cs="Arial"/>
                <w:b/>
                <w:sz w:val="20"/>
                <w:szCs w:val="20"/>
              </w:rPr>
              <w:t>February</w:t>
            </w:r>
          </w:p>
        </w:tc>
        <w:tc>
          <w:tcPr>
            <w:tcW w:w="3960" w:type="dxa"/>
            <w:tcBorders>
              <w:top w:val="single" w:color="auto" w:sz="6" w:space="0"/>
              <w:left w:val="single" w:color="auto" w:sz="6" w:space="0"/>
              <w:bottom w:val="single" w:color="auto" w:sz="6" w:space="0"/>
              <w:right w:val="single" w:color="auto" w:sz="6" w:space="0"/>
            </w:tcBorders>
          </w:tcPr>
          <w:p w:rsidRPr="002D2A8F" w:rsidR="00FB635E" w:rsidP="00FB635E" w:rsidRDefault="00FB635E" w14:paraId="1B0F71BB" w14:textId="0C613E0A">
            <w:pPr>
              <w:adjustRightInd w:val="0"/>
              <w:spacing w:after="0"/>
              <w:jc w:val="center"/>
              <w:textAlignment w:val="baseline"/>
              <w:rPr>
                <w:rFonts w:ascii="Arial" w:hAnsi="Arial" w:eastAsia="Times New Roman" w:cs="Arial"/>
                <w:sz w:val="20"/>
                <w:szCs w:val="20"/>
              </w:rPr>
            </w:pPr>
            <w:r>
              <w:rPr>
                <w:rFonts w:ascii="Arial" w:hAnsi="Arial" w:eastAsia="Times New Roman" w:cs="Arial"/>
                <w:sz w:val="20"/>
                <w:szCs w:val="20"/>
              </w:rPr>
              <w:t>0.10</w:t>
            </w:r>
          </w:p>
        </w:tc>
      </w:tr>
      <w:tr w:rsidRPr="002D2A8F" w:rsidR="00FB635E" w:rsidTr="00FB635E" w14:paraId="5240A22D" w14:textId="77777777">
        <w:tc>
          <w:tcPr>
            <w:tcW w:w="1440" w:type="dxa"/>
            <w:tcBorders>
              <w:top w:val="single" w:color="auto" w:sz="6" w:space="0"/>
              <w:left w:val="single" w:color="auto" w:sz="6" w:space="0"/>
              <w:bottom w:val="single" w:color="auto" w:sz="6" w:space="0"/>
              <w:right w:val="single" w:color="auto" w:sz="6" w:space="0"/>
            </w:tcBorders>
            <w:hideMark/>
          </w:tcPr>
          <w:p w:rsidRPr="002D2A8F" w:rsidR="00FB635E" w:rsidP="00FB635E" w:rsidRDefault="00FB635E" w14:paraId="7C5FD3FB" w14:textId="77777777">
            <w:pPr>
              <w:adjustRightInd w:val="0"/>
              <w:spacing w:after="0"/>
              <w:jc w:val="center"/>
              <w:textAlignment w:val="baseline"/>
              <w:rPr>
                <w:rFonts w:ascii="Arial" w:hAnsi="Arial" w:eastAsia="Times New Roman" w:cs="Arial"/>
                <w:b/>
                <w:sz w:val="20"/>
                <w:szCs w:val="20"/>
              </w:rPr>
            </w:pPr>
            <w:r w:rsidRPr="002D2A8F">
              <w:rPr>
                <w:rFonts w:ascii="Arial" w:hAnsi="Arial" w:eastAsia="Times New Roman" w:cs="Arial"/>
                <w:b/>
                <w:sz w:val="20"/>
                <w:szCs w:val="20"/>
              </w:rPr>
              <w:t>March</w:t>
            </w:r>
          </w:p>
        </w:tc>
        <w:tc>
          <w:tcPr>
            <w:tcW w:w="3960" w:type="dxa"/>
            <w:tcBorders>
              <w:top w:val="single" w:color="auto" w:sz="6" w:space="0"/>
              <w:left w:val="single" w:color="auto" w:sz="6" w:space="0"/>
              <w:bottom w:val="single" w:color="auto" w:sz="6" w:space="0"/>
              <w:right w:val="single" w:color="auto" w:sz="6" w:space="0"/>
            </w:tcBorders>
          </w:tcPr>
          <w:p w:rsidRPr="002D2A8F" w:rsidR="00FB635E" w:rsidP="00FB635E" w:rsidRDefault="00FB635E" w14:paraId="035440A5" w14:textId="0995BE95">
            <w:pPr>
              <w:adjustRightInd w:val="0"/>
              <w:spacing w:after="0"/>
              <w:jc w:val="center"/>
              <w:textAlignment w:val="baseline"/>
              <w:rPr>
                <w:rFonts w:ascii="Arial" w:hAnsi="Arial" w:eastAsia="Times New Roman" w:cs="Arial"/>
                <w:sz w:val="20"/>
                <w:szCs w:val="20"/>
              </w:rPr>
            </w:pPr>
            <w:r>
              <w:rPr>
                <w:rFonts w:ascii="Arial" w:hAnsi="Arial" w:eastAsia="Times New Roman" w:cs="Arial"/>
                <w:sz w:val="20"/>
                <w:szCs w:val="20"/>
              </w:rPr>
              <w:t>0.05</w:t>
            </w:r>
          </w:p>
        </w:tc>
      </w:tr>
      <w:tr w:rsidRPr="002D2A8F" w:rsidR="00FB635E" w:rsidTr="00FB635E" w14:paraId="00D8B093" w14:textId="77777777">
        <w:tc>
          <w:tcPr>
            <w:tcW w:w="1440" w:type="dxa"/>
            <w:tcBorders>
              <w:top w:val="single" w:color="auto" w:sz="6" w:space="0"/>
              <w:left w:val="single" w:color="auto" w:sz="6" w:space="0"/>
              <w:bottom w:val="single" w:color="auto" w:sz="6" w:space="0"/>
              <w:right w:val="single" w:color="auto" w:sz="6" w:space="0"/>
            </w:tcBorders>
            <w:hideMark/>
          </w:tcPr>
          <w:p w:rsidRPr="002D2A8F" w:rsidR="00FB635E" w:rsidP="00FB635E" w:rsidRDefault="00FB635E" w14:paraId="149A86F2" w14:textId="77777777">
            <w:pPr>
              <w:adjustRightInd w:val="0"/>
              <w:spacing w:after="0"/>
              <w:jc w:val="center"/>
              <w:textAlignment w:val="baseline"/>
              <w:rPr>
                <w:rFonts w:ascii="Arial" w:hAnsi="Arial" w:eastAsia="Times New Roman" w:cs="Arial"/>
                <w:b/>
                <w:sz w:val="20"/>
                <w:szCs w:val="20"/>
              </w:rPr>
            </w:pPr>
            <w:r w:rsidRPr="002D2A8F">
              <w:rPr>
                <w:rFonts w:ascii="Arial" w:hAnsi="Arial" w:eastAsia="Times New Roman" w:cs="Arial"/>
                <w:b/>
                <w:sz w:val="20"/>
                <w:szCs w:val="20"/>
              </w:rPr>
              <w:t>April</w:t>
            </w:r>
          </w:p>
        </w:tc>
        <w:tc>
          <w:tcPr>
            <w:tcW w:w="3960" w:type="dxa"/>
            <w:tcBorders>
              <w:top w:val="single" w:color="auto" w:sz="6" w:space="0"/>
              <w:left w:val="single" w:color="auto" w:sz="6" w:space="0"/>
              <w:bottom w:val="single" w:color="auto" w:sz="6" w:space="0"/>
              <w:right w:val="single" w:color="auto" w:sz="6" w:space="0"/>
            </w:tcBorders>
          </w:tcPr>
          <w:p w:rsidRPr="002D2A8F" w:rsidR="00FB635E" w:rsidP="00FB635E" w:rsidRDefault="00FB635E" w14:paraId="0737C04B" w14:textId="50BD0F67">
            <w:pPr>
              <w:adjustRightInd w:val="0"/>
              <w:spacing w:after="0"/>
              <w:jc w:val="center"/>
              <w:textAlignment w:val="baseline"/>
              <w:rPr>
                <w:rFonts w:ascii="Arial" w:hAnsi="Arial" w:eastAsia="Times New Roman" w:cs="Arial"/>
                <w:sz w:val="20"/>
                <w:szCs w:val="20"/>
              </w:rPr>
            </w:pPr>
            <w:r>
              <w:rPr>
                <w:rFonts w:ascii="Arial" w:hAnsi="Arial" w:eastAsia="Times New Roman" w:cs="Arial"/>
                <w:sz w:val="20"/>
                <w:szCs w:val="20"/>
              </w:rPr>
              <w:t>0.05</w:t>
            </w:r>
          </w:p>
        </w:tc>
      </w:tr>
      <w:tr w:rsidRPr="002D2A8F" w:rsidR="00FB635E" w:rsidTr="00FB635E" w14:paraId="725BA24E" w14:textId="77777777">
        <w:tc>
          <w:tcPr>
            <w:tcW w:w="1440" w:type="dxa"/>
            <w:tcBorders>
              <w:top w:val="single" w:color="auto" w:sz="6" w:space="0"/>
              <w:left w:val="single" w:color="auto" w:sz="6" w:space="0"/>
              <w:bottom w:val="single" w:color="auto" w:sz="6" w:space="0"/>
              <w:right w:val="single" w:color="auto" w:sz="6" w:space="0"/>
            </w:tcBorders>
            <w:hideMark/>
          </w:tcPr>
          <w:p w:rsidRPr="002D2A8F" w:rsidR="00FB635E" w:rsidP="00FB635E" w:rsidRDefault="00FB635E" w14:paraId="13FABB24" w14:textId="77777777">
            <w:pPr>
              <w:adjustRightInd w:val="0"/>
              <w:spacing w:after="0"/>
              <w:jc w:val="center"/>
              <w:textAlignment w:val="baseline"/>
              <w:rPr>
                <w:rFonts w:ascii="Arial" w:hAnsi="Arial" w:eastAsia="Times New Roman" w:cs="Arial"/>
                <w:b/>
                <w:sz w:val="20"/>
                <w:szCs w:val="20"/>
              </w:rPr>
            </w:pPr>
            <w:r w:rsidRPr="002D2A8F">
              <w:rPr>
                <w:rFonts w:ascii="Arial" w:hAnsi="Arial" w:eastAsia="Times New Roman" w:cs="Arial"/>
                <w:b/>
                <w:sz w:val="20"/>
                <w:szCs w:val="20"/>
              </w:rPr>
              <w:t>May</w:t>
            </w:r>
          </w:p>
        </w:tc>
        <w:tc>
          <w:tcPr>
            <w:tcW w:w="3960" w:type="dxa"/>
            <w:tcBorders>
              <w:top w:val="single" w:color="auto" w:sz="6" w:space="0"/>
              <w:left w:val="single" w:color="auto" w:sz="6" w:space="0"/>
              <w:bottom w:val="single" w:color="auto" w:sz="6" w:space="0"/>
              <w:right w:val="single" w:color="auto" w:sz="6" w:space="0"/>
            </w:tcBorders>
          </w:tcPr>
          <w:p w:rsidRPr="002D2A8F" w:rsidR="00FB635E" w:rsidP="00FB635E" w:rsidRDefault="00FB635E" w14:paraId="14EA0F5A" w14:textId="0004C1E1">
            <w:pPr>
              <w:adjustRightInd w:val="0"/>
              <w:spacing w:after="0"/>
              <w:jc w:val="center"/>
              <w:textAlignment w:val="baseline"/>
              <w:rPr>
                <w:rFonts w:ascii="Arial" w:hAnsi="Arial" w:eastAsia="Times New Roman" w:cs="Arial"/>
                <w:sz w:val="20"/>
                <w:szCs w:val="20"/>
              </w:rPr>
            </w:pPr>
            <w:r>
              <w:rPr>
                <w:rFonts w:ascii="Arial" w:hAnsi="Arial" w:eastAsia="Times New Roman" w:cs="Arial"/>
                <w:sz w:val="20"/>
                <w:szCs w:val="20"/>
              </w:rPr>
              <w:t>0.05</w:t>
            </w:r>
          </w:p>
        </w:tc>
      </w:tr>
      <w:tr w:rsidRPr="002D2A8F" w:rsidR="00FB635E" w:rsidTr="00FB635E" w14:paraId="50CC80EF" w14:textId="77777777">
        <w:tc>
          <w:tcPr>
            <w:tcW w:w="1440" w:type="dxa"/>
            <w:tcBorders>
              <w:top w:val="single" w:color="auto" w:sz="6" w:space="0"/>
              <w:left w:val="single" w:color="auto" w:sz="6" w:space="0"/>
              <w:bottom w:val="single" w:color="auto" w:sz="6" w:space="0"/>
              <w:right w:val="single" w:color="auto" w:sz="6" w:space="0"/>
            </w:tcBorders>
            <w:hideMark/>
          </w:tcPr>
          <w:p w:rsidRPr="002D2A8F" w:rsidR="00FB635E" w:rsidP="00FB635E" w:rsidRDefault="00FB635E" w14:paraId="406E9225" w14:textId="77777777">
            <w:pPr>
              <w:adjustRightInd w:val="0"/>
              <w:spacing w:after="0"/>
              <w:jc w:val="center"/>
              <w:textAlignment w:val="baseline"/>
              <w:rPr>
                <w:rFonts w:ascii="Arial" w:hAnsi="Arial" w:eastAsia="Times New Roman" w:cs="Arial"/>
                <w:b/>
                <w:sz w:val="20"/>
                <w:szCs w:val="20"/>
              </w:rPr>
            </w:pPr>
            <w:r w:rsidRPr="002D2A8F">
              <w:rPr>
                <w:rFonts w:ascii="Arial" w:hAnsi="Arial" w:eastAsia="Times New Roman" w:cs="Arial"/>
                <w:b/>
                <w:sz w:val="20"/>
                <w:szCs w:val="20"/>
              </w:rPr>
              <w:t>June</w:t>
            </w:r>
          </w:p>
        </w:tc>
        <w:tc>
          <w:tcPr>
            <w:tcW w:w="3960" w:type="dxa"/>
            <w:tcBorders>
              <w:top w:val="single" w:color="auto" w:sz="6" w:space="0"/>
              <w:left w:val="single" w:color="auto" w:sz="6" w:space="0"/>
              <w:bottom w:val="single" w:color="auto" w:sz="6" w:space="0"/>
              <w:right w:val="single" w:color="auto" w:sz="6" w:space="0"/>
            </w:tcBorders>
          </w:tcPr>
          <w:p w:rsidRPr="002D2A8F" w:rsidR="00FB635E" w:rsidP="00FB635E" w:rsidRDefault="00FB635E" w14:paraId="6CE964CA" w14:textId="518E97F3">
            <w:pPr>
              <w:adjustRightInd w:val="0"/>
              <w:spacing w:after="0"/>
              <w:jc w:val="center"/>
              <w:textAlignment w:val="baseline"/>
              <w:rPr>
                <w:rFonts w:ascii="Arial" w:hAnsi="Arial" w:eastAsia="Times New Roman" w:cs="Arial"/>
                <w:sz w:val="20"/>
                <w:szCs w:val="20"/>
              </w:rPr>
            </w:pPr>
            <w:r>
              <w:rPr>
                <w:rFonts w:ascii="Arial" w:hAnsi="Arial" w:eastAsia="Times New Roman" w:cs="Arial"/>
                <w:sz w:val="20"/>
                <w:szCs w:val="20"/>
              </w:rPr>
              <w:t>0.05</w:t>
            </w:r>
          </w:p>
        </w:tc>
      </w:tr>
      <w:tr w:rsidRPr="002D2A8F" w:rsidR="00FB635E" w:rsidTr="00FB635E" w14:paraId="00452C9B" w14:textId="77777777">
        <w:tc>
          <w:tcPr>
            <w:tcW w:w="1440" w:type="dxa"/>
            <w:tcBorders>
              <w:top w:val="single" w:color="auto" w:sz="6" w:space="0"/>
              <w:left w:val="single" w:color="auto" w:sz="6" w:space="0"/>
              <w:bottom w:val="single" w:color="auto" w:sz="6" w:space="0"/>
              <w:right w:val="single" w:color="auto" w:sz="6" w:space="0"/>
            </w:tcBorders>
            <w:hideMark/>
          </w:tcPr>
          <w:p w:rsidRPr="002D2A8F" w:rsidR="00FB635E" w:rsidP="00FB635E" w:rsidRDefault="00FB635E" w14:paraId="507B2BDD" w14:textId="77777777">
            <w:pPr>
              <w:adjustRightInd w:val="0"/>
              <w:spacing w:after="0"/>
              <w:jc w:val="center"/>
              <w:textAlignment w:val="baseline"/>
              <w:rPr>
                <w:rFonts w:ascii="Arial" w:hAnsi="Arial" w:eastAsia="Times New Roman" w:cs="Arial"/>
                <w:b/>
                <w:sz w:val="20"/>
                <w:szCs w:val="20"/>
              </w:rPr>
            </w:pPr>
            <w:r w:rsidRPr="002D2A8F">
              <w:rPr>
                <w:rFonts w:ascii="Arial" w:hAnsi="Arial" w:eastAsia="Times New Roman" w:cs="Arial"/>
                <w:b/>
                <w:sz w:val="20"/>
                <w:szCs w:val="20"/>
              </w:rPr>
              <w:t>July</w:t>
            </w:r>
          </w:p>
        </w:tc>
        <w:tc>
          <w:tcPr>
            <w:tcW w:w="3960" w:type="dxa"/>
            <w:tcBorders>
              <w:top w:val="single" w:color="auto" w:sz="6" w:space="0"/>
              <w:left w:val="single" w:color="auto" w:sz="6" w:space="0"/>
              <w:bottom w:val="single" w:color="auto" w:sz="6" w:space="0"/>
              <w:right w:val="single" w:color="auto" w:sz="6" w:space="0"/>
            </w:tcBorders>
          </w:tcPr>
          <w:p w:rsidRPr="002D2A8F" w:rsidR="00FB635E" w:rsidP="00FB635E" w:rsidRDefault="00FB635E" w14:paraId="204E8B5D" w14:textId="66681C7E">
            <w:pPr>
              <w:adjustRightInd w:val="0"/>
              <w:spacing w:after="0"/>
              <w:jc w:val="center"/>
              <w:textAlignment w:val="baseline"/>
              <w:rPr>
                <w:rFonts w:ascii="Arial" w:hAnsi="Arial" w:eastAsia="Times New Roman" w:cs="Arial"/>
                <w:sz w:val="20"/>
                <w:szCs w:val="20"/>
              </w:rPr>
            </w:pPr>
            <w:r>
              <w:rPr>
                <w:rFonts w:ascii="Arial" w:hAnsi="Arial" w:eastAsia="Times New Roman" w:cs="Arial"/>
                <w:sz w:val="20"/>
                <w:szCs w:val="20"/>
              </w:rPr>
              <w:t>0.10</w:t>
            </w:r>
          </w:p>
        </w:tc>
      </w:tr>
      <w:tr w:rsidRPr="002D2A8F" w:rsidR="00FB635E" w:rsidTr="00FB635E" w14:paraId="02A7895B" w14:textId="77777777">
        <w:tc>
          <w:tcPr>
            <w:tcW w:w="1440" w:type="dxa"/>
            <w:tcBorders>
              <w:top w:val="single" w:color="auto" w:sz="6" w:space="0"/>
              <w:left w:val="single" w:color="auto" w:sz="6" w:space="0"/>
              <w:bottom w:val="single" w:color="auto" w:sz="6" w:space="0"/>
              <w:right w:val="single" w:color="auto" w:sz="6" w:space="0"/>
            </w:tcBorders>
            <w:hideMark/>
          </w:tcPr>
          <w:p w:rsidRPr="002D2A8F" w:rsidR="00FB635E" w:rsidP="00FB635E" w:rsidRDefault="00FB635E" w14:paraId="78CCE429" w14:textId="77777777">
            <w:pPr>
              <w:adjustRightInd w:val="0"/>
              <w:spacing w:after="0"/>
              <w:jc w:val="center"/>
              <w:textAlignment w:val="baseline"/>
              <w:rPr>
                <w:rFonts w:ascii="Arial" w:hAnsi="Arial" w:eastAsia="Times New Roman" w:cs="Arial"/>
                <w:b/>
                <w:sz w:val="20"/>
                <w:szCs w:val="20"/>
              </w:rPr>
            </w:pPr>
            <w:r w:rsidRPr="002D2A8F">
              <w:rPr>
                <w:rFonts w:ascii="Arial" w:hAnsi="Arial" w:eastAsia="Times New Roman" w:cs="Arial"/>
                <w:b/>
                <w:sz w:val="20"/>
                <w:szCs w:val="20"/>
              </w:rPr>
              <w:t>August</w:t>
            </w:r>
          </w:p>
        </w:tc>
        <w:tc>
          <w:tcPr>
            <w:tcW w:w="3960" w:type="dxa"/>
            <w:tcBorders>
              <w:top w:val="single" w:color="auto" w:sz="6" w:space="0"/>
              <w:left w:val="single" w:color="auto" w:sz="6" w:space="0"/>
              <w:bottom w:val="single" w:color="auto" w:sz="6" w:space="0"/>
              <w:right w:val="single" w:color="auto" w:sz="6" w:space="0"/>
            </w:tcBorders>
          </w:tcPr>
          <w:p w:rsidRPr="002D2A8F" w:rsidR="00FB635E" w:rsidP="00FB635E" w:rsidRDefault="00FB635E" w14:paraId="6759FF64" w14:textId="431A05F5">
            <w:pPr>
              <w:adjustRightInd w:val="0"/>
              <w:spacing w:after="0"/>
              <w:jc w:val="center"/>
              <w:textAlignment w:val="baseline"/>
              <w:rPr>
                <w:rFonts w:ascii="Arial" w:hAnsi="Arial" w:eastAsia="Times New Roman" w:cs="Arial"/>
                <w:sz w:val="20"/>
                <w:szCs w:val="20"/>
              </w:rPr>
            </w:pPr>
            <w:r>
              <w:rPr>
                <w:rFonts w:ascii="Arial" w:hAnsi="Arial" w:eastAsia="Times New Roman" w:cs="Arial"/>
                <w:sz w:val="20"/>
                <w:szCs w:val="20"/>
              </w:rPr>
              <w:t>0.10</w:t>
            </w:r>
          </w:p>
        </w:tc>
      </w:tr>
      <w:tr w:rsidRPr="002D2A8F" w:rsidR="00FB635E" w:rsidTr="00FB635E" w14:paraId="64F0F43D" w14:textId="77777777">
        <w:tc>
          <w:tcPr>
            <w:tcW w:w="1440" w:type="dxa"/>
            <w:tcBorders>
              <w:top w:val="single" w:color="auto" w:sz="6" w:space="0"/>
              <w:left w:val="single" w:color="auto" w:sz="6" w:space="0"/>
              <w:bottom w:val="single" w:color="auto" w:sz="6" w:space="0"/>
              <w:right w:val="single" w:color="auto" w:sz="6" w:space="0"/>
            </w:tcBorders>
            <w:hideMark/>
          </w:tcPr>
          <w:p w:rsidRPr="002D2A8F" w:rsidR="00FB635E" w:rsidP="00FB635E" w:rsidRDefault="00FB635E" w14:paraId="704D1C5B" w14:textId="77777777">
            <w:pPr>
              <w:adjustRightInd w:val="0"/>
              <w:spacing w:after="0"/>
              <w:jc w:val="center"/>
              <w:textAlignment w:val="baseline"/>
              <w:rPr>
                <w:rFonts w:ascii="Arial" w:hAnsi="Arial" w:eastAsia="Times New Roman" w:cs="Arial"/>
                <w:b/>
                <w:sz w:val="20"/>
                <w:szCs w:val="20"/>
              </w:rPr>
            </w:pPr>
            <w:r w:rsidRPr="002D2A8F">
              <w:rPr>
                <w:rFonts w:ascii="Arial" w:hAnsi="Arial" w:eastAsia="Times New Roman" w:cs="Arial"/>
                <w:b/>
                <w:sz w:val="20"/>
                <w:szCs w:val="20"/>
              </w:rPr>
              <w:t>September</w:t>
            </w:r>
          </w:p>
        </w:tc>
        <w:tc>
          <w:tcPr>
            <w:tcW w:w="3960" w:type="dxa"/>
            <w:tcBorders>
              <w:top w:val="single" w:color="auto" w:sz="6" w:space="0"/>
              <w:left w:val="single" w:color="auto" w:sz="6" w:space="0"/>
              <w:bottom w:val="single" w:color="auto" w:sz="6" w:space="0"/>
              <w:right w:val="single" w:color="auto" w:sz="6" w:space="0"/>
            </w:tcBorders>
          </w:tcPr>
          <w:p w:rsidRPr="002D2A8F" w:rsidR="00FB635E" w:rsidP="00FB635E" w:rsidRDefault="00FB635E" w14:paraId="5945C705" w14:textId="58636F54">
            <w:pPr>
              <w:adjustRightInd w:val="0"/>
              <w:spacing w:after="0"/>
              <w:jc w:val="center"/>
              <w:textAlignment w:val="baseline"/>
              <w:rPr>
                <w:rFonts w:ascii="Arial" w:hAnsi="Arial" w:eastAsia="Times New Roman" w:cs="Arial"/>
                <w:sz w:val="20"/>
                <w:szCs w:val="20"/>
              </w:rPr>
            </w:pPr>
            <w:r>
              <w:rPr>
                <w:rFonts w:ascii="Arial" w:hAnsi="Arial" w:eastAsia="Times New Roman" w:cs="Arial"/>
                <w:sz w:val="20"/>
                <w:szCs w:val="20"/>
              </w:rPr>
              <w:t>0.05</w:t>
            </w:r>
          </w:p>
        </w:tc>
      </w:tr>
      <w:tr w:rsidRPr="002D2A8F" w:rsidR="00FB635E" w:rsidTr="00FB635E" w14:paraId="05FE1D10" w14:textId="77777777">
        <w:tc>
          <w:tcPr>
            <w:tcW w:w="1440" w:type="dxa"/>
            <w:tcBorders>
              <w:top w:val="single" w:color="auto" w:sz="6" w:space="0"/>
              <w:left w:val="single" w:color="auto" w:sz="6" w:space="0"/>
              <w:bottom w:val="single" w:color="auto" w:sz="6" w:space="0"/>
              <w:right w:val="single" w:color="auto" w:sz="6" w:space="0"/>
            </w:tcBorders>
            <w:hideMark/>
          </w:tcPr>
          <w:p w:rsidRPr="002D2A8F" w:rsidR="00FB635E" w:rsidP="00FB635E" w:rsidRDefault="00FB635E" w14:paraId="0AD6B7CF" w14:textId="77777777">
            <w:pPr>
              <w:adjustRightInd w:val="0"/>
              <w:spacing w:after="0"/>
              <w:jc w:val="center"/>
              <w:textAlignment w:val="baseline"/>
              <w:rPr>
                <w:rFonts w:ascii="Arial" w:hAnsi="Arial" w:eastAsia="Times New Roman" w:cs="Arial"/>
                <w:b/>
                <w:sz w:val="20"/>
                <w:szCs w:val="20"/>
              </w:rPr>
            </w:pPr>
            <w:r w:rsidRPr="002D2A8F">
              <w:rPr>
                <w:rFonts w:ascii="Arial" w:hAnsi="Arial" w:eastAsia="Times New Roman" w:cs="Arial"/>
                <w:b/>
                <w:sz w:val="20"/>
                <w:szCs w:val="20"/>
              </w:rPr>
              <w:t>October</w:t>
            </w:r>
          </w:p>
        </w:tc>
        <w:tc>
          <w:tcPr>
            <w:tcW w:w="3960" w:type="dxa"/>
            <w:tcBorders>
              <w:top w:val="single" w:color="auto" w:sz="6" w:space="0"/>
              <w:left w:val="single" w:color="auto" w:sz="6" w:space="0"/>
              <w:bottom w:val="single" w:color="auto" w:sz="6" w:space="0"/>
              <w:right w:val="single" w:color="auto" w:sz="6" w:space="0"/>
            </w:tcBorders>
          </w:tcPr>
          <w:p w:rsidRPr="002D2A8F" w:rsidR="00FB635E" w:rsidP="00FB635E" w:rsidRDefault="00FB635E" w14:paraId="6A562609" w14:textId="79B2D5DC">
            <w:pPr>
              <w:adjustRightInd w:val="0"/>
              <w:spacing w:after="0"/>
              <w:jc w:val="center"/>
              <w:textAlignment w:val="baseline"/>
              <w:rPr>
                <w:rFonts w:ascii="Arial" w:hAnsi="Arial" w:eastAsia="Times New Roman" w:cs="Arial"/>
                <w:sz w:val="20"/>
                <w:szCs w:val="20"/>
              </w:rPr>
            </w:pPr>
            <w:r>
              <w:rPr>
                <w:rFonts w:ascii="Arial" w:hAnsi="Arial" w:eastAsia="Times New Roman" w:cs="Arial"/>
                <w:sz w:val="20"/>
                <w:szCs w:val="20"/>
              </w:rPr>
              <w:t>0.05</w:t>
            </w:r>
          </w:p>
        </w:tc>
      </w:tr>
      <w:tr w:rsidRPr="002D2A8F" w:rsidR="00FB635E" w:rsidTr="00FB635E" w14:paraId="6D45FCC7" w14:textId="77777777">
        <w:tc>
          <w:tcPr>
            <w:tcW w:w="1440" w:type="dxa"/>
            <w:tcBorders>
              <w:top w:val="single" w:color="auto" w:sz="6" w:space="0"/>
              <w:left w:val="single" w:color="auto" w:sz="6" w:space="0"/>
              <w:bottom w:val="single" w:color="auto" w:sz="6" w:space="0"/>
              <w:right w:val="single" w:color="auto" w:sz="6" w:space="0"/>
            </w:tcBorders>
            <w:hideMark/>
          </w:tcPr>
          <w:p w:rsidRPr="002D2A8F" w:rsidR="00FB635E" w:rsidP="00FB635E" w:rsidRDefault="00FB635E" w14:paraId="00AD909C" w14:textId="77777777">
            <w:pPr>
              <w:adjustRightInd w:val="0"/>
              <w:spacing w:after="0"/>
              <w:jc w:val="center"/>
              <w:textAlignment w:val="baseline"/>
              <w:rPr>
                <w:rFonts w:ascii="Arial" w:hAnsi="Arial" w:eastAsia="Times New Roman" w:cs="Arial"/>
                <w:b/>
                <w:sz w:val="20"/>
                <w:szCs w:val="20"/>
              </w:rPr>
            </w:pPr>
            <w:r w:rsidRPr="002D2A8F">
              <w:rPr>
                <w:rFonts w:ascii="Arial" w:hAnsi="Arial" w:eastAsia="Times New Roman" w:cs="Arial"/>
                <w:b/>
                <w:sz w:val="20"/>
                <w:szCs w:val="20"/>
              </w:rPr>
              <w:t>November</w:t>
            </w:r>
          </w:p>
        </w:tc>
        <w:tc>
          <w:tcPr>
            <w:tcW w:w="3960" w:type="dxa"/>
            <w:tcBorders>
              <w:top w:val="single" w:color="auto" w:sz="6" w:space="0"/>
              <w:left w:val="single" w:color="auto" w:sz="6" w:space="0"/>
              <w:bottom w:val="single" w:color="auto" w:sz="6" w:space="0"/>
              <w:right w:val="single" w:color="auto" w:sz="6" w:space="0"/>
            </w:tcBorders>
          </w:tcPr>
          <w:p w:rsidRPr="002D2A8F" w:rsidR="00FB635E" w:rsidP="00FB635E" w:rsidRDefault="00FB635E" w14:paraId="1D916114" w14:textId="5CC34BC9">
            <w:pPr>
              <w:adjustRightInd w:val="0"/>
              <w:spacing w:after="0"/>
              <w:jc w:val="center"/>
              <w:textAlignment w:val="baseline"/>
              <w:rPr>
                <w:rFonts w:ascii="Arial" w:hAnsi="Arial" w:eastAsia="Times New Roman" w:cs="Arial"/>
                <w:sz w:val="20"/>
                <w:szCs w:val="20"/>
              </w:rPr>
            </w:pPr>
            <w:r>
              <w:rPr>
                <w:rFonts w:ascii="Arial" w:hAnsi="Arial" w:eastAsia="Times New Roman" w:cs="Arial"/>
                <w:sz w:val="20"/>
                <w:szCs w:val="20"/>
              </w:rPr>
              <w:t>0.05</w:t>
            </w:r>
          </w:p>
        </w:tc>
      </w:tr>
    </w:tbl>
    <w:p w:rsidRPr="003755BD" w:rsidR="00DE4501" w:rsidP="00D94D93" w:rsidRDefault="00DE4501" w14:paraId="135A2918" w14:textId="347ECB63">
      <w:pPr>
        <w:pStyle w:val="zGBody2"/>
        <w:numPr>
          <w:ilvl w:val="1"/>
          <w:numId w:val="57"/>
        </w:numPr>
        <w:rPr>
          <w:vanish/>
          <w:specVanish/>
        </w:rPr>
      </w:pPr>
      <w:bookmarkStart w:name="_Toc158593321" w:id="1084"/>
      <w:bookmarkStart w:name="_Toc158597600" w:id="1085"/>
      <w:r w:rsidRPr="00D94909">
        <w:t xml:space="preserve">No GPC Payment Obligation Before </w:t>
      </w:r>
      <w:r w:rsidR="001319DB">
        <w:t>the Delivery Commencement Date</w:t>
      </w:r>
      <w:r w:rsidRPr="00775128">
        <w:rPr>
          <w:b w:val="0"/>
        </w:rPr>
        <w:t xml:space="preserve">; No GPC Payment or Compensation for Renewable </w:t>
      </w:r>
      <w:r w:rsidR="002201F9">
        <w:rPr>
          <w:b w:val="0"/>
        </w:rPr>
        <w:t>Energy</w:t>
      </w:r>
      <w:r w:rsidRPr="00775128">
        <w:rPr>
          <w:b w:val="0"/>
        </w:rPr>
        <w:t>.</w:t>
      </w:r>
      <w:bookmarkEnd w:id="1084"/>
      <w:bookmarkEnd w:id="1085"/>
      <w:r w:rsidRPr="00775128">
        <w:rPr>
          <w:b w:val="0"/>
        </w:rPr>
        <w:t xml:space="preserve"> </w:t>
      </w:r>
    </w:p>
    <w:p w:rsidRPr="001A408E" w:rsidR="00DE4501" w:rsidP="005A1320" w:rsidRDefault="00DE4501" w14:paraId="04E734F2" w14:textId="3773DC80">
      <w:pPr>
        <w:pStyle w:val="zGNormal6"/>
      </w:pPr>
      <w:r w:rsidRPr="002D2A8F">
        <w:t xml:space="preserve"> GPC will not owe Seller: (i) any payment or other </w:t>
      </w:r>
      <w:r w:rsidRPr="001A408E">
        <w:t>compensation for the capacity of the Facility for any Month before the Delivery Commencement Date even if Seller achieves Commercial Operation of the Facility</w:t>
      </w:r>
      <w:r w:rsidR="006D459A">
        <w:t xml:space="preserve"> more than nine </w:t>
      </w:r>
      <w:r w:rsidR="00221368">
        <w:t>M</w:t>
      </w:r>
      <w:r w:rsidR="006D459A">
        <w:t>onths</w:t>
      </w:r>
      <w:r w:rsidRPr="001A408E">
        <w:t xml:space="preserve"> before the RCOD;</w:t>
      </w:r>
      <w:r w:rsidRPr="001A408E" w:rsidDel="00DB5E11">
        <w:t xml:space="preserve"> </w:t>
      </w:r>
      <w:r w:rsidRPr="001A408E">
        <w:t>or (ii) any separate payment or compensation during the Term for the Renewable Energy.</w:t>
      </w:r>
    </w:p>
    <w:p w:rsidRPr="000954FF" w:rsidR="00A168E3" w:rsidP="00D94D93" w:rsidRDefault="00475765" w14:paraId="47041BCD" w14:textId="473BF547">
      <w:pPr>
        <w:pStyle w:val="zGBody1"/>
        <w:numPr>
          <w:ilvl w:val="0"/>
          <w:numId w:val="58"/>
        </w:numPr>
        <w:spacing w:before="120" w:after="120"/>
      </w:pPr>
      <w:r w:rsidRPr="001A408E">
        <w:t>monthly capacity reductions; Performance Metrics.</w:t>
      </w:r>
    </w:p>
    <w:p w:rsidRPr="001A408E" w:rsidR="0032039D" w:rsidP="00D94D93" w:rsidRDefault="00C40F86" w14:paraId="6A2462E5" w14:textId="5F3F0523">
      <w:pPr>
        <w:pStyle w:val="zGBody2"/>
        <w:numPr>
          <w:ilvl w:val="1"/>
          <w:numId w:val="58"/>
        </w:numPr>
        <w:rPr>
          <w:vanish/>
          <w:specVanish/>
        </w:rPr>
      </w:pPr>
      <w:r w:rsidRPr="001A408E">
        <w:t>Monthly Capacity Reduction.</w:t>
      </w:r>
    </w:p>
    <w:p w:rsidRPr="001A408E" w:rsidR="00201C79" w:rsidP="00261AEB" w:rsidRDefault="0032039D" w14:paraId="257072D9" w14:textId="65A90BC5">
      <w:pPr>
        <w:pStyle w:val="zGNormal"/>
        <w:spacing w:before="120" w:after="120"/>
      </w:pPr>
      <w:r w:rsidRPr="001A408E">
        <w:t xml:space="preserve"> </w:t>
      </w:r>
      <w:r w:rsidRPr="001A408E" w:rsidR="00C40F86">
        <w:t xml:space="preserve">At the end of each Month, GPC </w:t>
      </w:r>
      <w:r w:rsidRPr="001A408E" w:rsidR="000D57BE">
        <w:t xml:space="preserve">will </w:t>
      </w:r>
      <w:r w:rsidRPr="001A408E" w:rsidR="00C40F86">
        <w:t>determine the Monthly Capacity Reduction as follows:</w:t>
      </w:r>
    </w:p>
    <w:p w:rsidRPr="001A408E" w:rsidR="003517E6" w:rsidP="00137E2C" w:rsidRDefault="003517E6" w14:paraId="0785522C" w14:textId="77777777">
      <w:pPr>
        <w:pStyle w:val="zGNormal"/>
      </w:pPr>
    </w:p>
    <w:p w:rsidRPr="001A408E" w:rsidR="00C40F86" w:rsidP="00386245" w:rsidRDefault="00425689" w14:paraId="551190A6" w14:textId="055EC3F5">
      <w:pPr>
        <w:pStyle w:val="zGNormal"/>
        <w:ind w:firstLine="720"/>
      </w:pPr>
      <w:r w:rsidRPr="001A408E">
        <w:rPr>
          <w:u w:val="single"/>
        </w:rPr>
        <w:lastRenderedPageBreak/>
        <w:t>MCR</w:t>
      </w:r>
      <w:r w:rsidRPr="001A408E">
        <w:t xml:space="preserve"> </w:t>
      </w:r>
      <w:r w:rsidRPr="001A408E" w:rsidR="00C40F86">
        <w:t xml:space="preserve">= the sum of: (i) </w:t>
      </w:r>
      <w:r w:rsidRPr="001A408E" w:rsidR="0004130F">
        <w:t>SPR</w:t>
      </w:r>
      <w:r w:rsidRPr="001A408E" w:rsidR="00C40F86">
        <w:t xml:space="preserve">, and (ii) </w:t>
      </w:r>
      <w:r w:rsidRPr="001A408E" w:rsidR="00FA17C3">
        <w:t xml:space="preserve"> </w:t>
      </w:r>
      <w:r w:rsidR="00574653">
        <w:t xml:space="preserve">Monthly </w:t>
      </w:r>
      <w:r w:rsidR="0063760D">
        <w:t xml:space="preserve">RTE </w:t>
      </w:r>
      <w:r w:rsidR="00574653">
        <w:t>True-Up</w:t>
      </w:r>
      <w:r w:rsidRPr="001A408E" w:rsidR="00C40F86">
        <w:t xml:space="preserve"> </w:t>
      </w:r>
    </w:p>
    <w:p w:rsidRPr="001A408E" w:rsidR="00C40F86" w:rsidP="00386245" w:rsidRDefault="00C40F86" w14:paraId="1DE707C0" w14:textId="77777777">
      <w:pPr>
        <w:pStyle w:val="zGNormal"/>
      </w:pPr>
    </w:p>
    <w:p w:rsidRPr="001A408E" w:rsidR="00C40F86" w:rsidP="00201C79" w:rsidRDefault="00201C79" w14:paraId="43210340" w14:textId="1F760497">
      <w:pPr>
        <w:pStyle w:val="zGNormal"/>
        <w:ind w:left="1260"/>
      </w:pPr>
      <w:r w:rsidRPr="001A408E">
        <w:t>W</w:t>
      </w:r>
      <w:r w:rsidRPr="001A408E" w:rsidR="00C40F86">
        <w:t xml:space="preserve">here: </w:t>
      </w:r>
    </w:p>
    <w:p w:rsidRPr="001A408E" w:rsidR="00201C79" w:rsidP="00201C79" w:rsidRDefault="00201C79" w14:paraId="05BF39A9" w14:textId="77777777">
      <w:pPr>
        <w:pStyle w:val="zGNormal"/>
        <w:ind w:left="1260"/>
      </w:pPr>
    </w:p>
    <w:p w:rsidRPr="001A408E" w:rsidR="00C40F86" w:rsidP="00201C79" w:rsidRDefault="00FA17C3" w14:paraId="6486986C" w14:textId="546ED17A">
      <w:pPr>
        <w:pStyle w:val="zGNormal"/>
        <w:ind w:left="1260"/>
      </w:pPr>
      <w:r w:rsidRPr="001A408E">
        <w:t xml:space="preserve">SPR </w:t>
      </w:r>
      <w:r w:rsidRPr="001A408E" w:rsidR="00C40F86">
        <w:t xml:space="preserve">= the </w:t>
      </w:r>
      <w:r w:rsidRPr="001A408E" w:rsidR="00A34B57">
        <w:t>Storage Performance R</w:t>
      </w:r>
      <w:r w:rsidRPr="001A408E" w:rsidR="00C40F86">
        <w:t xml:space="preserve">eduction for such </w:t>
      </w:r>
      <w:r w:rsidRPr="001A408E" w:rsidR="00CA1A87">
        <w:t>M</w:t>
      </w:r>
      <w:r w:rsidRPr="001A408E" w:rsidR="00C40F86">
        <w:t xml:space="preserve">onth </w:t>
      </w:r>
      <w:r w:rsidRPr="001A408E" w:rsidR="002E1B29">
        <w:t xml:space="preserve">as </w:t>
      </w:r>
      <w:r w:rsidRPr="001A408E" w:rsidR="00C40F86">
        <w:t xml:space="preserve">determined in </w:t>
      </w:r>
      <w:r w:rsidRPr="001A408E" w:rsidR="00D66EBE">
        <w:t>S</w:t>
      </w:r>
      <w:r w:rsidRPr="001A408E" w:rsidR="00C40F86">
        <w:t>ection 2.2</w:t>
      </w:r>
      <w:r w:rsidR="00574653">
        <w:t xml:space="preserve"> (</w:t>
      </w:r>
      <w:r w:rsidRPr="00574653" w:rsidR="00574653">
        <w:rPr>
          <w:i/>
          <w:iCs/>
        </w:rPr>
        <w:t>Storage</w:t>
      </w:r>
      <w:r w:rsidRPr="00261AEB" w:rsidR="00574653">
        <w:rPr>
          <w:i/>
        </w:rPr>
        <w:t xml:space="preserve"> Performance Reduction</w:t>
      </w:r>
      <w:r w:rsidR="00574653">
        <w:t>)</w:t>
      </w:r>
      <w:r w:rsidRPr="001A408E" w:rsidR="00C40F86">
        <w:t xml:space="preserve">; and </w:t>
      </w:r>
    </w:p>
    <w:p w:rsidRPr="001A408E" w:rsidR="00C40F86" w:rsidP="00201C79" w:rsidRDefault="00C40F86" w14:paraId="1A924FD6" w14:textId="77777777">
      <w:pPr>
        <w:pStyle w:val="zGNormal"/>
        <w:ind w:left="1260"/>
      </w:pPr>
    </w:p>
    <w:p w:rsidRPr="001A408E" w:rsidR="00C40F86" w:rsidP="00201C79" w:rsidRDefault="00812A1E" w14:paraId="7A0D8E18" w14:textId="1C938E4F">
      <w:pPr>
        <w:pStyle w:val="zGNormal"/>
        <w:ind w:left="1260"/>
        <w:rPr>
          <w:u w:val="single"/>
        </w:rPr>
      </w:pPr>
      <w:r>
        <w:rPr>
          <w:u w:val="single"/>
        </w:rPr>
        <w:t xml:space="preserve">Monthly </w:t>
      </w:r>
      <w:r w:rsidRPr="001A408E" w:rsidR="00FA17C3">
        <w:rPr>
          <w:u w:val="single"/>
        </w:rPr>
        <w:t>RTE</w:t>
      </w:r>
      <w:r w:rsidR="00574653">
        <w:rPr>
          <w:u w:val="single"/>
        </w:rPr>
        <w:t xml:space="preserve"> True-Up</w:t>
      </w:r>
      <w:r w:rsidRPr="00261AEB" w:rsidR="00574653">
        <w:rPr>
          <w:u w:val="single"/>
        </w:rPr>
        <w:t xml:space="preserve"> </w:t>
      </w:r>
      <w:r w:rsidRPr="001A408E" w:rsidR="00C40F86">
        <w:t xml:space="preserve">= </w:t>
      </w:r>
      <w:r w:rsidRPr="001A408E" w:rsidR="00FC3F40">
        <w:t>RTE Performance Reduction</w:t>
      </w:r>
      <w:r w:rsidRPr="001A408E" w:rsidR="00C40F86">
        <w:t xml:space="preserve"> for such </w:t>
      </w:r>
      <w:r w:rsidRPr="001A408E" w:rsidR="00CA1A87">
        <w:t>M</w:t>
      </w:r>
      <w:r w:rsidRPr="001A408E" w:rsidR="00C40F86">
        <w:t xml:space="preserve">onth </w:t>
      </w:r>
      <w:r w:rsidRPr="001A408E" w:rsidR="005418BC">
        <w:t xml:space="preserve">as </w:t>
      </w:r>
      <w:r w:rsidRPr="001A408E" w:rsidR="00C40F86">
        <w:t xml:space="preserve">determined in </w:t>
      </w:r>
      <w:r w:rsidRPr="001A408E" w:rsidR="00995C7E">
        <w:t>S</w:t>
      </w:r>
      <w:r w:rsidRPr="001A408E" w:rsidR="00C40F86">
        <w:t>ection 2.4</w:t>
      </w:r>
      <w:r w:rsidR="00574653">
        <w:t>.2</w:t>
      </w:r>
      <w:r w:rsidRPr="00574653" w:rsidR="00574653">
        <w:rPr>
          <w:i/>
          <w:iCs/>
        </w:rPr>
        <w:t xml:space="preserve"> </w:t>
      </w:r>
      <w:r w:rsidR="00574653">
        <w:rPr>
          <w:i/>
          <w:iCs/>
        </w:rPr>
        <w:t>(</w:t>
      </w:r>
      <w:r w:rsidR="0064707D">
        <w:rPr>
          <w:i/>
          <w:iCs/>
        </w:rPr>
        <w:t>Monthly</w:t>
      </w:r>
      <w:r>
        <w:rPr>
          <w:i/>
          <w:iCs/>
        </w:rPr>
        <w:t xml:space="preserve"> RTE</w:t>
      </w:r>
      <w:r w:rsidR="0064707D">
        <w:rPr>
          <w:i/>
          <w:iCs/>
        </w:rPr>
        <w:t xml:space="preserve"> </w:t>
      </w:r>
      <w:r w:rsidRPr="00574653" w:rsidR="00574653">
        <w:rPr>
          <w:i/>
          <w:iCs/>
        </w:rPr>
        <w:t>True-Up</w:t>
      </w:r>
      <w:r w:rsidR="00574653">
        <w:t>)</w:t>
      </w:r>
    </w:p>
    <w:p w:rsidRPr="001A408E" w:rsidR="0032039D" w:rsidP="00D94D93" w:rsidRDefault="00C40F86" w14:paraId="23AF591A" w14:textId="77777777">
      <w:pPr>
        <w:pStyle w:val="zGBody2"/>
        <w:numPr>
          <w:ilvl w:val="1"/>
          <w:numId w:val="58"/>
        </w:numPr>
        <w:rPr>
          <w:vanish/>
          <w:specVanish/>
        </w:rPr>
      </w:pPr>
      <w:r w:rsidRPr="001A408E">
        <w:rPr>
          <w:bCs/>
        </w:rPr>
        <w:t>Storage Performance Reduction.</w:t>
      </w:r>
      <w:r w:rsidRPr="001A408E">
        <w:t xml:space="preserve">  </w:t>
      </w:r>
    </w:p>
    <w:p w:rsidRPr="001A408E" w:rsidR="00C40F86" w:rsidP="0032039D" w:rsidRDefault="00E319B9" w14:paraId="2E421111" w14:textId="0939D9D3">
      <w:pPr>
        <w:pStyle w:val="zGNormal"/>
      </w:pPr>
      <w:r>
        <w:t xml:space="preserve"> </w:t>
      </w:r>
      <w:r w:rsidRPr="001A408E" w:rsidR="00C40F86">
        <w:t>For purpose</w:t>
      </w:r>
      <w:r w:rsidRPr="001A408E" w:rsidR="00EA4444">
        <w:t>s</w:t>
      </w:r>
      <w:r w:rsidRPr="001A408E" w:rsidR="00C40F86">
        <w:t xml:space="preserve"> of this Section </w:t>
      </w:r>
      <w:r w:rsidRPr="001A408E" w:rsidR="001F792D">
        <w:t>2</w:t>
      </w:r>
      <w:r w:rsidRPr="001A408E" w:rsidR="00C40F86">
        <w:t>.2,</w:t>
      </w:r>
      <w:r w:rsidRPr="001A408E" w:rsidR="005A62FF">
        <w:t xml:space="preserve"> GPC will determine</w:t>
      </w:r>
      <w:r w:rsidRPr="001A408E" w:rsidR="00C40F86">
        <w:t xml:space="preserve"> the Storage Performance Reduction (“</w:t>
      </w:r>
      <w:r w:rsidRPr="001A408E" w:rsidR="00C40F86">
        <w:rPr>
          <w:b/>
        </w:rPr>
        <w:t>SPR</w:t>
      </w:r>
      <w:r w:rsidRPr="001A408E" w:rsidR="00C40F86">
        <w:t xml:space="preserve">”) for each Month in accordance with Table C-3 </w:t>
      </w:r>
      <w:r w:rsidR="00FC4DA6">
        <w:t>(</w:t>
      </w:r>
      <w:r w:rsidRPr="00FC4DA6" w:rsidR="00FC4DA6">
        <w:rPr>
          <w:i/>
          <w:iCs/>
        </w:rPr>
        <w:t>Storage Performance Reduction</w:t>
      </w:r>
      <w:r w:rsidR="00FC4DA6">
        <w:t xml:space="preserve">) </w:t>
      </w:r>
      <w:r w:rsidRPr="001A408E" w:rsidR="00C40F86">
        <w:t>below, based on the Storage Performance Metric Achieved for such Month.</w:t>
      </w:r>
    </w:p>
    <w:p w:rsidRPr="001A408E" w:rsidR="00C40F86" w:rsidP="00C40F86" w:rsidRDefault="00C40F86" w14:paraId="37958FB8" w14:textId="77777777">
      <w:pPr>
        <w:pStyle w:val="zGNormal6"/>
      </w:pPr>
      <w:r w:rsidRPr="001A408E">
        <w:tab/>
      </w:r>
    </w:p>
    <w:tbl>
      <w:tblPr>
        <w:tblW w:w="9368" w:type="dxa"/>
        <w:jc w:val="right"/>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3862"/>
        <w:gridCol w:w="5506"/>
      </w:tblGrid>
      <w:tr w:rsidRPr="001A408E" w:rsidR="00C40F86" w:rsidTr="00EA4444" w14:paraId="4E75CC99" w14:textId="77777777">
        <w:trPr>
          <w:trHeight w:val="465"/>
          <w:tblHeader/>
          <w:jc w:val="right"/>
        </w:trPr>
        <w:tc>
          <w:tcPr>
            <w:tcW w:w="9368" w:type="dxa"/>
            <w:gridSpan w:val="2"/>
            <w:tcBorders>
              <w:top w:val="single" w:color="auto" w:sz="6" w:space="0"/>
              <w:left w:val="single" w:color="auto" w:sz="6" w:space="0"/>
              <w:bottom w:val="single" w:color="auto" w:sz="6" w:space="0"/>
              <w:right w:val="single" w:color="auto" w:sz="6" w:space="0"/>
            </w:tcBorders>
            <w:shd w:val="clear" w:color="auto" w:fill="BFBFBF" w:themeFill="background1" w:themeFillShade="BF"/>
            <w:vAlign w:val="center"/>
          </w:tcPr>
          <w:p w:rsidRPr="001A408E" w:rsidR="00C40F86" w:rsidP="00C85AB2" w:rsidRDefault="00C40F86" w14:paraId="7FB757D0" w14:textId="6C5970FD">
            <w:pPr>
              <w:widowControl w:val="0"/>
              <w:spacing w:before="60" w:after="60" w:line="240" w:lineRule="auto"/>
              <w:jc w:val="center"/>
              <w:textAlignment w:val="baseline"/>
              <w:rPr>
                <w:rFonts w:ascii="Arial" w:hAnsi="Arial" w:eastAsia="Times New Roman" w:cs="Arial"/>
                <w:b/>
                <w:sz w:val="20"/>
                <w:szCs w:val="20"/>
              </w:rPr>
            </w:pPr>
            <w:r w:rsidRPr="001A408E">
              <w:rPr>
                <w:rFonts w:ascii="Arial" w:hAnsi="Arial" w:eastAsia="Times New Roman" w:cs="Arial"/>
                <w:b/>
                <w:sz w:val="20"/>
                <w:szCs w:val="20"/>
              </w:rPr>
              <w:t>Table C-3</w:t>
            </w:r>
          </w:p>
          <w:p w:rsidRPr="001A408E" w:rsidR="00C40F86" w:rsidP="00C85AB2" w:rsidRDefault="00C40F86" w14:paraId="122271D6" w14:textId="7CCD1BB1">
            <w:pPr>
              <w:widowControl w:val="0"/>
              <w:spacing w:before="60" w:after="60" w:line="240" w:lineRule="auto"/>
              <w:jc w:val="center"/>
              <w:textAlignment w:val="baseline"/>
              <w:rPr>
                <w:rFonts w:ascii="Arial" w:hAnsi="Arial" w:eastAsia="Times New Roman" w:cs="Arial"/>
                <w:b/>
                <w:sz w:val="20"/>
                <w:szCs w:val="20"/>
              </w:rPr>
            </w:pPr>
            <w:r w:rsidRPr="001A408E">
              <w:rPr>
                <w:rFonts w:ascii="Arial" w:hAnsi="Arial" w:eastAsia="Times New Roman" w:cs="Arial"/>
                <w:b/>
                <w:sz w:val="20"/>
                <w:szCs w:val="20"/>
              </w:rPr>
              <w:t>Storage Performance Reduction</w:t>
            </w:r>
          </w:p>
        </w:tc>
      </w:tr>
      <w:tr w:rsidRPr="001A408E" w:rsidR="00C40F86" w:rsidTr="002E1C95" w14:paraId="5782977C" w14:textId="77777777">
        <w:trPr>
          <w:trHeight w:val="465"/>
          <w:tblHeader/>
          <w:jc w:val="right"/>
        </w:trPr>
        <w:tc>
          <w:tcPr>
            <w:tcW w:w="3862" w:type="dxa"/>
            <w:tcBorders>
              <w:top w:val="single" w:color="auto" w:sz="6" w:space="0"/>
              <w:left w:val="single" w:color="auto" w:sz="6" w:space="0"/>
              <w:bottom w:val="single" w:color="auto" w:sz="6" w:space="0"/>
              <w:right w:val="single" w:color="auto" w:sz="6" w:space="0"/>
            </w:tcBorders>
            <w:shd w:val="clear" w:color="auto" w:fill="D9D9D9" w:themeFill="background1" w:themeFillShade="D9"/>
            <w:vAlign w:val="center"/>
            <w:hideMark/>
          </w:tcPr>
          <w:p w:rsidRPr="001A408E" w:rsidR="00C40F86" w:rsidRDefault="00C40F86" w14:paraId="1836E9B8" w14:textId="77777777">
            <w:pPr>
              <w:widowControl w:val="0"/>
              <w:spacing w:before="60" w:after="60"/>
              <w:jc w:val="center"/>
              <w:textAlignment w:val="baseline"/>
              <w:rPr>
                <w:rFonts w:ascii="Arial" w:hAnsi="Arial" w:eastAsia="Times New Roman" w:cs="Arial"/>
                <w:sz w:val="20"/>
                <w:szCs w:val="20"/>
              </w:rPr>
            </w:pPr>
            <w:r w:rsidRPr="001A408E">
              <w:rPr>
                <w:rFonts w:ascii="Arial" w:hAnsi="Arial" w:cs="Arial"/>
                <w:b/>
                <w:sz w:val="20"/>
                <w:szCs w:val="20"/>
              </w:rPr>
              <w:t xml:space="preserve">Storage </w:t>
            </w:r>
            <w:r w:rsidRPr="001A408E">
              <w:rPr>
                <w:rFonts w:ascii="Arial" w:hAnsi="Arial" w:eastAsia="Times New Roman" w:cs="Arial"/>
                <w:b/>
                <w:sz w:val="20"/>
                <w:szCs w:val="20"/>
              </w:rPr>
              <w:t>Performance Metric Achieved</w:t>
            </w:r>
          </w:p>
        </w:tc>
        <w:tc>
          <w:tcPr>
            <w:tcW w:w="5506" w:type="dxa"/>
            <w:tcBorders>
              <w:top w:val="single" w:color="auto" w:sz="6" w:space="0"/>
              <w:left w:val="nil"/>
              <w:bottom w:val="single" w:color="auto" w:sz="6" w:space="0"/>
              <w:right w:val="single" w:color="auto" w:sz="6" w:space="0"/>
            </w:tcBorders>
            <w:shd w:val="clear" w:color="auto" w:fill="D9D9D9" w:themeFill="background1" w:themeFillShade="D9"/>
            <w:vAlign w:val="center"/>
            <w:hideMark/>
          </w:tcPr>
          <w:p w:rsidRPr="001A408E" w:rsidR="00C40F86" w:rsidRDefault="00C40F86" w14:paraId="0DB0ED0C" w14:textId="0BE4F014">
            <w:pPr>
              <w:widowControl w:val="0"/>
              <w:spacing w:before="60" w:after="60"/>
              <w:jc w:val="center"/>
              <w:textAlignment w:val="baseline"/>
              <w:rPr>
                <w:rFonts w:ascii="Arial" w:hAnsi="Arial" w:eastAsia="Times New Roman" w:cs="Arial"/>
                <w:sz w:val="20"/>
                <w:szCs w:val="20"/>
              </w:rPr>
            </w:pPr>
            <w:r w:rsidRPr="001A408E">
              <w:rPr>
                <w:rFonts w:ascii="Arial" w:hAnsi="Arial" w:eastAsia="Times New Roman" w:cs="Arial"/>
                <w:b/>
                <w:sz w:val="20"/>
                <w:szCs w:val="20"/>
              </w:rPr>
              <w:t>Storage Performance Reduction</w:t>
            </w:r>
          </w:p>
        </w:tc>
      </w:tr>
      <w:tr w:rsidRPr="001A408E" w:rsidR="00C40F86" w:rsidTr="002E1C95" w14:paraId="5825C421" w14:textId="77777777">
        <w:trPr>
          <w:trHeight w:val="615"/>
          <w:jc w:val="right"/>
        </w:trPr>
        <w:tc>
          <w:tcPr>
            <w:tcW w:w="3862" w:type="dxa"/>
            <w:tcBorders>
              <w:top w:val="nil"/>
              <w:left w:val="single" w:color="auto" w:sz="6" w:space="0"/>
              <w:bottom w:val="single" w:color="auto" w:sz="6" w:space="0"/>
              <w:right w:val="single" w:color="auto" w:sz="6" w:space="0"/>
            </w:tcBorders>
            <w:vAlign w:val="center"/>
            <w:hideMark/>
          </w:tcPr>
          <w:p w:rsidRPr="001A408E" w:rsidR="00C40F86" w:rsidP="00353859" w:rsidRDefault="00C40F86" w14:paraId="47FA5DBE" w14:textId="77777777">
            <w:pPr>
              <w:widowControl w:val="0"/>
              <w:spacing w:before="60" w:after="144" w:afterLines="60" w:line="240" w:lineRule="auto"/>
              <w:jc w:val="center"/>
              <w:textAlignment w:val="baseline"/>
              <w:rPr>
                <w:rFonts w:ascii="Arial" w:hAnsi="Arial" w:eastAsia="Times New Roman" w:cs="Arial"/>
                <w:sz w:val="20"/>
                <w:szCs w:val="20"/>
              </w:rPr>
            </w:pPr>
            <w:r w:rsidRPr="001A408E">
              <w:rPr>
                <w:rFonts w:ascii="Arial" w:hAnsi="Arial" w:cs="Arial"/>
                <w:sz w:val="20"/>
                <w:szCs w:val="20"/>
              </w:rPr>
              <w:t xml:space="preserve">Storage </w:t>
            </w:r>
            <w:r w:rsidRPr="001A408E">
              <w:rPr>
                <w:rFonts w:ascii="Arial" w:hAnsi="Arial" w:eastAsia="Times New Roman" w:cs="Arial"/>
                <w:sz w:val="20"/>
                <w:szCs w:val="20"/>
              </w:rPr>
              <w:t>Performance Metric Achieved ≥ 0.96</w:t>
            </w:r>
          </w:p>
        </w:tc>
        <w:tc>
          <w:tcPr>
            <w:tcW w:w="5506" w:type="dxa"/>
            <w:tcBorders>
              <w:top w:val="nil"/>
              <w:left w:val="nil"/>
              <w:bottom w:val="single" w:color="auto" w:sz="6" w:space="0"/>
              <w:right w:val="single" w:color="auto" w:sz="6" w:space="0"/>
            </w:tcBorders>
            <w:vAlign w:val="center"/>
            <w:hideMark/>
          </w:tcPr>
          <w:p w:rsidRPr="001A408E" w:rsidR="00C40F86" w:rsidP="00353859" w:rsidRDefault="00C40F86" w14:paraId="6AEB18DD" w14:textId="77777777">
            <w:pPr>
              <w:widowControl w:val="0"/>
              <w:spacing w:before="60" w:after="144" w:afterLines="60" w:line="240" w:lineRule="auto"/>
              <w:jc w:val="center"/>
              <w:textAlignment w:val="baseline"/>
              <w:rPr>
                <w:rFonts w:ascii="Arial" w:hAnsi="Arial" w:eastAsia="Times New Roman" w:cs="Arial"/>
                <w:sz w:val="20"/>
                <w:szCs w:val="20"/>
              </w:rPr>
            </w:pPr>
            <w:r w:rsidRPr="001A408E">
              <w:rPr>
                <w:rFonts w:ascii="Arial" w:hAnsi="Arial" w:eastAsia="Times New Roman" w:cs="Arial"/>
                <w:sz w:val="20"/>
                <w:szCs w:val="20"/>
              </w:rPr>
              <w:t>No reduction</w:t>
            </w:r>
          </w:p>
        </w:tc>
      </w:tr>
      <w:tr w:rsidRPr="001A408E" w:rsidR="00C40F86" w:rsidTr="002E1C95" w14:paraId="78072624" w14:textId="77777777">
        <w:trPr>
          <w:trHeight w:val="615"/>
          <w:jc w:val="right"/>
        </w:trPr>
        <w:tc>
          <w:tcPr>
            <w:tcW w:w="3862" w:type="dxa"/>
            <w:tcBorders>
              <w:top w:val="nil"/>
              <w:left w:val="single" w:color="auto" w:sz="6" w:space="0"/>
              <w:bottom w:val="single" w:color="auto" w:sz="6" w:space="0"/>
              <w:right w:val="single" w:color="auto" w:sz="6" w:space="0"/>
            </w:tcBorders>
            <w:vAlign w:val="center"/>
            <w:hideMark/>
          </w:tcPr>
          <w:p w:rsidRPr="001A408E" w:rsidR="00C40F86" w:rsidP="00353859" w:rsidRDefault="00C40F86" w14:paraId="3BE20AEB" w14:textId="3A6721D1">
            <w:pPr>
              <w:widowControl w:val="0"/>
              <w:spacing w:before="60" w:after="144" w:afterLines="60" w:line="240" w:lineRule="auto"/>
              <w:jc w:val="center"/>
              <w:textAlignment w:val="baseline"/>
              <w:rPr>
                <w:rFonts w:ascii="Arial" w:hAnsi="Arial" w:eastAsia="Times New Roman" w:cs="Arial"/>
                <w:sz w:val="20"/>
                <w:szCs w:val="20"/>
              </w:rPr>
            </w:pPr>
            <w:r w:rsidRPr="001A408E">
              <w:rPr>
                <w:rFonts w:ascii="Arial" w:hAnsi="Arial" w:eastAsia="Times New Roman" w:cs="Arial"/>
                <w:sz w:val="20"/>
                <w:szCs w:val="20"/>
              </w:rPr>
              <w:t xml:space="preserve">0.96 &gt; </w:t>
            </w:r>
            <w:r w:rsidRPr="001A408E">
              <w:rPr>
                <w:rFonts w:ascii="Arial" w:hAnsi="Arial" w:cs="Arial"/>
                <w:sz w:val="20"/>
                <w:szCs w:val="20"/>
              </w:rPr>
              <w:t xml:space="preserve">Storage </w:t>
            </w:r>
            <w:r w:rsidRPr="001A408E">
              <w:rPr>
                <w:rFonts w:ascii="Arial" w:hAnsi="Arial" w:eastAsia="Times New Roman" w:cs="Arial"/>
                <w:sz w:val="20"/>
                <w:szCs w:val="20"/>
              </w:rPr>
              <w:t>Performance Metric Achieved ≥ 0.</w:t>
            </w:r>
            <w:r w:rsidR="00074D21">
              <w:rPr>
                <w:rFonts w:ascii="Arial" w:hAnsi="Arial" w:eastAsia="Times New Roman" w:cs="Arial"/>
                <w:sz w:val="20"/>
                <w:szCs w:val="20"/>
              </w:rPr>
              <w:t>6</w:t>
            </w:r>
          </w:p>
        </w:tc>
        <w:tc>
          <w:tcPr>
            <w:tcW w:w="5506" w:type="dxa"/>
            <w:tcBorders>
              <w:top w:val="nil"/>
              <w:left w:val="nil"/>
              <w:bottom w:val="single" w:color="auto" w:sz="6" w:space="0"/>
              <w:right w:val="single" w:color="auto" w:sz="6" w:space="0"/>
            </w:tcBorders>
            <w:vAlign w:val="center"/>
            <w:hideMark/>
          </w:tcPr>
          <w:p w:rsidRPr="001A408E" w:rsidR="00C40F86" w:rsidP="00353859" w:rsidRDefault="00C40F86" w14:paraId="69C9A68C" w14:textId="2604B7D8">
            <w:pPr>
              <w:widowControl w:val="0"/>
              <w:spacing w:before="60" w:after="144" w:afterLines="60" w:line="240" w:lineRule="auto"/>
              <w:jc w:val="center"/>
              <w:textAlignment w:val="baseline"/>
              <w:rPr>
                <w:rFonts w:ascii="Arial" w:hAnsi="Arial" w:eastAsia="Times New Roman" w:cs="Arial"/>
                <w:sz w:val="20"/>
                <w:szCs w:val="20"/>
              </w:rPr>
            </w:pPr>
            <w:r w:rsidRPr="001A408E">
              <w:rPr>
                <w:rFonts w:ascii="Arial" w:hAnsi="Arial" w:eastAsia="Times New Roman" w:cs="Arial"/>
                <w:sz w:val="20"/>
                <w:szCs w:val="20"/>
              </w:rPr>
              <w:t>(</w:t>
            </w:r>
            <w:r w:rsidR="00074D21">
              <w:rPr>
                <w:rFonts w:ascii="Arial" w:hAnsi="Arial" w:eastAsia="Times New Roman" w:cs="Arial"/>
                <w:sz w:val="20"/>
                <w:szCs w:val="20"/>
              </w:rPr>
              <w:t>0.96</w:t>
            </w:r>
            <w:r w:rsidRPr="001A408E">
              <w:rPr>
                <w:rFonts w:ascii="Arial" w:hAnsi="Arial" w:eastAsia="Times New Roman" w:cs="Arial"/>
                <w:sz w:val="20"/>
                <w:szCs w:val="20"/>
              </w:rPr>
              <w:t xml:space="preserve"> - Storage Performance Metric Achieved) * </w:t>
            </w:r>
            <w:r w:rsidR="00074D21">
              <w:rPr>
                <w:rFonts w:ascii="Arial" w:hAnsi="Arial" w:eastAsia="Times New Roman" w:cs="Arial"/>
                <w:sz w:val="20"/>
                <w:szCs w:val="20"/>
              </w:rPr>
              <w:t>1.5</w:t>
            </w:r>
            <w:r w:rsidRPr="001A408E">
              <w:rPr>
                <w:rFonts w:ascii="Arial" w:hAnsi="Arial" w:eastAsia="Times New Roman" w:cs="Arial"/>
                <w:sz w:val="20"/>
                <w:szCs w:val="20"/>
              </w:rPr>
              <w:t xml:space="preserve"> * MCF($)</w:t>
            </w:r>
          </w:p>
        </w:tc>
      </w:tr>
      <w:tr w:rsidRPr="001A408E" w:rsidR="00C40F86" w:rsidTr="002E1C95" w14:paraId="56AC2A6C" w14:textId="77777777">
        <w:trPr>
          <w:trHeight w:val="615"/>
          <w:jc w:val="right"/>
        </w:trPr>
        <w:tc>
          <w:tcPr>
            <w:tcW w:w="3862" w:type="dxa"/>
            <w:tcBorders>
              <w:top w:val="nil"/>
              <w:left w:val="single" w:color="auto" w:sz="6" w:space="0"/>
              <w:bottom w:val="single" w:color="auto" w:sz="6" w:space="0"/>
              <w:right w:val="single" w:color="auto" w:sz="6" w:space="0"/>
            </w:tcBorders>
            <w:vAlign w:val="center"/>
            <w:hideMark/>
          </w:tcPr>
          <w:p w:rsidRPr="001A408E" w:rsidR="00C40F86" w:rsidP="00353859" w:rsidRDefault="00C40F86" w14:paraId="454F38C0" w14:textId="1E0D91E4">
            <w:pPr>
              <w:widowControl w:val="0"/>
              <w:spacing w:before="60" w:after="144" w:afterLines="60" w:line="240" w:lineRule="auto"/>
              <w:jc w:val="center"/>
              <w:textAlignment w:val="baseline"/>
              <w:rPr>
                <w:rFonts w:ascii="Arial" w:hAnsi="Arial" w:eastAsia="Times New Roman" w:cs="Arial"/>
                <w:sz w:val="20"/>
                <w:szCs w:val="20"/>
              </w:rPr>
            </w:pPr>
            <w:r w:rsidRPr="001A408E">
              <w:rPr>
                <w:rFonts w:ascii="Arial" w:hAnsi="Arial" w:eastAsia="Times New Roman" w:cs="Arial"/>
                <w:sz w:val="20"/>
                <w:szCs w:val="20"/>
              </w:rPr>
              <w:t>0.</w:t>
            </w:r>
            <w:r w:rsidR="00074D21">
              <w:rPr>
                <w:rFonts w:ascii="Arial" w:hAnsi="Arial" w:eastAsia="Times New Roman" w:cs="Arial"/>
                <w:sz w:val="20"/>
                <w:szCs w:val="20"/>
              </w:rPr>
              <w:t>6</w:t>
            </w:r>
            <w:r w:rsidRPr="001A408E" w:rsidR="00C9390C">
              <w:rPr>
                <w:rFonts w:ascii="Arial" w:hAnsi="Arial" w:eastAsia="Times New Roman" w:cs="Arial"/>
                <w:sz w:val="20"/>
                <w:szCs w:val="20"/>
              </w:rPr>
              <w:t xml:space="preserve"> </w:t>
            </w:r>
            <w:r w:rsidRPr="001A408E">
              <w:rPr>
                <w:rFonts w:ascii="Arial" w:hAnsi="Arial" w:eastAsia="Times New Roman" w:cs="Arial"/>
                <w:sz w:val="20"/>
                <w:szCs w:val="20"/>
              </w:rPr>
              <w:t>&gt; Storage Performance Metric Achieved</w:t>
            </w:r>
          </w:p>
        </w:tc>
        <w:tc>
          <w:tcPr>
            <w:tcW w:w="5506" w:type="dxa"/>
            <w:tcBorders>
              <w:top w:val="nil"/>
              <w:left w:val="nil"/>
              <w:bottom w:val="single" w:color="auto" w:sz="6" w:space="0"/>
              <w:right w:val="single" w:color="auto" w:sz="6" w:space="0"/>
            </w:tcBorders>
            <w:vAlign w:val="center"/>
            <w:hideMark/>
          </w:tcPr>
          <w:p w:rsidR="00C053A8" w:rsidP="00C053A8" w:rsidRDefault="00C053A8" w14:paraId="74388DF5" w14:textId="7E65823C">
            <w:pPr>
              <w:widowControl w:val="0"/>
              <w:spacing w:before="60" w:after="144" w:afterLines="60" w:line="240" w:lineRule="auto"/>
              <w:jc w:val="center"/>
              <w:textAlignment w:val="baseline"/>
              <w:rPr>
                <w:rFonts w:ascii="Arial" w:hAnsi="Arial" w:eastAsia="Times New Roman" w:cs="Arial"/>
                <w:sz w:val="20"/>
                <w:szCs w:val="20"/>
              </w:rPr>
            </w:pPr>
            <w:r>
              <w:rPr>
                <w:rFonts w:ascii="Arial" w:hAnsi="Arial" w:eastAsia="Times New Roman" w:cs="Arial"/>
                <w:sz w:val="20"/>
                <w:szCs w:val="20"/>
              </w:rPr>
              <w:t>Greater of:</w:t>
            </w:r>
          </w:p>
          <w:p w:rsidR="00C053A8" w:rsidP="00907528" w:rsidRDefault="00C053A8" w14:paraId="38AADA07" w14:textId="77777777">
            <w:pPr>
              <w:pStyle w:val="ListParagraph"/>
              <w:widowControl w:val="0"/>
              <w:spacing w:before="60" w:after="144" w:afterLines="60" w:line="240" w:lineRule="auto"/>
              <w:textAlignment w:val="baseline"/>
              <w:rPr>
                <w:rFonts w:ascii="Arial" w:hAnsi="Arial" w:eastAsia="Times New Roman" w:cs="Arial"/>
                <w:sz w:val="20"/>
                <w:szCs w:val="20"/>
              </w:rPr>
            </w:pPr>
            <w:r>
              <w:rPr>
                <w:rFonts w:ascii="Arial" w:hAnsi="Arial" w:eastAsia="Times New Roman" w:cs="Arial"/>
                <w:sz w:val="20"/>
                <w:szCs w:val="20"/>
              </w:rPr>
              <w:t>.54</w:t>
            </w:r>
            <w:r w:rsidRPr="001A408E">
              <w:rPr>
                <w:rFonts w:ascii="Arial" w:hAnsi="Arial" w:eastAsia="Times New Roman" w:cs="Arial"/>
                <w:sz w:val="20"/>
                <w:szCs w:val="20"/>
              </w:rPr>
              <w:t xml:space="preserve"> * MCF($)</w:t>
            </w:r>
          </w:p>
          <w:p w:rsidRPr="0020104C" w:rsidR="00C053A8" w:rsidP="00C053A8" w:rsidRDefault="00C053A8" w14:paraId="0D7B1949" w14:textId="4358A0DD">
            <w:pPr>
              <w:widowControl w:val="0"/>
              <w:spacing w:before="60" w:after="144" w:afterLines="60" w:line="240" w:lineRule="auto"/>
              <w:ind w:left="360"/>
              <w:jc w:val="center"/>
              <w:textAlignment w:val="baseline"/>
              <w:rPr>
                <w:rFonts w:ascii="Arial" w:hAnsi="Arial" w:eastAsia="Times New Roman" w:cs="Arial"/>
                <w:sz w:val="20"/>
                <w:szCs w:val="20"/>
              </w:rPr>
            </w:pPr>
            <w:r>
              <w:rPr>
                <w:rFonts w:ascii="Arial" w:hAnsi="Arial" w:eastAsia="Times New Roman" w:cs="Arial"/>
                <w:sz w:val="20"/>
                <w:szCs w:val="20"/>
              </w:rPr>
              <w:t xml:space="preserve"> o</w:t>
            </w:r>
            <w:r w:rsidRPr="0020104C">
              <w:rPr>
                <w:rFonts w:ascii="Arial" w:hAnsi="Arial" w:eastAsia="Times New Roman" w:cs="Arial"/>
                <w:sz w:val="20"/>
                <w:szCs w:val="20"/>
              </w:rPr>
              <w:t>r</w:t>
            </w:r>
            <w:r>
              <w:rPr>
                <w:rFonts w:ascii="Arial" w:hAnsi="Arial" w:eastAsia="Times New Roman" w:cs="Arial"/>
                <w:sz w:val="20"/>
                <w:szCs w:val="20"/>
              </w:rPr>
              <w:t xml:space="preserve"> </w:t>
            </w:r>
          </w:p>
          <w:p w:rsidRPr="001A408E" w:rsidR="00C40F86" w:rsidP="00C053A8" w:rsidRDefault="00C053A8" w14:paraId="0B40F964" w14:textId="63795D97">
            <w:pPr>
              <w:widowControl w:val="0"/>
              <w:spacing w:before="60" w:after="144" w:afterLines="60" w:line="240" w:lineRule="auto"/>
              <w:jc w:val="center"/>
              <w:textAlignment w:val="baseline"/>
              <w:rPr>
                <w:rFonts w:ascii="Arial" w:hAnsi="Arial" w:eastAsia="Times New Roman" w:cs="Arial"/>
                <w:sz w:val="20"/>
                <w:szCs w:val="20"/>
              </w:rPr>
            </w:pPr>
            <w:r>
              <w:rPr>
                <w:rFonts w:ascii="Arial" w:hAnsi="Arial" w:eastAsia="Times New Roman" w:cs="Arial"/>
                <w:sz w:val="20"/>
                <w:szCs w:val="20"/>
              </w:rPr>
              <w:t xml:space="preserve"> MCF</w:t>
            </w:r>
            <w:r w:rsidR="004B1937">
              <w:rPr>
                <w:rFonts w:ascii="Arial" w:hAnsi="Arial" w:eastAsia="Times New Roman" w:cs="Arial"/>
                <w:sz w:val="20"/>
                <w:szCs w:val="20"/>
              </w:rPr>
              <w:t>($)</w:t>
            </w:r>
            <w:r>
              <w:rPr>
                <w:rFonts w:ascii="Arial" w:hAnsi="Arial" w:eastAsia="Times New Roman" w:cs="Arial"/>
                <w:sz w:val="20"/>
                <w:szCs w:val="20"/>
              </w:rPr>
              <w:t xml:space="preserve"> –  </w:t>
            </w:r>
            <w:r w:rsidR="009F0632">
              <w:rPr>
                <w:rFonts w:ascii="Arial" w:hAnsi="Arial" w:eastAsia="Times New Roman" w:cs="Arial"/>
                <w:sz w:val="20"/>
                <w:szCs w:val="20"/>
              </w:rPr>
              <w:t>(</w:t>
            </w:r>
            <w:r>
              <w:rPr>
                <w:rFonts w:ascii="Arial" w:hAnsi="Arial" w:eastAsia="Times New Roman" w:cs="Arial"/>
                <w:sz w:val="20"/>
                <w:szCs w:val="20"/>
              </w:rPr>
              <w:t>$12,000 * Renewable Resource Capacity (MW)</w:t>
            </w:r>
            <w:r w:rsidR="009F0632">
              <w:rPr>
                <w:rFonts w:ascii="Arial" w:hAnsi="Arial" w:eastAsia="Times New Roman" w:cs="Arial"/>
                <w:sz w:val="20"/>
                <w:szCs w:val="20"/>
              </w:rPr>
              <w:t>)</w:t>
            </w:r>
            <w:r>
              <w:rPr>
                <w:rFonts w:ascii="Arial" w:hAnsi="Arial" w:eastAsia="Times New Roman" w:cs="Arial"/>
                <w:sz w:val="20"/>
                <w:szCs w:val="20"/>
              </w:rPr>
              <w:t xml:space="preserve"> ]</w:t>
            </w:r>
          </w:p>
        </w:tc>
      </w:tr>
    </w:tbl>
    <w:p w:rsidRPr="001A408E" w:rsidR="00971F6F" w:rsidP="00971F6F" w:rsidRDefault="00971F6F" w14:paraId="6E2751A0" w14:textId="77777777">
      <w:pPr>
        <w:widowControl w:val="0"/>
        <w:jc w:val="both"/>
        <w:rPr>
          <w:rFonts w:ascii="Arial" w:hAnsi="Arial" w:eastAsia="Times New Roman" w:cs="Arial"/>
          <w:sz w:val="20"/>
          <w:szCs w:val="20"/>
        </w:rPr>
      </w:pPr>
    </w:p>
    <w:p w:rsidRPr="00FB4053" w:rsidR="0032039D" w:rsidP="00D94D93" w:rsidRDefault="00E043BE" w14:paraId="7D66BD07" w14:textId="77777777">
      <w:pPr>
        <w:pStyle w:val="zGBody2"/>
        <w:numPr>
          <w:ilvl w:val="1"/>
          <w:numId w:val="58"/>
        </w:numPr>
        <w:rPr>
          <w:vanish/>
          <w:specVanish/>
        </w:rPr>
      </w:pPr>
      <w:r w:rsidRPr="001A408E">
        <w:rPr>
          <w:bCs/>
        </w:rPr>
        <w:t xml:space="preserve">Storage </w:t>
      </w:r>
      <w:r w:rsidRPr="00FB4053">
        <w:rPr>
          <w:bCs/>
        </w:rPr>
        <w:t>Performance Metric Achieved.</w:t>
      </w:r>
      <w:r w:rsidRPr="00FB4053">
        <w:t xml:space="preserve"> </w:t>
      </w:r>
    </w:p>
    <w:p w:rsidRPr="00FB4053" w:rsidR="00C40F86" w:rsidP="00261AEB" w:rsidRDefault="00C40F86" w14:paraId="0DBAE9DA" w14:textId="74CADB19">
      <w:pPr>
        <w:pStyle w:val="zGNormal"/>
        <w:spacing w:before="120" w:after="120"/>
      </w:pPr>
      <w:r w:rsidRPr="00FB4053">
        <w:t xml:space="preserve">For purposes of determining the Storage Performance Reduction in Table C-3 </w:t>
      </w:r>
      <w:r w:rsidR="00074D21">
        <w:t>(</w:t>
      </w:r>
      <w:r w:rsidRPr="00074D21" w:rsidR="00074D21">
        <w:rPr>
          <w:i/>
          <w:iCs/>
        </w:rPr>
        <w:t>Storage Performance Reduction</w:t>
      </w:r>
      <w:r w:rsidR="00074D21">
        <w:t xml:space="preserve">) </w:t>
      </w:r>
      <w:r w:rsidRPr="00FB4053">
        <w:t xml:space="preserve">above, </w:t>
      </w:r>
      <w:r w:rsidRPr="00FB4053" w:rsidR="0028409B">
        <w:t xml:space="preserve">GPC will determine </w:t>
      </w:r>
      <w:r w:rsidRPr="00FB4053">
        <w:t xml:space="preserve">the </w:t>
      </w:r>
      <w:r w:rsidR="008D6CFC">
        <w:t>“</w:t>
      </w:r>
      <w:r w:rsidRPr="00261AEB">
        <w:rPr>
          <w:b/>
        </w:rPr>
        <w:t>Storage Performance Metric Achieved</w:t>
      </w:r>
      <w:r w:rsidR="008D6CFC">
        <w:t>”</w:t>
      </w:r>
      <w:r w:rsidRPr="00FB4053">
        <w:t xml:space="preserve"> </w:t>
      </w:r>
      <w:r w:rsidRPr="00FB4053" w:rsidR="00640CA2">
        <w:t xml:space="preserve">for the Month </w:t>
      </w:r>
      <w:r w:rsidRPr="00FB4053">
        <w:t>by calculating the average of two components: (i) Energy Storage Performance Metric</w:t>
      </w:r>
      <w:r w:rsidRPr="00FB4053" w:rsidR="00EF41A2">
        <w:t>;</w:t>
      </w:r>
      <w:r w:rsidRPr="00FB4053">
        <w:t xml:space="preserve"> and (ii) Charge/Discharge Rate Performance Metric</w:t>
      </w:r>
      <w:r w:rsidRPr="00FB4053" w:rsidR="005E0C71">
        <w:t xml:space="preserve">. The </w:t>
      </w:r>
      <w:r w:rsidRPr="00FB4053" w:rsidR="00E41729">
        <w:t xml:space="preserve">two components </w:t>
      </w:r>
      <w:r w:rsidRPr="00FB4053" w:rsidR="00002796">
        <w:t>will be calculated as follows:</w:t>
      </w:r>
      <w:r w:rsidRPr="00FB4053">
        <w:t xml:space="preserve"> </w:t>
      </w:r>
      <w:r w:rsidRPr="00FB4053">
        <w:tab/>
      </w:r>
    </w:p>
    <w:p w:rsidRPr="00FB4053" w:rsidR="007A7F26" w:rsidP="00D94D93" w:rsidRDefault="00C40F86" w14:paraId="7186EA21" w14:textId="77777777">
      <w:pPr>
        <w:pStyle w:val="zGBody2"/>
        <w:numPr>
          <w:ilvl w:val="2"/>
          <w:numId w:val="58"/>
        </w:numPr>
        <w:rPr>
          <w:vanish/>
          <w:specVanish/>
        </w:rPr>
      </w:pPr>
      <w:r w:rsidRPr="00FB4053">
        <w:rPr>
          <w:b w:val="0"/>
        </w:rPr>
        <w:t>Energy Storage Performance Metric.</w:t>
      </w:r>
    </w:p>
    <w:p w:rsidRPr="00FB4053" w:rsidR="00C40F86" w:rsidP="00261AEB" w:rsidRDefault="00C40F86" w14:paraId="56AA0BB0" w14:textId="5343A02E">
      <w:pPr>
        <w:pStyle w:val="zGBody3"/>
        <w:spacing w:after="120"/>
      </w:pPr>
      <w:r w:rsidRPr="00FB4053">
        <w:t xml:space="preserve"> </w:t>
      </w:r>
      <w:r w:rsidR="002E5396">
        <w:t>The Energy Storage Performance Metric for each Month is the sum of the 5-Minute Average Storage Capability, in MWhs, divided by the sum of the</w:t>
      </w:r>
      <w:r w:rsidR="004C7007">
        <w:t xml:space="preserve"> Storage Device Operating Energy</w:t>
      </w:r>
      <w:r w:rsidR="002E5396">
        <w:t xml:space="preserve"> </w:t>
      </w:r>
      <w:r w:rsidR="004C7007">
        <w:t>(</w:t>
      </w:r>
      <w:r w:rsidR="002E5396">
        <w:t>SDOE</w:t>
      </w:r>
      <w:r w:rsidR="004C7007">
        <w:t>)</w:t>
      </w:r>
      <w:r w:rsidR="002E5396">
        <w:t xml:space="preserve"> for each 5-minute period. This calculation will include all periods when the BESS is expected to be Available</w:t>
      </w:r>
      <w:r w:rsidR="003E43C4">
        <w:t xml:space="preserve">, </w:t>
      </w:r>
      <w:r w:rsidR="00875352">
        <w:t>subject to the exceptions</w:t>
      </w:r>
      <w:r w:rsidR="003E43C4">
        <w:t xml:space="preserve"> stated in Section 2.3.3 (</w:t>
      </w:r>
      <w:r w:rsidRPr="003E43C4" w:rsidR="003E43C4">
        <w:rPr>
          <w:i/>
          <w:iCs/>
        </w:rPr>
        <w:t>Exclusions from Storage Performance Metric Achieved</w:t>
      </w:r>
      <w:r w:rsidR="003E43C4">
        <w:t>)</w:t>
      </w:r>
      <w:r w:rsidR="002E5396">
        <w:t xml:space="preserve">. </w:t>
      </w:r>
      <w:r w:rsidRPr="00FB4053" w:rsidR="007A2FB5">
        <w:t>GPC will calculate t</w:t>
      </w:r>
      <w:r w:rsidRPr="00FB4053">
        <w:t>he Energy Storage Performance Metric for each Month as follows:</w:t>
      </w:r>
    </w:p>
    <w:p w:rsidRPr="005A1320" w:rsidR="00C40F86" w:rsidP="00EE68FA" w:rsidRDefault="00C40F86" w14:paraId="548F4151" w14:textId="09A2A90E">
      <w:pPr>
        <w:pStyle w:val="zGNormal"/>
        <w:ind w:left="720" w:firstLine="720"/>
      </w:pPr>
      <m:oMath>
        <m:r>
          <m:rPr>
            <m:sty m:val="b"/>
          </m:rPr>
          <w:rPr>
            <w:rFonts w:ascii="Cambria Math" w:hAnsi="Cambria Math"/>
          </w:rPr>
          <m:t>Energy Storage Performance Metric</m:t>
        </m:r>
        <m:r>
          <m:rPr>
            <m:sty m:val="p"/>
          </m:rPr>
          <w:rPr>
            <w:rFonts w:ascii="Cambria Math" w:hAnsi="Cambria Math"/>
          </w:rPr>
          <m:t>=</m:t>
        </m:r>
      </m:oMath>
      <w:r w:rsidRPr="005A1320">
        <w:t> </w:t>
      </w:r>
      <m:oMath>
        <m:r>
          <w:rPr>
            <w:rFonts w:ascii="Cambria Math" w:hAnsi="Cambria Math"/>
          </w:rPr>
          <m:t>[</m:t>
        </m:r>
        <m:f>
          <m:fPr>
            <m:ctrlPr>
              <w:rPr>
                <w:rFonts w:ascii="Cambria Math" w:hAnsi="Cambria Math"/>
              </w:rPr>
            </m:ctrlPr>
          </m:fPr>
          <m:num>
            <m:sSub>
              <m:sSubPr>
                <m:ctrlPr>
                  <w:rPr>
                    <w:rFonts w:ascii="Cambria Math" w:hAnsi="Cambria Math"/>
                  </w:rPr>
                </m:ctrlPr>
              </m:sSubPr>
              <m:e>
                <m:nary>
                  <m:naryPr>
                    <m:chr m:val="∑"/>
                    <m:limLoc m:val="undOvr"/>
                    <m:ctrlPr>
                      <w:rPr>
                        <w:rFonts w:ascii="Cambria Math" w:hAnsi="Cambria Math"/>
                      </w:rPr>
                    </m:ctrlPr>
                  </m:naryPr>
                  <m:sub>
                    <m:r>
                      <w:rPr>
                        <w:rFonts w:ascii="Cambria Math" w:hAnsi="Cambria Math"/>
                      </w:rPr>
                      <m:t>i=1</m:t>
                    </m:r>
                  </m:sub>
                  <m:sup>
                    <m:r>
                      <w:rPr>
                        <w:rFonts w:ascii="Cambria Math" w:hAnsi="Cambria Math"/>
                      </w:rPr>
                      <m:t>n</m:t>
                    </m:r>
                  </m:sup>
                  <m:e>
                    <m:r>
                      <m:rPr>
                        <m:sty m:val="p"/>
                      </m:rPr>
                      <w:rPr>
                        <w:rFonts w:ascii="Cambria Math" w:hAnsi="Cambria Math"/>
                      </w:rPr>
                      <m:t>5-Minute Average Storage Capability</m:t>
                    </m:r>
                  </m:e>
                </m:nary>
              </m:e>
              <m:sub>
                <m:r>
                  <m:rPr>
                    <m:sty m:val="p"/>
                  </m:rPr>
                  <w:rPr>
                    <w:rFonts w:ascii="Cambria Math" w:hAnsi="Cambria Math"/>
                  </w:rPr>
                  <m:t>i</m:t>
                </m:r>
              </m:sub>
            </m:sSub>
            <m:r>
              <m:rPr>
                <m:sty m:val="p"/>
              </m:rPr>
              <w:rPr>
                <w:rStyle w:val="eop"/>
                <w:rFonts w:ascii="Cambria Math" w:hAnsi="Cambria Math"/>
              </w:rPr>
              <m:t xml:space="preserve"> </m:t>
            </m:r>
          </m:num>
          <m:den>
            <m:sSub>
              <m:sSubPr>
                <m:ctrlPr>
                  <w:rPr>
                    <w:rFonts w:ascii="Cambria Math" w:hAnsi="Cambria Math"/>
                  </w:rPr>
                </m:ctrlPr>
              </m:sSubPr>
              <m:e>
                <m:nary>
                  <m:naryPr>
                    <m:chr m:val="∑"/>
                    <m:limLoc m:val="undOvr"/>
                    <m:ctrlPr>
                      <w:rPr>
                        <w:rFonts w:ascii="Cambria Math" w:hAnsi="Cambria Math"/>
                      </w:rPr>
                    </m:ctrlPr>
                  </m:naryPr>
                  <m:sub>
                    <m:r>
                      <w:rPr>
                        <w:rFonts w:ascii="Cambria Math" w:hAnsi="Cambria Math"/>
                      </w:rPr>
                      <m:t>i=1</m:t>
                    </m:r>
                  </m:sub>
                  <m:sup>
                    <m:r>
                      <w:rPr>
                        <w:rFonts w:ascii="Cambria Math" w:hAnsi="Cambria Math"/>
                      </w:rPr>
                      <m:t>n</m:t>
                    </m:r>
                  </m:sup>
                  <m:e>
                    <m:r>
                      <m:rPr>
                        <m:sty m:val="p"/>
                      </m:rPr>
                      <w:rPr>
                        <w:rFonts w:ascii="Cambria Math" w:hAnsi="Cambria Math"/>
                      </w:rPr>
                      <m:t>SDOE</m:t>
                    </m:r>
                  </m:e>
                </m:nary>
              </m:e>
              <m:sub>
                <m:r>
                  <m:rPr>
                    <m:sty m:val="p"/>
                  </m:rPr>
                  <w:rPr>
                    <w:rFonts w:ascii="Cambria Math" w:hAnsi="Cambria Math"/>
                  </w:rPr>
                  <m:t>i</m:t>
                </m:r>
              </m:sub>
            </m:sSub>
            <m:r>
              <m:rPr>
                <m:sty m:val="p"/>
              </m:rPr>
              <w:rPr>
                <w:rStyle w:val="eop"/>
                <w:rFonts w:ascii="Cambria Math" w:hAnsi="Cambria Math"/>
              </w:rPr>
              <m:t xml:space="preserve"> </m:t>
            </m:r>
            <m:r>
              <m:rPr>
                <m:sty m:val="p"/>
              </m:rPr>
              <w:rPr>
                <w:rFonts w:ascii="Cambria Math" w:hAnsi="Cambria Math"/>
                <w:vertAlign w:val="subscript"/>
              </w:rPr>
              <w:softHyphen/>
            </m:r>
          </m:den>
        </m:f>
        <m:r>
          <w:rPr>
            <w:rFonts w:ascii="Cambria Math" w:hAnsi="Cambria Math"/>
          </w:rPr>
          <m:t>]</m:t>
        </m:r>
      </m:oMath>
    </w:p>
    <w:p w:rsidRPr="00FB4053" w:rsidR="00C40F86" w:rsidP="00E72FEC" w:rsidRDefault="00C40F86" w14:paraId="16C9AD39" w14:textId="77777777">
      <w:pPr>
        <w:pStyle w:val="zGNormal"/>
        <w:ind w:left="1260"/>
        <w:rPr>
          <w:rStyle w:val="eop"/>
          <w:rFonts w:eastAsiaTheme="majorEastAsia"/>
        </w:rPr>
      </w:pPr>
      <w:r w:rsidRPr="00FB4053">
        <w:rPr>
          <w:rStyle w:val="normaltextrun"/>
          <w:rFonts w:eastAsiaTheme="majorEastAsia"/>
        </w:rPr>
        <w:t>Where:</w:t>
      </w:r>
      <w:r w:rsidRPr="00FB4053">
        <w:rPr>
          <w:rStyle w:val="eop"/>
          <w:rFonts w:eastAsiaTheme="majorEastAsia"/>
        </w:rPr>
        <w:t> </w:t>
      </w:r>
    </w:p>
    <w:p w:rsidRPr="00FB4053" w:rsidR="00C40F86" w:rsidP="00E72FEC" w:rsidRDefault="00C40F86" w14:paraId="520733A8" w14:textId="77777777">
      <w:pPr>
        <w:pStyle w:val="zGNormal"/>
        <w:ind w:left="1260"/>
        <w:rPr>
          <w:rStyle w:val="normaltextrun"/>
          <w:rFonts w:eastAsiaTheme="majorEastAsia"/>
        </w:rPr>
      </w:pPr>
      <w:r w:rsidRPr="00FB4053">
        <w:rPr>
          <w:rStyle w:val="normaltextrun"/>
          <w:rFonts w:eastAsiaTheme="majorEastAsia"/>
        </w:rPr>
        <w:tab/>
      </w:r>
      <w:r w:rsidRPr="00FB4053">
        <w:rPr>
          <w:rStyle w:val="normaltextrun"/>
          <w:rFonts w:eastAsiaTheme="majorEastAsia"/>
        </w:rPr>
        <w:tab/>
      </w:r>
    </w:p>
    <w:p w:rsidRPr="00FB4053" w:rsidR="00C40F86" w:rsidP="00E72FEC" w:rsidRDefault="00C40F86" w14:paraId="6119A23A" w14:textId="6ABDF612">
      <w:pPr>
        <w:pStyle w:val="zGNormal"/>
        <w:ind w:left="1260"/>
      </w:pPr>
      <w:r w:rsidRPr="00FB4053">
        <w:rPr>
          <w:rStyle w:val="normaltextrun"/>
          <w:rFonts w:eastAsiaTheme="majorEastAsia"/>
        </w:rPr>
        <w:lastRenderedPageBreak/>
        <w:t xml:space="preserve">n = total number of </w:t>
      </w:r>
      <w:r w:rsidR="002E5396">
        <w:rPr>
          <w:rStyle w:val="normaltextrun"/>
          <w:rFonts w:eastAsiaTheme="majorEastAsia"/>
        </w:rPr>
        <w:t>5-minute periods</w:t>
      </w:r>
      <w:r w:rsidRPr="00FB4053" w:rsidR="002E5396">
        <w:rPr>
          <w:rStyle w:val="normaltextrun"/>
          <w:rFonts w:eastAsiaTheme="majorEastAsia"/>
        </w:rPr>
        <w:t xml:space="preserve"> </w:t>
      </w:r>
      <w:r w:rsidRPr="00FB4053">
        <w:rPr>
          <w:rStyle w:val="normaltextrun"/>
          <w:rFonts w:eastAsiaTheme="majorEastAsia"/>
        </w:rPr>
        <w:t xml:space="preserve">in the Month, excluding </w:t>
      </w:r>
      <w:r w:rsidRPr="00FB4053" w:rsidR="00822B24">
        <w:rPr>
          <w:rStyle w:val="normaltextrun"/>
          <w:rFonts w:eastAsiaTheme="majorEastAsia"/>
        </w:rPr>
        <w:t xml:space="preserve">any </w:t>
      </w:r>
      <w:r w:rsidRPr="00FB4053">
        <w:rPr>
          <w:rStyle w:val="normaltextrun"/>
          <w:rFonts w:eastAsiaTheme="majorEastAsia"/>
        </w:rPr>
        <w:t>Scheduled Outage</w:t>
      </w:r>
      <w:r w:rsidR="002E5396">
        <w:rPr>
          <w:rStyle w:val="normaltextrun"/>
          <w:rFonts w:eastAsiaTheme="majorEastAsia"/>
        </w:rPr>
        <w:t>,</w:t>
      </w:r>
      <w:r w:rsidRPr="00FB4053" w:rsidR="00822B24">
        <w:rPr>
          <w:rStyle w:val="normaltextrun"/>
          <w:rFonts w:eastAsiaTheme="majorEastAsia"/>
        </w:rPr>
        <w:t xml:space="preserve"> </w:t>
      </w:r>
      <w:r w:rsidRPr="00FB4053">
        <w:rPr>
          <w:rStyle w:val="normaltextrun"/>
          <w:rFonts w:eastAsiaTheme="majorEastAsia"/>
        </w:rPr>
        <w:t>Maintenance Outage</w:t>
      </w:r>
      <w:r w:rsidR="002E5396">
        <w:rPr>
          <w:rStyle w:val="normaltextrun"/>
          <w:rFonts w:eastAsiaTheme="majorEastAsia"/>
        </w:rPr>
        <w:t>, and FME</w:t>
      </w:r>
      <w:r w:rsidRPr="00FB4053">
        <w:rPr>
          <w:rStyle w:val="normaltextrun"/>
          <w:rFonts w:eastAsiaTheme="majorEastAsia"/>
        </w:rPr>
        <w:t>;</w:t>
      </w:r>
      <w:r w:rsidRPr="00FB4053">
        <w:rPr>
          <w:rStyle w:val="eop"/>
          <w:rFonts w:eastAsiaTheme="majorEastAsia"/>
        </w:rPr>
        <w:t> </w:t>
      </w:r>
    </w:p>
    <w:p w:rsidRPr="00FB4053" w:rsidR="00C40F86" w:rsidP="00E72FEC" w:rsidRDefault="00C40F86" w14:paraId="2F7174A5" w14:textId="77777777">
      <w:pPr>
        <w:pStyle w:val="zGNormal"/>
        <w:ind w:left="1260"/>
        <w:rPr>
          <w:rStyle w:val="normaltextrun"/>
          <w:rFonts w:eastAsiaTheme="majorEastAsia"/>
        </w:rPr>
      </w:pPr>
    </w:p>
    <w:p w:rsidRPr="00FB4053" w:rsidR="00C40F86" w:rsidP="00E72FEC" w:rsidRDefault="00C40F86" w14:paraId="2E94B529" w14:textId="5D7A7F44">
      <w:pPr>
        <w:pStyle w:val="zGNormal"/>
        <w:ind w:left="1260"/>
        <w:rPr>
          <w:rStyle w:val="eop"/>
          <w:rFonts w:eastAsiaTheme="majorEastAsia"/>
        </w:rPr>
      </w:pPr>
      <w:r w:rsidRPr="00FB4053">
        <w:rPr>
          <w:rStyle w:val="normaltextrun"/>
          <w:rFonts w:eastAsiaTheme="majorEastAsia"/>
        </w:rPr>
        <w:t xml:space="preserve">i = each </w:t>
      </w:r>
      <w:r w:rsidR="00AE445C">
        <w:rPr>
          <w:rStyle w:val="normaltextrun"/>
          <w:rFonts w:eastAsiaTheme="majorEastAsia"/>
        </w:rPr>
        <w:t>5-minute period</w:t>
      </w:r>
      <w:r w:rsidRPr="00FB4053">
        <w:rPr>
          <w:rStyle w:val="normaltextrun"/>
          <w:rFonts w:eastAsiaTheme="majorEastAsia"/>
        </w:rPr>
        <w:t xml:space="preserve"> in the Month, excluding </w:t>
      </w:r>
      <w:r w:rsidRPr="00FB4053" w:rsidR="006F6744">
        <w:rPr>
          <w:rStyle w:val="normaltextrun"/>
          <w:rFonts w:eastAsiaTheme="majorEastAsia"/>
        </w:rPr>
        <w:t xml:space="preserve">any </w:t>
      </w:r>
      <w:r w:rsidRPr="00FB4053">
        <w:rPr>
          <w:rStyle w:val="normaltextrun"/>
          <w:rFonts w:eastAsiaTheme="majorEastAsia"/>
        </w:rPr>
        <w:t>Scheduled Outage</w:t>
      </w:r>
      <w:r w:rsidR="00AE445C">
        <w:rPr>
          <w:rStyle w:val="normaltextrun"/>
          <w:rFonts w:eastAsiaTheme="majorEastAsia"/>
        </w:rPr>
        <w:t xml:space="preserve">, </w:t>
      </w:r>
      <w:r w:rsidRPr="00FB4053">
        <w:rPr>
          <w:rStyle w:val="normaltextrun"/>
          <w:rFonts w:eastAsiaTheme="majorEastAsia"/>
        </w:rPr>
        <w:t>Maintenance Outage</w:t>
      </w:r>
      <w:r w:rsidR="00AE445C">
        <w:rPr>
          <w:rStyle w:val="normaltextrun"/>
          <w:rFonts w:eastAsiaTheme="majorEastAsia"/>
        </w:rPr>
        <w:t>, and FME</w:t>
      </w:r>
      <w:r w:rsidRPr="00FB4053">
        <w:rPr>
          <w:rStyle w:val="normaltextrun"/>
          <w:rFonts w:eastAsiaTheme="majorEastAsia"/>
        </w:rPr>
        <w:t xml:space="preserve">; </w:t>
      </w:r>
    </w:p>
    <w:p w:rsidRPr="00FB4053" w:rsidR="00C40F86" w:rsidP="00E72FEC" w:rsidRDefault="00C40F86" w14:paraId="19F6A9DB" w14:textId="77777777">
      <w:pPr>
        <w:pStyle w:val="zGNormal"/>
        <w:ind w:left="1260"/>
        <w:rPr>
          <w:rStyle w:val="eop"/>
          <w:rFonts w:eastAsiaTheme="majorEastAsia"/>
        </w:rPr>
      </w:pPr>
    </w:p>
    <w:p w:rsidRPr="00FB4053" w:rsidR="00C40F86" w:rsidP="00E72FEC" w:rsidRDefault="00AE445C" w14:paraId="26DF06BC" w14:textId="59E1E6FC">
      <w:pPr>
        <w:pStyle w:val="zGNormal"/>
        <w:ind w:left="1260"/>
      </w:pPr>
      <w:r>
        <w:rPr>
          <w:rStyle w:val="eop"/>
          <w:rFonts w:eastAsiaTheme="majorEastAsia"/>
          <w:u w:val="single"/>
        </w:rPr>
        <w:t>5-Minute Average</w:t>
      </w:r>
      <w:r w:rsidRPr="00FB4053" w:rsidR="00C40F86">
        <w:rPr>
          <w:rStyle w:val="eop"/>
          <w:rFonts w:eastAsiaTheme="majorEastAsia"/>
          <w:u w:val="single"/>
        </w:rPr>
        <w:t xml:space="preserve"> Storage Capability (MWh)</w:t>
      </w:r>
      <w:r w:rsidRPr="00FB4053" w:rsidR="00C40F86">
        <w:rPr>
          <w:rStyle w:val="eop"/>
          <w:rFonts w:eastAsiaTheme="majorEastAsia"/>
        </w:rPr>
        <w:t xml:space="preserve"> = </w:t>
      </w:r>
      <w:r w:rsidRPr="00FB4053" w:rsidR="00C40F86">
        <w:t xml:space="preserve">The </w:t>
      </w:r>
      <w:r w:rsidR="00910260">
        <w:t>average</w:t>
      </w:r>
      <w:r w:rsidRPr="00FB4053" w:rsidR="00C40F86">
        <w:t xml:space="preserve"> </w:t>
      </w:r>
      <w:r w:rsidR="00910260">
        <w:t xml:space="preserve">capability </w:t>
      </w:r>
      <w:r w:rsidRPr="00FB4053" w:rsidR="00C40F86">
        <w:t xml:space="preserve">for the </w:t>
      </w:r>
      <w:r w:rsidR="00F90220">
        <w:t>B</w:t>
      </w:r>
      <w:r w:rsidRPr="00FB4053" w:rsidR="00C40F86">
        <w:t xml:space="preserve">ESS (which </w:t>
      </w:r>
      <w:r w:rsidRPr="00FB4053" w:rsidR="00181049">
        <w:t>is</w:t>
      </w:r>
      <w:r w:rsidRPr="00FB4053" w:rsidR="00C40F86">
        <w:t xml:space="preserve"> capped at SDOE) </w:t>
      </w:r>
      <w:r w:rsidRPr="00FB4053" w:rsidR="00FA5A45">
        <w:t>A</w:t>
      </w:r>
      <w:r w:rsidRPr="00FB4053" w:rsidR="00C40F86">
        <w:t>vailable</w:t>
      </w:r>
      <w:r w:rsidR="00910260">
        <w:t xml:space="preserve"> during each 5-minute period and</w:t>
      </w:r>
      <w:r w:rsidRPr="00FB4053" w:rsidR="00C40F86">
        <w:t xml:space="preserve"> given any limitation conveyed by Seller or as determined by GPC from Seller’s non-compliance with GPC’s AGC</w:t>
      </w:r>
      <w:r w:rsidRPr="00FB4053" w:rsidR="00353F88">
        <w:t xml:space="preserve"> Setpoint</w:t>
      </w:r>
      <w:r w:rsidRPr="00FB4053" w:rsidR="00C40F86">
        <w:t xml:space="preserve"> signals; and</w:t>
      </w:r>
    </w:p>
    <w:p w:rsidRPr="00FB4053" w:rsidR="00C40F86" w:rsidP="00E72FEC" w:rsidRDefault="00C40F86" w14:paraId="55121B69" w14:textId="77777777">
      <w:pPr>
        <w:pStyle w:val="zGNormal"/>
        <w:ind w:left="1260"/>
        <w:rPr>
          <w:rStyle w:val="eop"/>
          <w:rFonts w:eastAsiaTheme="majorEastAsia"/>
        </w:rPr>
      </w:pPr>
    </w:p>
    <w:p w:rsidRPr="00FB4053" w:rsidR="00C40F86" w:rsidP="00E72FEC" w:rsidRDefault="00C40F86" w14:paraId="32B25F11" w14:textId="0C9547F5">
      <w:pPr>
        <w:pStyle w:val="zGNormal"/>
        <w:ind w:left="1260"/>
      </w:pPr>
      <w:r w:rsidRPr="00FB4053">
        <w:rPr>
          <w:rStyle w:val="eop"/>
          <w:rFonts w:eastAsiaTheme="majorEastAsia"/>
          <w:u w:val="single"/>
        </w:rPr>
        <w:t>SDOE</w:t>
      </w:r>
      <w:r w:rsidRPr="00FB4053">
        <w:rPr>
          <w:rStyle w:val="eop"/>
          <w:rFonts w:eastAsiaTheme="majorEastAsia"/>
        </w:rPr>
        <w:t xml:space="preserve"> = Storage Device Operating Energy</w:t>
      </w:r>
      <w:r w:rsidRPr="00FB4053" w:rsidR="00353F88">
        <w:rPr>
          <w:rStyle w:val="eop"/>
          <w:rFonts w:eastAsiaTheme="majorEastAsia"/>
        </w:rPr>
        <w:t>,</w:t>
      </w:r>
      <w:r w:rsidRPr="00FB4053">
        <w:rPr>
          <w:rStyle w:val="eop"/>
          <w:rFonts w:eastAsiaTheme="majorEastAsia"/>
        </w:rPr>
        <w:t xml:space="preserve"> as defined in the </w:t>
      </w:r>
      <w:r w:rsidRPr="00FB4053">
        <w:t xml:space="preserve">Definitions. </w:t>
      </w:r>
    </w:p>
    <w:p w:rsidRPr="00FB4053" w:rsidR="00C40F86" w:rsidP="00D26207" w:rsidRDefault="00C40F86" w14:paraId="7FF5D36F" w14:textId="77777777">
      <w:pPr>
        <w:pStyle w:val="zGNormal"/>
        <w:rPr>
          <w:rFonts w:eastAsia="Times New Roman"/>
        </w:rPr>
      </w:pPr>
    </w:p>
    <w:p w:rsidRPr="00FB4053" w:rsidR="00C40F86" w:rsidP="00EF1A74" w:rsidRDefault="00C40F86" w14:paraId="14BD3560" w14:textId="57A8C22F">
      <w:pPr>
        <w:pStyle w:val="zGNormal"/>
        <w:ind w:left="720"/>
        <w:rPr>
          <w:rFonts w:eastAsia="Times New Roman"/>
        </w:rPr>
      </w:pPr>
      <w:r w:rsidRPr="00FB4053">
        <w:t xml:space="preserve">The Energy Storage Performance Metric </w:t>
      </w:r>
      <w:r w:rsidRPr="00FB4053" w:rsidR="00353F88">
        <w:t xml:space="preserve">will </w:t>
      </w:r>
      <w:r w:rsidRPr="00FB4053">
        <w:t xml:space="preserve">not exceed 1.0. </w:t>
      </w:r>
      <w:bookmarkStart w:name="_Hlk160230737" w:id="1086"/>
      <w:r w:rsidRPr="00FB4053">
        <w:t>Seller</w:t>
      </w:r>
      <w:r w:rsidRPr="00FB4053" w:rsidDel="00353F88">
        <w:t xml:space="preserve"> </w:t>
      </w:r>
      <w:r w:rsidRPr="00FB4053" w:rsidR="00353F88">
        <w:t xml:space="preserve">must </w:t>
      </w:r>
      <w:r w:rsidRPr="00FB4053">
        <w:t xml:space="preserve">provide GPC real-time access to telemetry data, as described in Exhibit </w:t>
      </w:r>
      <w:r w:rsidRPr="00FB4053" w:rsidR="00243C89">
        <w:t>G</w:t>
      </w:r>
      <w:r w:rsidRPr="00FB4053">
        <w:t xml:space="preserve"> (</w:t>
      </w:r>
      <w:r w:rsidRPr="00FB4053">
        <w:rPr>
          <w:i/>
        </w:rPr>
        <w:t>AGC and Facility Minimum Data Requirements</w:t>
      </w:r>
      <w:r w:rsidRPr="00FB4053">
        <w:t>), from Seller’s control system to</w:t>
      </w:r>
      <w:r w:rsidRPr="00FB4053">
        <w:rPr>
          <w:rFonts w:eastAsia="Times New Roman"/>
        </w:rPr>
        <w:t xml:space="preserve"> facilitate GPC’s </w:t>
      </w:r>
      <w:r w:rsidRPr="00FB4053" w:rsidR="001A2D92">
        <w:rPr>
          <w:rFonts w:eastAsia="Times New Roman"/>
        </w:rPr>
        <w:t xml:space="preserve">calculation </w:t>
      </w:r>
      <w:r w:rsidRPr="00FB4053">
        <w:rPr>
          <w:rFonts w:eastAsia="Times New Roman"/>
        </w:rPr>
        <w:t>of these metrics.</w:t>
      </w:r>
      <w:bookmarkEnd w:id="1086"/>
      <w:r w:rsidRPr="00FB4053">
        <w:rPr>
          <w:rFonts w:eastAsia="Times New Roman"/>
        </w:rPr>
        <w:t xml:space="preserve"> The </w:t>
      </w:r>
      <w:r w:rsidR="007A578B">
        <w:rPr>
          <w:rFonts w:eastAsia="Times New Roman"/>
        </w:rPr>
        <w:t xml:space="preserve">5-Minute Average </w:t>
      </w:r>
      <w:r w:rsidRPr="00FB4053">
        <w:rPr>
          <w:rFonts w:eastAsia="Times New Roman"/>
        </w:rPr>
        <w:t xml:space="preserve">Storage Capability time tolerances </w:t>
      </w:r>
      <w:r w:rsidRPr="00FB4053" w:rsidR="001A2D92">
        <w:rPr>
          <w:rFonts w:eastAsia="Times New Roman"/>
        </w:rPr>
        <w:t xml:space="preserve">will be </w:t>
      </w:r>
      <w:r w:rsidRPr="00FB4053">
        <w:rPr>
          <w:rFonts w:eastAsia="Times New Roman"/>
        </w:rPr>
        <w:t xml:space="preserve">detailed in the Operating Procedures. If applicable, the Operating Procedures will detail how the Energy Storage Performance Metric will be calculated for partial </w:t>
      </w:r>
      <w:r w:rsidR="00F90220">
        <w:rPr>
          <w:rFonts w:eastAsia="Times New Roman"/>
        </w:rPr>
        <w:t>B</w:t>
      </w:r>
      <w:r w:rsidRPr="00FB4053">
        <w:rPr>
          <w:rFonts w:eastAsia="Times New Roman"/>
        </w:rPr>
        <w:t>ESS Availability during Scheduled Outages</w:t>
      </w:r>
      <w:r w:rsidR="006A661F">
        <w:rPr>
          <w:rFonts w:eastAsia="Times New Roman"/>
        </w:rPr>
        <w:t>,</w:t>
      </w:r>
      <w:r w:rsidRPr="00FB4053">
        <w:rPr>
          <w:rFonts w:eastAsia="Times New Roman"/>
        </w:rPr>
        <w:t xml:space="preserve"> Maintenance Outages</w:t>
      </w:r>
      <w:r w:rsidR="006A661F">
        <w:rPr>
          <w:rFonts w:eastAsia="Times New Roman"/>
        </w:rPr>
        <w:t>, and any FME</w:t>
      </w:r>
      <w:r w:rsidRPr="00FB4053">
        <w:rPr>
          <w:rFonts w:eastAsia="Times New Roman"/>
        </w:rPr>
        <w:t xml:space="preserve">. </w:t>
      </w:r>
    </w:p>
    <w:p w:rsidRPr="00FB4053" w:rsidR="00335828" w:rsidP="00D94D93" w:rsidRDefault="00C40F86" w14:paraId="160F9607" w14:textId="77777777">
      <w:pPr>
        <w:pStyle w:val="zGBody2"/>
        <w:numPr>
          <w:ilvl w:val="2"/>
          <w:numId w:val="58"/>
        </w:numPr>
        <w:rPr>
          <w:vanish/>
          <w:specVanish/>
        </w:rPr>
      </w:pPr>
      <w:r w:rsidRPr="00FB4053">
        <w:rPr>
          <w:b w:val="0"/>
        </w:rPr>
        <w:t>Charge/Discharge Rate Performance Metric</w:t>
      </w:r>
      <w:r w:rsidRPr="00FB4053">
        <w:t>.</w:t>
      </w:r>
    </w:p>
    <w:p w:rsidRPr="00FB4053" w:rsidR="00C40F86" w:rsidP="0032039D" w:rsidRDefault="00335828" w14:paraId="39B554A7" w14:textId="6EFB4BCE">
      <w:pPr>
        <w:pStyle w:val="zGBody3"/>
      </w:pPr>
      <w:r w:rsidRPr="00FB4053">
        <w:t xml:space="preserve"> </w:t>
      </w:r>
      <w:r w:rsidRPr="00FB4053" w:rsidR="00C40F86">
        <w:t xml:space="preserve"> The Charge/Discharge Rate Performance Metric will be calculated for each Month as follows: (Note: all negative values will be converted to absolute values for calculation of this metric):</w:t>
      </w:r>
    </w:p>
    <w:p w:rsidRPr="00FB4053" w:rsidR="00C40F86" w:rsidP="00C40F86" w:rsidRDefault="00C40F86" w14:paraId="72F2B079" w14:textId="77777777">
      <w:pPr>
        <w:pStyle w:val="ListParagraph"/>
        <w:widowControl w:val="0"/>
        <w:ind w:left="1170"/>
        <w:jc w:val="both"/>
        <w:textAlignment w:val="baseline"/>
        <w:rPr>
          <w:rFonts w:ascii="Arial" w:hAnsi="Arial" w:eastAsia="Times New Roman" w:cs="Arial"/>
          <w:sz w:val="20"/>
          <w:szCs w:val="20"/>
        </w:rPr>
      </w:pPr>
    </w:p>
    <w:p w:rsidRPr="00FB4053" w:rsidR="00C40F86" w:rsidP="00C40F86" w:rsidRDefault="00C40F86" w14:paraId="6368F922" w14:textId="77777777">
      <w:pPr>
        <w:widowControl w:val="0"/>
        <w:ind w:left="1170"/>
        <w:jc w:val="center"/>
        <w:rPr>
          <w:rFonts w:ascii="Arial" w:hAnsi="Arial" w:cs="Arial" w:eastAsiaTheme="minorEastAsia"/>
          <w:sz w:val="20"/>
          <w:szCs w:val="20"/>
        </w:rPr>
      </w:pPr>
      <m:oMathPara>
        <m:oMath>
          <m:r>
            <m:rPr>
              <m:nor/>
            </m:rPr>
            <w:rPr>
              <w:rFonts w:ascii="Arial" w:hAnsi="Arial" w:cs="Arial"/>
              <w:b/>
              <w:sz w:val="20"/>
              <w:szCs w:val="20"/>
            </w:rPr>
            <m:t>Charge/Discharge Rate Performance Metric</m:t>
          </m:r>
          <m:r>
            <m:rPr>
              <m:sty m:val="p"/>
            </m:rPr>
            <w:rPr>
              <w:rFonts w:ascii="Cambria Math" w:hAnsi="Cambria Math" w:cs="Arial"/>
              <w:sz w:val="20"/>
              <w:szCs w:val="20"/>
            </w:rPr>
            <m:t>=</m:t>
          </m:r>
        </m:oMath>
      </m:oMathPara>
    </w:p>
    <w:p w:rsidRPr="00FB4053" w:rsidR="00C40F86" w:rsidP="00C40F86" w:rsidRDefault="00284E97" w14:paraId="4D2A6BD6" w14:textId="645054F6">
      <w:pPr>
        <w:widowControl w:val="0"/>
        <w:ind w:left="1170"/>
        <w:jc w:val="center"/>
        <w:rPr>
          <w:rFonts w:ascii="Arial" w:hAnsi="Arial" w:cs="Arial" w:eastAsiaTheme="minorEastAsia"/>
          <w:sz w:val="20"/>
          <w:szCs w:val="20"/>
        </w:rPr>
      </w:pPr>
      <m:oMath>
        <m:r>
          <m:rPr>
            <m:sty m:val="p"/>
          </m:rPr>
          <w:rPr>
            <w:rFonts w:ascii="Cambria Math" w:hAnsi="Cambria Math" w:cs="Arial"/>
            <w:sz w:val="20"/>
            <w:szCs w:val="20"/>
          </w:rPr>
          <m:t>[</m:t>
        </m:r>
        <m:f>
          <m:fPr>
            <m:ctrlPr>
              <w:rPr>
                <w:rFonts w:ascii="Cambria Math" w:hAnsi="Cambria Math" w:cs="Arial"/>
                <w:sz w:val="20"/>
                <w:szCs w:val="20"/>
              </w:rPr>
            </m:ctrlPr>
          </m:fPr>
          <m:num>
            <m:sSub>
              <m:sSubPr>
                <m:ctrlPr>
                  <w:rPr>
                    <w:rFonts w:ascii="Cambria Math" w:hAnsi="Cambria Math" w:cs="Arial"/>
                    <w:sz w:val="20"/>
                    <w:szCs w:val="20"/>
                  </w:rPr>
                </m:ctrlPr>
              </m:sSubPr>
              <m:e>
                <m:nary>
                  <m:naryPr>
                    <m:chr m:val="∑"/>
                    <m:limLoc m:val="undOvr"/>
                    <m:ctrlPr>
                      <w:rPr>
                        <w:rFonts w:ascii="Cambria Math" w:hAnsi="Cambria Math" w:cs="Arial"/>
                        <w:sz w:val="20"/>
                        <w:szCs w:val="20"/>
                      </w:rPr>
                    </m:ctrlPr>
                  </m:naryPr>
                  <m:sub>
                    <m:r>
                      <w:rPr>
                        <w:rFonts w:ascii="Cambria Math" w:hAnsi="Cambria Math" w:cs="Arial"/>
                        <w:sz w:val="20"/>
                        <w:szCs w:val="20"/>
                      </w:rPr>
                      <m:t>i=1</m:t>
                    </m:r>
                  </m:sub>
                  <m:sup>
                    <m:r>
                      <w:rPr>
                        <w:rFonts w:ascii="Cambria Math" w:hAnsi="Cambria Math" w:cs="Arial"/>
                        <w:sz w:val="20"/>
                        <w:szCs w:val="20"/>
                      </w:rPr>
                      <m:t>n</m:t>
                    </m:r>
                  </m:sup>
                  <m:e>
                    <m:r>
                      <m:rPr>
                        <m:sty m:val="p"/>
                      </m:rPr>
                      <w:rPr>
                        <w:rFonts w:ascii="Cambria Math" w:hAnsi="Cambria Math" w:cs="Arial"/>
                        <w:sz w:val="20"/>
                        <w:szCs w:val="20"/>
                      </w:rPr>
                      <m:t>5-Minute Average Charge/Discharge Rate Limit</m:t>
                    </m:r>
                  </m:e>
                </m:nary>
              </m:e>
              <m:sub>
                <m:r>
                  <m:rPr>
                    <m:sty m:val="p"/>
                  </m:rPr>
                  <w:rPr>
                    <w:rFonts w:ascii="Cambria Math" w:hAnsi="Cambria Math" w:cs="Arial"/>
                    <w:sz w:val="20"/>
                    <w:szCs w:val="20"/>
                  </w:rPr>
                  <m:t>i</m:t>
                </m:r>
              </m:sub>
            </m:sSub>
            <m:r>
              <m:rPr>
                <m:sty m:val="p"/>
              </m:rPr>
              <w:rPr>
                <w:rStyle w:val="eop"/>
                <w:rFonts w:ascii="Cambria Math" w:hAnsi="Cambria Math" w:cs="Arial"/>
                <w:sz w:val="20"/>
                <w:szCs w:val="20"/>
              </w:rPr>
              <m:t xml:space="preserve"> </m:t>
            </m:r>
          </m:num>
          <m:den>
            <m:sSub>
              <m:sSubPr>
                <m:ctrlPr>
                  <w:rPr>
                    <w:rFonts w:ascii="Cambria Math" w:hAnsi="Cambria Math" w:cs="Arial"/>
                    <w:sz w:val="20"/>
                    <w:szCs w:val="20"/>
                  </w:rPr>
                </m:ctrlPr>
              </m:sSubPr>
              <m:e>
                <m:nary>
                  <m:naryPr>
                    <m:chr m:val="∑"/>
                    <m:limLoc m:val="undOvr"/>
                    <m:ctrlPr>
                      <w:rPr>
                        <w:rFonts w:ascii="Cambria Math" w:hAnsi="Cambria Math" w:cs="Arial"/>
                        <w:sz w:val="20"/>
                        <w:szCs w:val="20"/>
                      </w:rPr>
                    </m:ctrlPr>
                  </m:naryPr>
                  <m:sub>
                    <m:r>
                      <w:rPr>
                        <w:rFonts w:ascii="Cambria Math" w:hAnsi="Cambria Math" w:cs="Arial"/>
                        <w:sz w:val="20"/>
                        <w:szCs w:val="20"/>
                      </w:rPr>
                      <m:t>i=1</m:t>
                    </m:r>
                  </m:sub>
                  <m:sup>
                    <m:r>
                      <w:rPr>
                        <w:rFonts w:ascii="Cambria Math" w:hAnsi="Cambria Math" w:cs="Arial"/>
                        <w:sz w:val="20"/>
                        <w:szCs w:val="20"/>
                      </w:rPr>
                      <m:t>n</m:t>
                    </m:r>
                  </m:sup>
                  <m:e>
                    <m:r>
                      <m:rPr>
                        <m:sty m:val="p"/>
                      </m:rPr>
                      <w:rPr>
                        <w:rFonts w:ascii="Cambria Math" w:hAnsi="Cambria Math" w:cs="Arial"/>
                        <w:sz w:val="20"/>
                        <w:szCs w:val="20"/>
                        <w:vertAlign w:val="subscript"/>
                      </w:rPr>
                      <m:t>Maximum Rate of Charge or Discharge</m:t>
                    </m:r>
                  </m:e>
                </m:nary>
              </m:e>
              <m:sub>
                <m:r>
                  <m:rPr>
                    <m:sty m:val="p"/>
                  </m:rPr>
                  <w:rPr>
                    <w:rFonts w:ascii="Cambria Math" w:hAnsi="Cambria Math" w:cs="Arial"/>
                    <w:sz w:val="20"/>
                    <w:szCs w:val="20"/>
                  </w:rPr>
                  <m:t>i</m:t>
                </m:r>
              </m:sub>
            </m:sSub>
            <m:r>
              <m:rPr>
                <m:sty m:val="p"/>
              </m:rPr>
              <w:rPr>
                <w:rStyle w:val="eop"/>
                <w:rFonts w:ascii="Cambria Math" w:hAnsi="Cambria Math" w:cs="Arial"/>
                <w:sz w:val="20"/>
                <w:szCs w:val="20"/>
              </w:rPr>
              <m:t xml:space="preserve"> </m:t>
            </m:r>
            <m:r>
              <m:rPr>
                <m:sty m:val="p"/>
              </m:rPr>
              <w:rPr>
                <w:rFonts w:ascii="Cambria Math" w:hAnsi="Cambria Math" w:cs="Arial"/>
                <w:sz w:val="20"/>
                <w:szCs w:val="20"/>
                <w:vertAlign w:val="subscript"/>
              </w:rPr>
              <w:softHyphen/>
            </m:r>
          </m:den>
        </m:f>
        <m:r>
          <w:rPr>
            <w:rFonts w:ascii="Cambria Math" w:hAnsi="Cambria Math" w:cs="Arial"/>
            <w:sz w:val="20"/>
            <w:szCs w:val="20"/>
          </w:rPr>
          <m:t>]</m:t>
        </m:r>
      </m:oMath>
      <w:r w:rsidRPr="00FB4053" w:rsidR="00C40F86">
        <w:rPr>
          <w:rFonts w:ascii="Arial" w:hAnsi="Arial" w:cs="Arial" w:eastAsiaTheme="minorEastAsia"/>
          <w:sz w:val="20"/>
          <w:szCs w:val="20"/>
        </w:rPr>
        <w:t xml:space="preserve"> </w:t>
      </w:r>
    </w:p>
    <w:p w:rsidRPr="00FB4053" w:rsidR="00C40F86" w:rsidP="00E72FEC" w:rsidRDefault="00C40F86" w14:paraId="6F77CC74" w14:textId="77777777">
      <w:pPr>
        <w:pStyle w:val="paragraph"/>
        <w:widowControl w:val="0"/>
        <w:spacing w:before="0" w:beforeAutospacing="0" w:after="0" w:afterAutospacing="0"/>
        <w:ind w:left="1260"/>
        <w:textAlignment w:val="baseline"/>
        <w:rPr>
          <w:rFonts w:ascii="Arial" w:hAnsi="Arial" w:cs="Arial"/>
          <w:sz w:val="20"/>
          <w:szCs w:val="20"/>
        </w:rPr>
      </w:pPr>
      <w:r w:rsidRPr="00FB4053">
        <w:rPr>
          <w:rStyle w:val="normaltextrun"/>
          <w:rFonts w:ascii="Arial" w:hAnsi="Arial" w:cs="Arial" w:eastAsiaTheme="majorEastAsia"/>
          <w:sz w:val="20"/>
          <w:szCs w:val="20"/>
        </w:rPr>
        <w:t>Where:</w:t>
      </w:r>
      <w:r w:rsidRPr="00FB4053">
        <w:rPr>
          <w:rStyle w:val="eop"/>
          <w:rFonts w:ascii="Arial" w:hAnsi="Arial" w:cs="Arial" w:eastAsiaTheme="majorEastAsia"/>
          <w:sz w:val="20"/>
          <w:szCs w:val="20"/>
        </w:rPr>
        <w:t> </w:t>
      </w:r>
    </w:p>
    <w:p w:rsidRPr="00FB4053" w:rsidR="00C40F86" w:rsidP="00E72FEC" w:rsidRDefault="00C40F86" w14:paraId="61EB6491" w14:textId="77777777">
      <w:pPr>
        <w:pStyle w:val="paragraph"/>
        <w:widowControl w:val="0"/>
        <w:spacing w:before="0" w:beforeAutospacing="0" w:after="0" w:afterAutospacing="0"/>
        <w:ind w:left="1260"/>
        <w:textAlignment w:val="baseline"/>
        <w:rPr>
          <w:rStyle w:val="normaltextrun"/>
          <w:rFonts w:ascii="Arial" w:hAnsi="Arial" w:cs="Arial" w:eastAsiaTheme="majorEastAsia"/>
          <w:sz w:val="20"/>
          <w:szCs w:val="20"/>
        </w:rPr>
      </w:pPr>
    </w:p>
    <w:p w:rsidRPr="00FB4053" w:rsidR="00C40F86" w:rsidP="00E72FEC" w:rsidRDefault="00C40F86" w14:paraId="610E4D73" w14:textId="5A44B15B">
      <w:pPr>
        <w:pStyle w:val="paragraph"/>
        <w:widowControl w:val="0"/>
        <w:spacing w:before="0" w:beforeAutospacing="0" w:after="0" w:afterAutospacing="0"/>
        <w:ind w:left="1260"/>
        <w:jc w:val="both"/>
        <w:textAlignment w:val="baseline"/>
        <w:rPr>
          <w:rFonts w:ascii="Arial" w:hAnsi="Arial" w:cs="Arial" w:eastAsiaTheme="majorEastAsia"/>
          <w:sz w:val="20"/>
          <w:szCs w:val="20"/>
        </w:rPr>
      </w:pPr>
      <w:r w:rsidRPr="00FB4053">
        <w:rPr>
          <w:rStyle w:val="normaltextrun"/>
          <w:rFonts w:ascii="Arial" w:hAnsi="Arial" w:cs="Arial" w:eastAsiaTheme="majorEastAsia"/>
          <w:sz w:val="20"/>
          <w:szCs w:val="20"/>
        </w:rPr>
        <w:t xml:space="preserve">n = total number of </w:t>
      </w:r>
      <w:r w:rsidR="00094C39">
        <w:rPr>
          <w:rStyle w:val="normaltextrun"/>
          <w:rFonts w:ascii="Arial" w:hAnsi="Arial" w:cs="Arial" w:eastAsiaTheme="majorEastAsia"/>
          <w:sz w:val="20"/>
          <w:szCs w:val="20"/>
        </w:rPr>
        <w:t>5-minute periods</w:t>
      </w:r>
      <w:r w:rsidRPr="00FB4053">
        <w:rPr>
          <w:rStyle w:val="normaltextrun"/>
          <w:rFonts w:ascii="Arial" w:hAnsi="Arial" w:cs="Arial" w:eastAsiaTheme="majorEastAsia"/>
          <w:sz w:val="20"/>
          <w:szCs w:val="20"/>
        </w:rPr>
        <w:t xml:space="preserve"> in the Month, excluding</w:t>
      </w:r>
      <w:r w:rsidRPr="00FB4053" w:rsidR="00E72FEC">
        <w:rPr>
          <w:rStyle w:val="normaltextrun"/>
          <w:rFonts w:ascii="Arial" w:hAnsi="Arial" w:cs="Arial" w:eastAsiaTheme="majorEastAsia"/>
          <w:sz w:val="20"/>
          <w:szCs w:val="20"/>
        </w:rPr>
        <w:t xml:space="preserve"> </w:t>
      </w:r>
      <w:r w:rsidR="007F1240">
        <w:rPr>
          <w:rStyle w:val="normaltextrun"/>
          <w:rFonts w:ascii="Arial" w:hAnsi="Arial" w:cs="Arial" w:eastAsiaTheme="majorEastAsia"/>
          <w:sz w:val="20"/>
          <w:szCs w:val="20"/>
        </w:rPr>
        <w:t>those periods stated in Section 2.3.3 (</w:t>
      </w:r>
      <w:r w:rsidRPr="007F1240" w:rsidR="007F1240">
        <w:rPr>
          <w:rStyle w:val="normaltextrun"/>
          <w:rFonts w:ascii="Arial" w:hAnsi="Arial" w:cs="Arial" w:eastAsiaTheme="majorEastAsia"/>
          <w:i/>
          <w:iCs/>
          <w:sz w:val="20"/>
          <w:szCs w:val="20"/>
        </w:rPr>
        <w:t>Exclusions from Storage Performance Metric Achieved</w:t>
      </w:r>
      <w:r w:rsidR="007F1240">
        <w:rPr>
          <w:rStyle w:val="normaltextrun"/>
          <w:rFonts w:ascii="Arial" w:hAnsi="Arial" w:cs="Arial" w:eastAsiaTheme="majorEastAsia"/>
          <w:sz w:val="20"/>
          <w:szCs w:val="20"/>
        </w:rPr>
        <w:t>)</w:t>
      </w:r>
      <w:r w:rsidRPr="00FB4053">
        <w:rPr>
          <w:rStyle w:val="normaltextrun"/>
          <w:rFonts w:ascii="Arial" w:hAnsi="Arial" w:cs="Arial" w:eastAsiaTheme="majorEastAsia"/>
          <w:sz w:val="20"/>
          <w:szCs w:val="20"/>
        </w:rPr>
        <w:t>;</w:t>
      </w:r>
      <w:r w:rsidRPr="00FB4053">
        <w:rPr>
          <w:rStyle w:val="eop"/>
          <w:rFonts w:ascii="Arial" w:hAnsi="Arial" w:cs="Arial" w:eastAsiaTheme="majorEastAsia"/>
          <w:sz w:val="20"/>
          <w:szCs w:val="20"/>
        </w:rPr>
        <w:t> </w:t>
      </w:r>
    </w:p>
    <w:p w:rsidRPr="00FB4053" w:rsidR="00C40F86" w:rsidP="00E72FEC" w:rsidRDefault="00C40F86" w14:paraId="7CBE1774" w14:textId="77777777">
      <w:pPr>
        <w:pStyle w:val="paragraph"/>
        <w:widowControl w:val="0"/>
        <w:spacing w:before="0" w:beforeAutospacing="0" w:after="0" w:afterAutospacing="0"/>
        <w:ind w:left="1260" w:firstLine="720"/>
        <w:jc w:val="both"/>
        <w:textAlignment w:val="baseline"/>
        <w:rPr>
          <w:rStyle w:val="normaltextrun"/>
          <w:rFonts w:ascii="Arial" w:hAnsi="Arial" w:cs="Arial" w:eastAsiaTheme="majorEastAsia"/>
          <w:sz w:val="20"/>
          <w:szCs w:val="20"/>
        </w:rPr>
      </w:pPr>
    </w:p>
    <w:p w:rsidRPr="00FB4053" w:rsidR="00C40F86" w:rsidP="00E72FEC" w:rsidRDefault="00C40F86" w14:paraId="2396C5D0" w14:textId="0633C0DD">
      <w:pPr>
        <w:pStyle w:val="paragraph"/>
        <w:widowControl w:val="0"/>
        <w:spacing w:before="0" w:beforeAutospacing="0" w:after="0" w:afterAutospacing="0"/>
        <w:ind w:left="1260"/>
        <w:jc w:val="both"/>
        <w:textAlignment w:val="baseline"/>
        <w:rPr>
          <w:rStyle w:val="eop"/>
          <w:rFonts w:ascii="Arial" w:hAnsi="Arial" w:cs="Arial" w:eastAsiaTheme="majorEastAsia"/>
          <w:sz w:val="20"/>
          <w:szCs w:val="20"/>
        </w:rPr>
      </w:pPr>
      <w:r w:rsidRPr="00FB4053">
        <w:rPr>
          <w:rStyle w:val="normaltextrun"/>
          <w:rFonts w:ascii="Arial" w:hAnsi="Arial" w:cs="Arial" w:eastAsiaTheme="majorEastAsia"/>
          <w:sz w:val="20"/>
          <w:szCs w:val="20"/>
        </w:rPr>
        <w:t xml:space="preserve">i = each </w:t>
      </w:r>
      <w:r w:rsidR="00094C39">
        <w:rPr>
          <w:rStyle w:val="normaltextrun"/>
          <w:rFonts w:ascii="Arial" w:hAnsi="Arial" w:cs="Arial" w:eastAsiaTheme="majorEastAsia"/>
          <w:sz w:val="20"/>
          <w:szCs w:val="20"/>
        </w:rPr>
        <w:t>5-minute period</w:t>
      </w:r>
      <w:r w:rsidRPr="00FB4053">
        <w:rPr>
          <w:rStyle w:val="normaltextrun"/>
          <w:rFonts w:ascii="Arial" w:hAnsi="Arial" w:cs="Arial" w:eastAsiaTheme="majorEastAsia"/>
          <w:sz w:val="20"/>
          <w:szCs w:val="20"/>
        </w:rPr>
        <w:t xml:space="preserve"> in the Month, excluding</w:t>
      </w:r>
      <w:r w:rsidR="00346DA0">
        <w:rPr>
          <w:rStyle w:val="normaltextrun"/>
          <w:rFonts w:ascii="Arial" w:hAnsi="Arial" w:cs="Arial" w:eastAsiaTheme="majorEastAsia"/>
          <w:sz w:val="20"/>
          <w:szCs w:val="20"/>
        </w:rPr>
        <w:t xml:space="preserve"> those periods stated in Section 2.3.3 (</w:t>
      </w:r>
      <w:r w:rsidRPr="007F1240" w:rsidR="00346DA0">
        <w:rPr>
          <w:rStyle w:val="normaltextrun"/>
          <w:rFonts w:ascii="Arial" w:hAnsi="Arial" w:cs="Arial" w:eastAsiaTheme="majorEastAsia"/>
          <w:i/>
          <w:iCs/>
          <w:sz w:val="20"/>
          <w:szCs w:val="20"/>
        </w:rPr>
        <w:t>Exclusions from Storage Performance Metric Achieved</w:t>
      </w:r>
      <w:r w:rsidR="00346DA0">
        <w:rPr>
          <w:rStyle w:val="normaltextrun"/>
          <w:rFonts w:ascii="Arial" w:hAnsi="Arial" w:cs="Arial" w:eastAsiaTheme="majorEastAsia"/>
          <w:sz w:val="20"/>
          <w:szCs w:val="20"/>
        </w:rPr>
        <w:t>)</w:t>
      </w:r>
      <w:r w:rsidRPr="00FB4053">
        <w:rPr>
          <w:rStyle w:val="normaltextrun"/>
          <w:rFonts w:ascii="Arial" w:hAnsi="Arial" w:cs="Arial" w:eastAsiaTheme="majorEastAsia"/>
          <w:sz w:val="20"/>
          <w:szCs w:val="20"/>
        </w:rPr>
        <w:t xml:space="preserve">; </w:t>
      </w:r>
    </w:p>
    <w:p w:rsidRPr="00FB4053" w:rsidR="00C40F86" w:rsidP="00E72FEC" w:rsidRDefault="00C40F86" w14:paraId="6A2F7C06" w14:textId="77777777">
      <w:pPr>
        <w:pStyle w:val="paragraph"/>
        <w:widowControl w:val="0"/>
        <w:spacing w:before="0" w:beforeAutospacing="0" w:after="0" w:afterAutospacing="0"/>
        <w:ind w:left="1260"/>
        <w:jc w:val="both"/>
        <w:textAlignment w:val="baseline"/>
        <w:rPr>
          <w:rStyle w:val="eop"/>
          <w:rFonts w:ascii="Arial" w:hAnsi="Arial" w:cs="Arial" w:eastAsiaTheme="majorEastAsia"/>
          <w:sz w:val="20"/>
          <w:szCs w:val="20"/>
        </w:rPr>
      </w:pPr>
    </w:p>
    <w:p w:rsidRPr="00FB4053" w:rsidR="00C40F86" w:rsidP="00E72FEC" w:rsidRDefault="0035683F" w14:paraId="3AB5EC9D" w14:textId="6412ED2D">
      <w:pPr>
        <w:pStyle w:val="paragraph"/>
        <w:widowControl w:val="0"/>
        <w:spacing w:before="0" w:beforeAutospacing="0" w:after="0" w:afterAutospacing="0"/>
        <w:ind w:left="1260"/>
        <w:jc w:val="both"/>
        <w:textAlignment w:val="baseline"/>
        <w:rPr>
          <w:rStyle w:val="normaltextrun"/>
          <w:rFonts w:ascii="Arial" w:hAnsi="Arial" w:cs="Arial" w:eastAsiaTheme="majorEastAsia"/>
          <w:sz w:val="20"/>
          <w:szCs w:val="20"/>
        </w:rPr>
      </w:pPr>
      <w:r>
        <w:rPr>
          <w:rStyle w:val="eop"/>
          <w:rFonts w:ascii="Arial" w:hAnsi="Arial" w:cs="Arial" w:eastAsiaTheme="majorEastAsia"/>
          <w:sz w:val="20"/>
          <w:szCs w:val="20"/>
          <w:u w:val="single"/>
        </w:rPr>
        <w:t>5-Minute Average</w:t>
      </w:r>
      <w:r w:rsidRPr="00FB4053" w:rsidR="00C40F86">
        <w:rPr>
          <w:rStyle w:val="eop"/>
          <w:rFonts w:ascii="Arial" w:hAnsi="Arial" w:cs="Arial" w:eastAsiaTheme="majorEastAsia"/>
          <w:sz w:val="20"/>
          <w:szCs w:val="20"/>
          <w:u w:val="single"/>
        </w:rPr>
        <w:t xml:space="preserve"> Charge/Discharge Rate Limit (MW)</w:t>
      </w:r>
      <w:r w:rsidRPr="00FB4053" w:rsidR="00C40F86">
        <w:rPr>
          <w:rStyle w:val="eop"/>
          <w:rFonts w:ascii="Arial" w:hAnsi="Arial" w:cs="Arial" w:eastAsiaTheme="majorEastAsia"/>
          <w:sz w:val="20"/>
          <w:szCs w:val="20"/>
        </w:rPr>
        <w:t xml:space="preserve"> = the </w:t>
      </w:r>
      <w:r w:rsidRPr="00FB4053" w:rsidR="00C40F86">
        <w:rPr>
          <w:rFonts w:ascii="Arial" w:hAnsi="Arial" w:cs="Arial"/>
          <w:sz w:val="20"/>
          <w:szCs w:val="20"/>
        </w:rPr>
        <w:t xml:space="preserve">lower of: (i) the </w:t>
      </w:r>
      <w:r w:rsidR="00F20A58">
        <w:rPr>
          <w:rFonts w:ascii="Arial" w:hAnsi="Arial" w:cs="Arial"/>
          <w:sz w:val="20"/>
          <w:szCs w:val="20"/>
        </w:rPr>
        <w:t>average</w:t>
      </w:r>
      <w:r w:rsidRPr="00FB4053" w:rsidR="00F20A58">
        <w:rPr>
          <w:rFonts w:ascii="Arial" w:hAnsi="Arial" w:cs="Arial"/>
          <w:sz w:val="20"/>
          <w:szCs w:val="20"/>
        </w:rPr>
        <w:t xml:space="preserve"> </w:t>
      </w:r>
      <w:r w:rsidRPr="00FB4053" w:rsidR="00C40F86">
        <w:rPr>
          <w:rFonts w:ascii="Arial" w:hAnsi="Arial" w:cs="Arial"/>
          <w:sz w:val="20"/>
          <w:szCs w:val="20"/>
        </w:rPr>
        <w:t xml:space="preserve">rate at which the </w:t>
      </w:r>
      <w:r w:rsidR="00F90220">
        <w:rPr>
          <w:rFonts w:ascii="Arial" w:hAnsi="Arial" w:cs="Arial"/>
          <w:sz w:val="20"/>
          <w:szCs w:val="20"/>
        </w:rPr>
        <w:t>B</w:t>
      </w:r>
      <w:r w:rsidRPr="00FB4053" w:rsidR="00C40F86">
        <w:rPr>
          <w:rFonts w:ascii="Arial" w:hAnsi="Arial" w:cs="Arial"/>
          <w:sz w:val="20"/>
          <w:szCs w:val="20"/>
        </w:rPr>
        <w:t>ESS can be charged (MW)</w:t>
      </w:r>
      <w:r w:rsidR="00F20A58">
        <w:rPr>
          <w:rFonts w:ascii="Arial" w:hAnsi="Arial" w:cs="Arial"/>
          <w:sz w:val="20"/>
          <w:szCs w:val="20"/>
        </w:rPr>
        <w:t xml:space="preserve"> each 5-minute period (capped at the Maximum Rate of</w:t>
      </w:r>
      <w:r w:rsidRPr="00261AEB" w:rsidR="00F20A58">
        <w:rPr>
          <w:rFonts w:ascii="Arial" w:hAnsi="Arial"/>
          <w:sz w:val="20"/>
        </w:rPr>
        <w:t xml:space="preserve"> Charge</w:t>
      </w:r>
      <w:r w:rsidR="00F20A58">
        <w:rPr>
          <w:rFonts w:ascii="Arial" w:hAnsi="Arial" w:cs="Arial"/>
          <w:sz w:val="20"/>
          <w:szCs w:val="20"/>
        </w:rPr>
        <w:t>)</w:t>
      </w:r>
      <w:r w:rsidRPr="00FB4053" w:rsidR="00C40F86">
        <w:rPr>
          <w:rFonts w:ascii="Arial" w:hAnsi="Arial" w:cs="Arial"/>
          <w:sz w:val="20"/>
          <w:szCs w:val="20"/>
        </w:rPr>
        <w:t xml:space="preserve">; or (ii) the </w:t>
      </w:r>
      <w:r w:rsidR="00F20A58">
        <w:rPr>
          <w:rFonts w:ascii="Arial" w:hAnsi="Arial" w:cs="Arial"/>
          <w:sz w:val="20"/>
          <w:szCs w:val="20"/>
        </w:rPr>
        <w:t>average</w:t>
      </w:r>
      <w:r w:rsidRPr="00FB4053" w:rsidR="00C40F86">
        <w:rPr>
          <w:rFonts w:ascii="Arial" w:hAnsi="Arial" w:cs="Arial"/>
          <w:sz w:val="20"/>
          <w:szCs w:val="20"/>
        </w:rPr>
        <w:t xml:space="preserve"> rate at which the </w:t>
      </w:r>
      <w:r w:rsidR="00F90220">
        <w:rPr>
          <w:rFonts w:ascii="Arial" w:hAnsi="Arial" w:cs="Arial"/>
          <w:sz w:val="20"/>
          <w:szCs w:val="20"/>
        </w:rPr>
        <w:t>B</w:t>
      </w:r>
      <w:r w:rsidRPr="00FB4053" w:rsidR="00C40F86">
        <w:rPr>
          <w:rFonts w:ascii="Arial" w:hAnsi="Arial" w:cs="Arial"/>
          <w:sz w:val="20"/>
          <w:szCs w:val="20"/>
        </w:rPr>
        <w:t>ESS can be discharged (MW)</w:t>
      </w:r>
      <w:r w:rsidR="00A96C68">
        <w:rPr>
          <w:rFonts w:ascii="Arial" w:hAnsi="Arial" w:cs="Arial"/>
          <w:sz w:val="20"/>
          <w:szCs w:val="20"/>
        </w:rPr>
        <w:t xml:space="preserve"> </w:t>
      </w:r>
      <w:r w:rsidR="00F20A58">
        <w:rPr>
          <w:rFonts w:ascii="Arial" w:hAnsi="Arial" w:cs="Arial"/>
          <w:sz w:val="20"/>
          <w:szCs w:val="20"/>
        </w:rPr>
        <w:t>each 5-minute period (capped at the SDDC)</w:t>
      </w:r>
      <w:r w:rsidRPr="00FB4053" w:rsidR="00C40F86">
        <w:rPr>
          <w:rFonts w:ascii="Arial" w:hAnsi="Arial" w:cs="Arial"/>
          <w:sz w:val="20"/>
          <w:szCs w:val="20"/>
        </w:rPr>
        <w:t xml:space="preserve">. </w:t>
      </w:r>
      <w:r w:rsidRPr="003C330F" w:rsidR="004D4AE6">
        <w:rPr>
          <w:rFonts w:ascii="Arial" w:hAnsi="Arial" w:cs="Arial" w:eastAsiaTheme="majorEastAsia"/>
          <w:bCs/>
          <w:sz w:val="20"/>
          <w:szCs w:val="20"/>
        </w:rPr>
        <w:t>In five minute periods in which the BESS is fully charged and therefore cannot be charged further, the charge capability will be excluded from the 5-minute Average Charge/</w:t>
      </w:r>
      <w:r w:rsidRPr="00261AEB" w:rsidR="004D4AE6">
        <w:rPr>
          <w:rFonts w:ascii="Arial" w:hAnsi="Arial" w:eastAsiaTheme="majorEastAsia"/>
          <w:sz w:val="20"/>
        </w:rPr>
        <w:t xml:space="preserve">Discharge Rate </w:t>
      </w:r>
      <w:r w:rsidRPr="003C330F" w:rsidR="004D4AE6">
        <w:rPr>
          <w:rFonts w:ascii="Arial" w:hAnsi="Arial" w:cs="Arial" w:eastAsiaTheme="majorEastAsia"/>
          <w:bCs/>
          <w:sz w:val="20"/>
          <w:szCs w:val="20"/>
        </w:rPr>
        <w:t>metric calculation. In five minute periods in which the BESS is fully discharged and therefore cannot be discharged further, discharge rate will be excluded from the 5-Minute Average Charge/Discharge Rate metric.</w:t>
      </w:r>
      <w:r w:rsidR="004D4AE6">
        <w:rPr>
          <w:rFonts w:ascii="Arial" w:hAnsi="Arial" w:cs="Arial" w:eastAsiaTheme="majorEastAsia"/>
          <w:bCs/>
          <w:sz w:val="20"/>
          <w:szCs w:val="20"/>
        </w:rPr>
        <w:t xml:space="preserve"> </w:t>
      </w:r>
      <w:r w:rsidRPr="00FB4053" w:rsidR="00C40F86">
        <w:rPr>
          <w:rFonts w:ascii="Arial" w:hAnsi="Arial" w:cs="Arial"/>
          <w:sz w:val="20"/>
          <w:szCs w:val="20"/>
        </w:rPr>
        <w:t xml:space="preserve">For both numbers, any rate reduction or limit will either be reported by Seller or determined by GPC from Seller’s non-compliance with AGC </w:t>
      </w:r>
      <w:r w:rsidRPr="00FB4053" w:rsidR="00F25574">
        <w:rPr>
          <w:rFonts w:ascii="Arial" w:hAnsi="Arial" w:cs="Arial"/>
          <w:sz w:val="20"/>
          <w:szCs w:val="20"/>
        </w:rPr>
        <w:t>Setpoint</w:t>
      </w:r>
      <w:r w:rsidRPr="00FB4053" w:rsidR="00C40F86">
        <w:rPr>
          <w:rFonts w:ascii="Arial" w:hAnsi="Arial" w:cs="Arial"/>
          <w:sz w:val="20"/>
          <w:szCs w:val="20"/>
        </w:rPr>
        <w:t xml:space="preserve"> signal d</w:t>
      </w:r>
      <w:r w:rsidRPr="00FB4053" w:rsidR="00C40F86">
        <w:rPr>
          <w:rStyle w:val="normaltextrun"/>
          <w:rFonts w:ascii="Arial" w:hAnsi="Arial" w:cs="Arial" w:eastAsiaTheme="majorEastAsia"/>
          <w:sz w:val="20"/>
          <w:szCs w:val="20"/>
        </w:rPr>
        <w:t>etermination criteria (as detailed in the Operating Procedures); and</w:t>
      </w:r>
    </w:p>
    <w:p w:rsidRPr="00FB4053" w:rsidR="00C40F86" w:rsidP="00E72FEC" w:rsidRDefault="00C40F86" w14:paraId="7043153B" w14:textId="77777777">
      <w:pPr>
        <w:pStyle w:val="paragraph"/>
        <w:widowControl w:val="0"/>
        <w:spacing w:before="0" w:beforeAutospacing="0" w:after="0" w:afterAutospacing="0"/>
        <w:ind w:left="1260"/>
        <w:jc w:val="both"/>
        <w:textAlignment w:val="baseline"/>
        <w:rPr>
          <w:rFonts w:ascii="Arial" w:hAnsi="Arial" w:cs="Arial"/>
          <w:sz w:val="20"/>
          <w:szCs w:val="20"/>
        </w:rPr>
      </w:pPr>
    </w:p>
    <w:p w:rsidRPr="00FB4053" w:rsidR="00C40F86" w:rsidP="00E72FEC" w:rsidRDefault="00C40F86" w14:paraId="58925C3D" w14:textId="6B59395E">
      <w:pPr>
        <w:widowControl w:val="0"/>
        <w:spacing w:after="160" w:line="259" w:lineRule="auto"/>
        <w:ind w:left="1260"/>
        <w:jc w:val="both"/>
        <w:rPr>
          <w:rFonts w:ascii="Arial" w:hAnsi="Arial" w:cs="Arial"/>
          <w:sz w:val="20"/>
          <w:szCs w:val="20"/>
        </w:rPr>
      </w:pPr>
      <w:r w:rsidRPr="00FB4053">
        <w:rPr>
          <w:rStyle w:val="eop"/>
          <w:rFonts w:ascii="Arial" w:hAnsi="Arial" w:cs="Arial"/>
          <w:sz w:val="20"/>
          <w:szCs w:val="20"/>
          <w:u w:val="single"/>
        </w:rPr>
        <w:t>Max</w:t>
      </w:r>
      <w:r w:rsidRPr="00FB4053" w:rsidR="00AA71F4">
        <w:rPr>
          <w:rStyle w:val="eop"/>
          <w:rFonts w:ascii="Arial" w:hAnsi="Arial" w:cs="Arial"/>
          <w:sz w:val="20"/>
          <w:szCs w:val="20"/>
          <w:u w:val="single"/>
        </w:rPr>
        <w:t>imum</w:t>
      </w:r>
      <w:r w:rsidRPr="00FB4053">
        <w:rPr>
          <w:rStyle w:val="eop"/>
          <w:rFonts w:ascii="Arial" w:hAnsi="Arial" w:cs="Arial"/>
          <w:sz w:val="20"/>
          <w:szCs w:val="20"/>
          <w:u w:val="single"/>
        </w:rPr>
        <w:t xml:space="preserve"> Rate of Charge or Discharge (MW)</w:t>
      </w:r>
      <w:r w:rsidRPr="00FB4053">
        <w:rPr>
          <w:rStyle w:val="eop"/>
          <w:rFonts w:ascii="Arial" w:hAnsi="Arial" w:cs="Arial"/>
          <w:sz w:val="20"/>
          <w:szCs w:val="20"/>
        </w:rPr>
        <w:t xml:space="preserve"> = </w:t>
      </w:r>
      <w:r w:rsidRPr="00FB4053" w:rsidR="00F266C2">
        <w:rPr>
          <w:rFonts w:ascii="Arial" w:hAnsi="Arial" w:cs="Arial"/>
          <w:sz w:val="20"/>
          <w:szCs w:val="20"/>
        </w:rPr>
        <w:t>The g</w:t>
      </w:r>
      <w:r w:rsidRPr="00FB4053">
        <w:rPr>
          <w:rFonts w:ascii="Arial" w:hAnsi="Arial" w:cs="Arial"/>
          <w:sz w:val="20"/>
          <w:szCs w:val="20"/>
        </w:rPr>
        <w:t xml:space="preserve">uaranteed </w:t>
      </w:r>
      <w:r w:rsidR="00E30146">
        <w:rPr>
          <w:rFonts w:ascii="Arial" w:hAnsi="Arial" w:cs="Arial"/>
          <w:sz w:val="20"/>
          <w:szCs w:val="20"/>
        </w:rPr>
        <w:t>continuous</w:t>
      </w:r>
      <w:r w:rsidRPr="00FB4053" w:rsidR="00E30146">
        <w:rPr>
          <w:rFonts w:ascii="Arial" w:hAnsi="Arial" w:cs="Arial"/>
          <w:sz w:val="20"/>
          <w:szCs w:val="20"/>
        </w:rPr>
        <w:t xml:space="preserve"> </w:t>
      </w:r>
      <w:r w:rsidRPr="00FB4053">
        <w:rPr>
          <w:rFonts w:ascii="Arial" w:hAnsi="Arial" w:cs="Arial"/>
          <w:sz w:val="20"/>
          <w:szCs w:val="20"/>
        </w:rPr>
        <w:t xml:space="preserve">rate at which the </w:t>
      </w:r>
      <w:r w:rsidR="00F90220">
        <w:rPr>
          <w:rFonts w:ascii="Arial" w:hAnsi="Arial" w:cs="Arial"/>
          <w:sz w:val="20"/>
          <w:szCs w:val="20"/>
        </w:rPr>
        <w:lastRenderedPageBreak/>
        <w:t>B</w:t>
      </w:r>
      <w:r w:rsidRPr="00FB4053">
        <w:rPr>
          <w:rFonts w:ascii="Arial" w:hAnsi="Arial" w:cs="Arial"/>
          <w:sz w:val="20"/>
          <w:szCs w:val="20"/>
        </w:rPr>
        <w:t>ESS can be charged or discharged</w:t>
      </w:r>
      <w:r w:rsidRPr="00FB4053" w:rsidR="000E6F90">
        <w:rPr>
          <w:rFonts w:ascii="Arial" w:hAnsi="Arial" w:cs="Arial"/>
          <w:sz w:val="20"/>
          <w:szCs w:val="20"/>
        </w:rPr>
        <w:t>,</w:t>
      </w:r>
      <w:r w:rsidR="00F565E5">
        <w:rPr>
          <w:rFonts w:ascii="Arial" w:hAnsi="Arial" w:cs="Arial"/>
          <w:sz w:val="20"/>
          <w:szCs w:val="20"/>
        </w:rPr>
        <w:t xml:space="preserve"> </w:t>
      </w:r>
      <w:r w:rsidRPr="00F565E5" w:rsidR="00F565E5">
        <w:rPr>
          <w:rStyle w:val="normaltextrun"/>
          <w:rFonts w:ascii="Arial" w:hAnsi="Arial" w:cs="Arial" w:eastAsiaTheme="majorEastAsia"/>
          <w:sz w:val="20"/>
          <w:szCs w:val="20"/>
        </w:rPr>
        <w:t>as specified in Table A-3 (</w:t>
      </w:r>
      <w:r w:rsidRPr="00F565E5" w:rsidR="00F565E5">
        <w:rPr>
          <w:rStyle w:val="normaltextrun"/>
          <w:rFonts w:ascii="Arial" w:hAnsi="Arial" w:cs="Arial" w:eastAsiaTheme="majorEastAsia"/>
          <w:i/>
          <w:iCs/>
          <w:sz w:val="20"/>
          <w:szCs w:val="20"/>
        </w:rPr>
        <w:t>Additional Facility and Operating Information</w:t>
      </w:r>
      <w:r w:rsidRPr="00F565E5" w:rsidR="00F565E5">
        <w:rPr>
          <w:rStyle w:val="normaltextrun"/>
          <w:rFonts w:ascii="Arial" w:hAnsi="Arial" w:cs="Arial" w:eastAsiaTheme="majorEastAsia"/>
          <w:sz w:val="20"/>
          <w:szCs w:val="20"/>
        </w:rPr>
        <w:t>) of Exhibit A (</w:t>
      </w:r>
      <w:r w:rsidRPr="00F565E5" w:rsidR="00F565E5">
        <w:rPr>
          <w:rStyle w:val="normaltextrun"/>
          <w:rFonts w:ascii="Arial" w:hAnsi="Arial" w:cs="Arial" w:eastAsiaTheme="majorEastAsia"/>
          <w:i/>
          <w:iCs/>
          <w:sz w:val="20"/>
          <w:szCs w:val="20"/>
        </w:rPr>
        <w:t>Facility Description and Additional Details</w:t>
      </w:r>
      <w:r w:rsidRPr="00F565E5" w:rsidR="00F565E5">
        <w:rPr>
          <w:rStyle w:val="normaltextrun"/>
          <w:rFonts w:ascii="Arial" w:hAnsi="Arial" w:cs="Arial" w:eastAsiaTheme="majorEastAsia"/>
          <w:sz w:val="20"/>
          <w:szCs w:val="20"/>
        </w:rPr>
        <w:t>)</w:t>
      </w:r>
      <w:r w:rsidRPr="00F565E5">
        <w:rPr>
          <w:rFonts w:ascii="Arial" w:hAnsi="Arial" w:cs="Arial"/>
          <w:sz w:val="20"/>
          <w:szCs w:val="20"/>
        </w:rPr>
        <w:t>.</w:t>
      </w:r>
      <w:r w:rsidRPr="00FB4053">
        <w:rPr>
          <w:rFonts w:ascii="Arial" w:hAnsi="Arial" w:cs="Arial"/>
          <w:sz w:val="20"/>
          <w:szCs w:val="20"/>
        </w:rPr>
        <w:t xml:space="preserve"> For this calculation, GPC will use either the Maximum Rate of Charge</w:t>
      </w:r>
      <w:r w:rsidR="0084349F">
        <w:rPr>
          <w:rFonts w:ascii="Arial" w:hAnsi="Arial" w:cs="Arial"/>
          <w:sz w:val="20"/>
          <w:szCs w:val="20"/>
        </w:rPr>
        <w:t xml:space="preserve"> or the SDDC, whichever corresponds to the charge or discharge rate selected in the numerator above</w:t>
      </w:r>
      <w:r w:rsidRPr="00FB4053" w:rsidR="00BD652B">
        <w:rPr>
          <w:rFonts w:ascii="Arial" w:hAnsi="Arial" w:cs="Arial"/>
          <w:sz w:val="20"/>
          <w:szCs w:val="20"/>
        </w:rPr>
        <w:t xml:space="preserve">. </w:t>
      </w:r>
    </w:p>
    <w:p w:rsidRPr="00060892" w:rsidR="009C0280" w:rsidDel="00062058" w:rsidP="00542149" w:rsidRDefault="00C40F86" w14:paraId="58FF0757" w14:textId="1CB89BA5">
      <w:pPr>
        <w:pStyle w:val="ListParagraph"/>
        <w:widowControl w:val="0"/>
        <w:spacing w:before="120" w:after="120" w:line="240" w:lineRule="auto"/>
        <w:ind w:left="1260"/>
        <w:jc w:val="both"/>
        <w:textAlignment w:val="baseline"/>
        <w:rPr>
          <w:rFonts w:ascii="Arial" w:hAnsi="Arial" w:eastAsia="Times New Roman" w:cs="Arial"/>
          <w:sz w:val="20"/>
          <w:szCs w:val="20"/>
        </w:rPr>
      </w:pPr>
      <w:r w:rsidRPr="00060892">
        <w:rPr>
          <w:rFonts w:ascii="Arial" w:hAnsi="Arial" w:eastAsia="Times New Roman"/>
          <w:sz w:val="20"/>
          <w:szCs w:val="20"/>
        </w:rPr>
        <w:t xml:space="preserve">The Charge/Discharge Rate Performance Metric for a Month </w:t>
      </w:r>
      <w:r w:rsidRPr="00060892" w:rsidR="00027540">
        <w:rPr>
          <w:rFonts w:ascii="Arial" w:hAnsi="Arial" w:eastAsia="Times New Roman"/>
          <w:sz w:val="20"/>
          <w:szCs w:val="20"/>
        </w:rPr>
        <w:t xml:space="preserve">will </w:t>
      </w:r>
      <w:r w:rsidRPr="00060892">
        <w:rPr>
          <w:rFonts w:ascii="Arial" w:hAnsi="Arial" w:eastAsia="Times New Roman"/>
          <w:sz w:val="20"/>
          <w:szCs w:val="20"/>
        </w:rPr>
        <w:t>not exceed 1.0. Seller</w:t>
      </w:r>
      <w:r w:rsidRPr="00060892" w:rsidDel="00027540">
        <w:rPr>
          <w:rFonts w:ascii="Arial" w:hAnsi="Arial" w:eastAsia="Times New Roman"/>
          <w:sz w:val="20"/>
          <w:szCs w:val="20"/>
        </w:rPr>
        <w:t xml:space="preserve"> </w:t>
      </w:r>
      <w:r w:rsidRPr="00060892" w:rsidR="00027540">
        <w:rPr>
          <w:rFonts w:ascii="Arial" w:hAnsi="Arial" w:eastAsia="Times New Roman"/>
          <w:sz w:val="20"/>
          <w:szCs w:val="20"/>
        </w:rPr>
        <w:t xml:space="preserve">must </w:t>
      </w:r>
      <w:r w:rsidRPr="00060892">
        <w:rPr>
          <w:rFonts w:ascii="Arial" w:hAnsi="Arial" w:eastAsia="Times New Roman"/>
          <w:sz w:val="20"/>
          <w:szCs w:val="20"/>
        </w:rPr>
        <w:t xml:space="preserve">provide GPC real-time access to telemetry data, as described in Exhibit </w:t>
      </w:r>
      <w:r w:rsidRPr="00060892" w:rsidR="00243C89">
        <w:rPr>
          <w:rFonts w:ascii="Arial" w:hAnsi="Arial" w:eastAsia="Times New Roman"/>
          <w:sz w:val="20"/>
          <w:szCs w:val="20"/>
        </w:rPr>
        <w:t>G</w:t>
      </w:r>
      <w:r w:rsidRPr="00060892">
        <w:rPr>
          <w:rFonts w:ascii="Arial" w:hAnsi="Arial" w:eastAsia="Times New Roman"/>
          <w:sz w:val="20"/>
          <w:szCs w:val="20"/>
        </w:rPr>
        <w:t xml:space="preserve"> (AGC and Facility Minimum Data Requirements), from Seller’s control system to facilitate GPC’s determination of these metrics. </w:t>
      </w:r>
      <w:r w:rsidRPr="00060892" w:rsidR="003211BA">
        <w:rPr>
          <w:rFonts w:ascii="Arial" w:hAnsi="Arial" w:eastAsia="Times New Roman"/>
          <w:sz w:val="20"/>
          <w:szCs w:val="20"/>
        </w:rPr>
        <w:t>T</w:t>
      </w:r>
      <w:r w:rsidRPr="00060892">
        <w:rPr>
          <w:rFonts w:ascii="Arial" w:hAnsi="Arial" w:eastAsia="Times New Roman"/>
          <w:sz w:val="20"/>
          <w:szCs w:val="20"/>
        </w:rPr>
        <w:t xml:space="preserve">he Operating Procedures </w:t>
      </w:r>
      <w:r w:rsidRPr="00060892" w:rsidR="007D2BE9">
        <w:rPr>
          <w:rFonts w:ascii="Arial" w:hAnsi="Arial" w:eastAsia="Times New Roman"/>
          <w:sz w:val="20"/>
          <w:szCs w:val="20"/>
        </w:rPr>
        <w:t>as described in Section 10.1.2 (</w:t>
      </w:r>
      <w:r w:rsidRPr="00060892" w:rsidR="007D2BE9">
        <w:rPr>
          <w:rFonts w:ascii="Arial" w:hAnsi="Arial" w:eastAsia="Times New Roman"/>
          <w:i/>
          <w:iCs/>
          <w:sz w:val="20"/>
          <w:szCs w:val="20"/>
        </w:rPr>
        <w:t>Written Operating Procedures</w:t>
      </w:r>
      <w:r w:rsidRPr="00060892" w:rsidR="007D2BE9">
        <w:rPr>
          <w:rFonts w:ascii="Arial" w:hAnsi="Arial" w:eastAsia="Times New Roman"/>
          <w:sz w:val="20"/>
          <w:szCs w:val="20"/>
        </w:rPr>
        <w:t xml:space="preserve">) will include specific details for these calculations. </w:t>
      </w:r>
      <w:bookmarkStart w:name="_Hlk160236090" w:id="1087"/>
    </w:p>
    <w:p w:rsidR="0022573E" w:rsidP="00D94D93" w:rsidRDefault="0022573E" w14:paraId="014C9552" w14:textId="23CBEA3B">
      <w:pPr>
        <w:pStyle w:val="zGBody2"/>
        <w:numPr>
          <w:ilvl w:val="2"/>
          <w:numId w:val="58"/>
        </w:numPr>
        <w:spacing w:before="120"/>
      </w:pPr>
      <w:r>
        <w:rPr>
          <w:rFonts w:ascii="Arial" w:hAnsi="Arial" w:eastAsia="Times New Roman"/>
        </w:rPr>
        <w:t xml:space="preserve">Exclusions from Storage Performance Metric Achieved Calculations. </w:t>
      </w:r>
      <w:r>
        <w:rPr>
          <w:rFonts w:ascii="Arial" w:hAnsi="Arial"/>
          <w:b w:val="0"/>
          <w:bCs/>
        </w:rPr>
        <w:t xml:space="preserve">For purposes of calculating the Storage Performance Metric Achieved, GPC will exclude from its calculations any period: (i) the BESS is Unavailable to the extent due to a Scheduled Outage, Maintenance Outage, FME, or GPC’s material breach of this PPA; and (ii) </w:t>
      </w:r>
      <w:r w:rsidRPr="00ED7184">
        <w:rPr>
          <w:rFonts w:ascii="Arial" w:hAnsi="Arial"/>
          <w:b w:val="0"/>
          <w:bCs/>
        </w:rPr>
        <w:t xml:space="preserve">during which </w:t>
      </w:r>
      <w:r w:rsidR="002D324F">
        <w:rPr>
          <w:rFonts w:ascii="Arial" w:hAnsi="Arial"/>
          <w:b w:val="0"/>
          <w:bCs/>
        </w:rPr>
        <w:t xml:space="preserve">(a) </w:t>
      </w:r>
      <w:r w:rsidRPr="00ED7184">
        <w:rPr>
          <w:rFonts w:ascii="Arial" w:hAnsi="Arial"/>
          <w:b w:val="0"/>
          <w:bCs/>
        </w:rPr>
        <w:t xml:space="preserve">GPC did not issue a statistically significant number of AGC signals </w:t>
      </w:r>
      <w:r>
        <w:rPr>
          <w:rFonts w:ascii="Arial" w:hAnsi="Arial"/>
          <w:b w:val="0"/>
          <w:bCs/>
        </w:rPr>
        <w:t xml:space="preserve">or dispatch instructions </w:t>
      </w:r>
      <w:r w:rsidRPr="00ED7184">
        <w:rPr>
          <w:rFonts w:ascii="Arial" w:hAnsi="Arial"/>
          <w:b w:val="0"/>
          <w:bCs/>
        </w:rPr>
        <w:t>(i.e., sufficient AGC signals</w:t>
      </w:r>
      <w:r>
        <w:rPr>
          <w:rFonts w:ascii="Arial" w:hAnsi="Arial"/>
          <w:b w:val="0"/>
          <w:bCs/>
        </w:rPr>
        <w:t xml:space="preserve"> or dispatch instructions</w:t>
      </w:r>
      <w:r w:rsidRPr="00ED7184">
        <w:rPr>
          <w:rFonts w:ascii="Arial" w:hAnsi="Arial"/>
          <w:b w:val="0"/>
          <w:bCs/>
        </w:rPr>
        <w:t xml:space="preserve"> for GPC to fairly and reliably evaluate BESS performance)</w:t>
      </w:r>
      <w:r w:rsidR="002D324F">
        <w:rPr>
          <w:rFonts w:ascii="Arial" w:hAnsi="Arial"/>
          <w:b w:val="0"/>
          <w:bCs/>
        </w:rPr>
        <w:t>, as determined in accordance with the Operating Procedures</w:t>
      </w:r>
      <w:r w:rsidR="00872CCB">
        <w:rPr>
          <w:rFonts w:ascii="Arial" w:hAnsi="Arial"/>
          <w:b w:val="0"/>
          <w:bCs/>
        </w:rPr>
        <w:t>,</w:t>
      </w:r>
      <w:r w:rsidR="00D1304F">
        <w:rPr>
          <w:rFonts w:ascii="Arial" w:hAnsi="Arial"/>
          <w:b w:val="0"/>
          <w:bCs/>
        </w:rPr>
        <w:t xml:space="preserve"> but (b) only </w:t>
      </w:r>
      <w:r w:rsidRPr="00ED7184">
        <w:rPr>
          <w:rFonts w:ascii="Arial" w:hAnsi="Arial"/>
          <w:b w:val="0"/>
          <w:bCs/>
        </w:rPr>
        <w:t xml:space="preserve"> to the extent the lack of </w:t>
      </w:r>
      <w:r>
        <w:rPr>
          <w:rFonts w:ascii="Arial" w:hAnsi="Arial"/>
          <w:b w:val="0"/>
          <w:bCs/>
        </w:rPr>
        <w:t>dispatch</w:t>
      </w:r>
      <w:r w:rsidRPr="00ED7184">
        <w:rPr>
          <w:rFonts w:ascii="Arial" w:hAnsi="Arial"/>
          <w:b w:val="0"/>
          <w:bCs/>
        </w:rPr>
        <w:t xml:space="preserve"> prevents GPC from performing a meaningful assessment of BESS performance, </w:t>
      </w:r>
      <w:r>
        <w:rPr>
          <w:rFonts w:ascii="Arial" w:hAnsi="Arial"/>
          <w:b w:val="0"/>
          <w:bCs/>
        </w:rPr>
        <w:t xml:space="preserve">in each case </w:t>
      </w:r>
      <w:r w:rsidRPr="00ED7184">
        <w:rPr>
          <w:rFonts w:ascii="Arial" w:hAnsi="Arial"/>
          <w:b w:val="0"/>
          <w:bCs/>
        </w:rPr>
        <w:t>as determined in GPC’s sole, but reasonable,</w:t>
      </w:r>
      <w:r>
        <w:rPr>
          <w:rFonts w:ascii="Arial" w:hAnsi="Arial"/>
          <w:b w:val="0"/>
          <w:bCs/>
        </w:rPr>
        <w:t xml:space="preserve"> discretion. </w:t>
      </w:r>
    </w:p>
    <w:p w:rsidRPr="00062058" w:rsidR="009C0280" w:rsidP="0022573E" w:rsidRDefault="009C0280" w14:paraId="4C00191F" w14:textId="77777777">
      <w:pPr>
        <w:pStyle w:val="zGBody2"/>
        <w:spacing w:before="120"/>
        <w:ind w:left="1152"/>
      </w:pPr>
    </w:p>
    <w:bookmarkEnd w:id="1087"/>
    <w:p w:rsidRPr="009C0280" w:rsidR="009C0280" w:rsidP="00D94D93" w:rsidRDefault="009C0280" w14:paraId="4AFDEEEC" w14:textId="6031BA4D">
      <w:pPr>
        <w:pStyle w:val="zGBody2"/>
        <w:numPr>
          <w:ilvl w:val="1"/>
          <w:numId w:val="58"/>
        </w:numPr>
        <w:spacing w:before="120"/>
        <w:rPr>
          <w:rFonts w:ascii="Arial" w:hAnsi="Arial" w:eastAsia="Times New Roman"/>
        </w:rPr>
      </w:pPr>
      <w:r>
        <w:t>Annual RTE Test; Monthly RTE True-Up</w:t>
      </w:r>
      <w:r w:rsidR="00707C87">
        <w:t>; RTE Calculation Guidance</w:t>
      </w:r>
    </w:p>
    <w:p w:rsidRPr="00FB4053" w:rsidR="00895B08" w:rsidP="00D94D93" w:rsidRDefault="009C0280" w14:paraId="37E500A2" w14:textId="77777777">
      <w:pPr>
        <w:pStyle w:val="zGBody2"/>
        <w:numPr>
          <w:ilvl w:val="2"/>
          <w:numId w:val="58"/>
        </w:numPr>
        <w:rPr>
          <w:vanish/>
          <w:specVanish/>
        </w:rPr>
      </w:pPr>
      <w:r>
        <w:rPr>
          <w:b w:val="0"/>
        </w:rPr>
        <w:t>Annual RTE Performance Test</w:t>
      </w:r>
      <w:r>
        <w:t>.</w:t>
      </w:r>
    </w:p>
    <w:p w:rsidRPr="00290174" w:rsidR="009C0280" w:rsidP="005F210C" w:rsidRDefault="00895B08" w14:paraId="18F227F3" w14:textId="6756173F">
      <w:pPr>
        <w:pStyle w:val="zGBody3"/>
      </w:pPr>
      <w:r w:rsidRPr="00FB4053">
        <w:t xml:space="preserve"> </w:t>
      </w:r>
      <w:r w:rsidR="009C0280">
        <w:t xml:space="preserve"> After Commercial Operation and no more than once every Annual Period, Seller must conduct, in coordination with GPC, a Performance Test to demonstrate RTE of the BESS (“</w:t>
      </w:r>
      <w:r w:rsidR="009C0280">
        <w:rPr>
          <w:b/>
          <w:bCs/>
        </w:rPr>
        <w:t>Annual RTE Test</w:t>
      </w:r>
      <w:r w:rsidR="009C0280">
        <w:t xml:space="preserve">”). The Annual RTE Test must: (i) be conducted in accordance with BESS manufacturer specifications and </w:t>
      </w:r>
      <w:r w:rsidR="009F6526">
        <w:t>P</w:t>
      </w:r>
      <w:r w:rsidR="009C0280">
        <w:t xml:space="preserve">rudent </w:t>
      </w:r>
      <w:r w:rsidR="009F6526">
        <w:t>I</w:t>
      </w:r>
      <w:r w:rsidR="009C0280">
        <w:t xml:space="preserve">ndustry </w:t>
      </w:r>
      <w:r w:rsidR="009F6526">
        <w:t>P</w:t>
      </w:r>
      <w:r w:rsidR="009C0280">
        <w:t>ractices; and (ii) accurately measure the actual RTE of the BESS from 0% State of Charge to SDOE and back to 0% State of Charge while operating at the guaranteed parameters stated as Performance Guarantees in Table A-3 (</w:t>
      </w:r>
      <w:r w:rsidR="009C0280">
        <w:rPr>
          <w:i/>
          <w:iCs/>
        </w:rPr>
        <w:t>Additional Facility and Operating Information</w:t>
      </w:r>
      <w:r w:rsidR="009C0280">
        <w:t>) of Exhibit A (</w:t>
      </w:r>
      <w:r w:rsidR="009C0280">
        <w:rPr>
          <w:i/>
          <w:iCs/>
        </w:rPr>
        <w:t>Facility Description and Additional Details</w:t>
      </w:r>
      <w:r w:rsidR="009C0280">
        <w:t>).</w:t>
      </w:r>
    </w:p>
    <w:p w:rsidR="009C0280" w:rsidP="00A21F79" w:rsidRDefault="009C0280" w14:paraId="178C60AF" w14:textId="44EE9477">
      <w:pPr>
        <w:pStyle w:val="zGBody3"/>
        <w:ind w:left="1152"/>
      </w:pPr>
      <w:r>
        <w:t>Where applicable, the Annual RTE Test may allow for adjustments due to ambient temperature in accordance with BESS manufacturer specifications.</w:t>
      </w:r>
      <w:r w:rsidRPr="00802935">
        <w:t xml:space="preserve"> GPC will </w:t>
      </w:r>
      <w:r>
        <w:t xml:space="preserve">have final discretion over the timing of the test charge and discharge, testing procedures, execution of the Performance Test, and any adjustment applied to </w:t>
      </w:r>
      <w:r w:rsidRPr="00802935">
        <w:t xml:space="preserve">determine the </w:t>
      </w:r>
      <w:r>
        <w:t>final test result. Upon confirmation by GPC, the Annual RTE Test result will be deemed the “Annual RTE” for the subsequent Annual Period. For purposes of the first Annual Period, the Annual RTE will be the RTE established during pre-COD Performance Testing.</w:t>
      </w:r>
    </w:p>
    <w:p w:rsidR="009C0280" w:rsidP="00A21F79" w:rsidRDefault="009C0280" w14:paraId="7F65CEFF" w14:textId="77777777">
      <w:pPr>
        <w:pStyle w:val="zGBody3"/>
        <w:ind w:left="1152"/>
      </w:pPr>
      <w:r>
        <w:t xml:space="preserve">The Parties will coordinate Annual RTE Test timing to cause the least reasonable disruption to GPC’s operation of the BESS. </w:t>
      </w:r>
    </w:p>
    <w:p w:rsidR="009C0280" w:rsidP="00A21F79" w:rsidRDefault="009C0280" w14:paraId="7FC30588" w14:textId="5140B9C6">
      <w:pPr>
        <w:pStyle w:val="zGBody3"/>
        <w:ind w:left="1152"/>
      </w:pPr>
      <w:r>
        <w:t xml:space="preserve">If the Annual RTE is less than the Guaranteed RTE – 0.01, Seller may choose to perform up to </w:t>
      </w:r>
      <w:r w:rsidR="00486CEB">
        <w:t xml:space="preserve">one </w:t>
      </w:r>
      <w:r>
        <w:t xml:space="preserve">additional supplemental Annual RTE Test </w:t>
      </w:r>
      <w:r w:rsidR="00486CEB">
        <w:t xml:space="preserve">per Month </w:t>
      </w:r>
      <w:r>
        <w:t>during the next 12-</w:t>
      </w:r>
      <w:r w:rsidR="00486CEB">
        <w:t>M</w:t>
      </w:r>
      <w:r>
        <w:t xml:space="preserve">onth period to try to achieve a better test result. If a supplemental Annual RTE Test achieves a better result than the most recent Annual RTE Test, GPC </w:t>
      </w:r>
      <w:r w:rsidR="002A1AF4">
        <w:t>will</w:t>
      </w:r>
      <w:r>
        <w:t xml:space="preserve"> accept it and make the most-recent Annual RTE equal to the supplemental Annual RTE Test result, as prorated daily from the test completion date during a </w:t>
      </w:r>
      <w:r w:rsidR="00040D0F">
        <w:t>M</w:t>
      </w:r>
      <w:r>
        <w:t xml:space="preserve">onth as applicable. </w:t>
      </w:r>
    </w:p>
    <w:p w:rsidR="009C0280" w:rsidP="00A21F79" w:rsidRDefault="009C0280" w14:paraId="77B8226C" w14:textId="1965A530">
      <w:pPr>
        <w:pStyle w:val="zGBody3"/>
        <w:ind w:left="1152"/>
      </w:pPr>
      <w:r>
        <w:t xml:space="preserve">Further, GPC may also request a supplemental Annual RTE Test at any time during an Annual Period and Seller must conduct this test within 30 </w:t>
      </w:r>
      <w:r w:rsidR="002A1AF4">
        <w:t>D</w:t>
      </w:r>
      <w:r>
        <w:t xml:space="preserve">ays after GPC’s request. GPC will use this Annual </w:t>
      </w:r>
      <w:r w:rsidR="002A1AF4">
        <w:t xml:space="preserve">RTE </w:t>
      </w:r>
      <w:r>
        <w:t>Test result to replace the then-effective Annual RTE and will only delay the next scheduled Annual RTE Test if this test falls within the 90-</w:t>
      </w:r>
      <w:r w:rsidR="002A1AF4">
        <w:t>D</w:t>
      </w:r>
      <w:r>
        <w:t>ay window as detailed in the following paragraph.</w:t>
      </w:r>
    </w:p>
    <w:p w:rsidR="009C0280" w:rsidP="00A21F79" w:rsidRDefault="009C0280" w14:paraId="6E0D785A" w14:textId="794F65A5">
      <w:pPr>
        <w:pStyle w:val="zGBody3"/>
        <w:ind w:left="1152"/>
      </w:pPr>
      <w:r>
        <w:lastRenderedPageBreak/>
        <w:t>If Seller’s or GPC’s supplemental test is accepted by GPC, that test does not reset the 12-</w:t>
      </w:r>
      <w:r w:rsidR="00040D0F">
        <w:t>M</w:t>
      </w:r>
      <w:r>
        <w:t xml:space="preserve">onth period for the required Annual RTE Test unless that supplemental test was completed within 90 </w:t>
      </w:r>
      <w:r w:rsidR="002A1AF4">
        <w:t>D</w:t>
      </w:r>
      <w:r>
        <w:t xml:space="preserve">ays </w:t>
      </w:r>
      <w:r w:rsidR="00040D0F">
        <w:t xml:space="preserve">after </w:t>
      </w:r>
      <w:r>
        <w:t>the original 12-</w:t>
      </w:r>
      <w:r w:rsidR="00040D0F">
        <w:t>M</w:t>
      </w:r>
      <w:r>
        <w:t xml:space="preserve">onth period </w:t>
      </w:r>
      <w:r w:rsidR="00155E85">
        <w:t xml:space="preserve">end </w:t>
      </w:r>
      <w:r>
        <w:t>from the prior approved Annual RTE Test completion date and GPC agrees to reset the date. In that case, the previously completed regular Annual RTE Test 12-</w:t>
      </w:r>
      <w:r w:rsidR="00040D0F">
        <w:t>M</w:t>
      </w:r>
      <w:r>
        <w:t>onth deadline is reset to the end of the following original 12-</w:t>
      </w:r>
      <w:r w:rsidR="00040D0F">
        <w:t>M</w:t>
      </w:r>
      <w:r>
        <w:t xml:space="preserve">onth period with the total period between Annual RTE Tests to never exceed 15 </w:t>
      </w:r>
      <w:r w:rsidR="00040D0F">
        <w:t>M</w:t>
      </w:r>
      <w:r>
        <w:t>onths.</w:t>
      </w:r>
    </w:p>
    <w:p w:rsidR="009C0280" w:rsidP="00A21F79" w:rsidRDefault="009C0280" w14:paraId="7EB98DA6" w14:textId="0E3865F8">
      <w:pPr>
        <w:pStyle w:val="zGBody3"/>
        <w:ind w:left="1152"/>
      </w:pPr>
      <w:r>
        <w:t xml:space="preserve">Any Unavailability due to supplemental or regular Annual RTE Testing that exceeds </w:t>
      </w:r>
      <w:r w:rsidR="00F74980">
        <w:t xml:space="preserve">four </w:t>
      </w:r>
      <w:r w:rsidR="00C74843">
        <w:t>D</w:t>
      </w:r>
      <w:r>
        <w:t>ays in total in an Annual Period, may be, at GPC’s discretion, counted as a Forced Derate in the Storage Performance metrics.</w:t>
      </w:r>
      <w:r w:rsidR="008713C6">
        <w:t xml:space="preserve"> However, </w:t>
      </w:r>
      <w:r w:rsidR="00B25225">
        <w:t xml:space="preserve">if GPC requests supplemental Annual RTE Testing, the </w:t>
      </w:r>
      <w:r w:rsidR="00F74980">
        <w:t>four</w:t>
      </w:r>
      <w:r w:rsidR="00B25225">
        <w:t xml:space="preserve">-Day threshold will be extended, and </w:t>
      </w:r>
      <w:r w:rsidR="00B87805">
        <w:t xml:space="preserve">GPC will not </w:t>
      </w:r>
      <w:r w:rsidR="004B498F">
        <w:t>consider the resulting Unavailability as a Forced Derate.</w:t>
      </w:r>
    </w:p>
    <w:p w:rsidRPr="00FB4053" w:rsidR="00895B08" w:rsidP="00D94D93" w:rsidRDefault="009C0280" w14:paraId="3FEDABC7" w14:textId="77777777">
      <w:pPr>
        <w:pStyle w:val="zGBody2"/>
        <w:numPr>
          <w:ilvl w:val="2"/>
          <w:numId w:val="58"/>
        </w:numPr>
        <w:rPr>
          <w:vanish/>
          <w:specVanish/>
        </w:rPr>
      </w:pPr>
      <w:r w:rsidRPr="009C0280">
        <w:rPr>
          <w:b w:val="0"/>
        </w:rPr>
        <w:t>Monthly RTE True-Up</w:t>
      </w:r>
      <w:r>
        <w:t>.</w:t>
      </w:r>
    </w:p>
    <w:p w:rsidRPr="00802935" w:rsidR="009C0280" w:rsidP="00261AEB" w:rsidRDefault="009C0280" w14:paraId="070495B5" w14:textId="1BE3C8BD">
      <w:pPr>
        <w:pStyle w:val="zGBody3"/>
      </w:pPr>
      <w:r>
        <w:t xml:space="preserve"> </w:t>
      </w:r>
      <w:r w:rsidRPr="009C0280">
        <w:t>GPC will determine the Monthly RTE True-Up</w:t>
      </w:r>
      <w:r w:rsidRPr="00802935">
        <w:t xml:space="preserve"> for each Month in accordance with Table C-4 </w:t>
      </w:r>
      <w:r w:rsidRPr="009C0280">
        <w:t>(</w:t>
      </w:r>
      <w:r w:rsidRPr="00AB258F">
        <w:rPr>
          <w:i/>
          <w:iCs/>
        </w:rPr>
        <w:t>Monthly</w:t>
      </w:r>
      <w:r w:rsidR="00C15932">
        <w:rPr>
          <w:i/>
          <w:iCs/>
        </w:rPr>
        <w:t xml:space="preserve"> RTE</w:t>
      </w:r>
      <w:r w:rsidRPr="00AB258F">
        <w:rPr>
          <w:i/>
          <w:iCs/>
        </w:rPr>
        <w:t xml:space="preserve"> True-Up</w:t>
      </w:r>
      <w:r w:rsidRPr="009C0280">
        <w:t xml:space="preserve">) </w:t>
      </w:r>
      <w:r w:rsidRPr="00802935">
        <w:t xml:space="preserve">below, based on the </w:t>
      </w:r>
      <w:r w:rsidRPr="009C0280">
        <w:t>then-effective Annual</w:t>
      </w:r>
      <w:r w:rsidRPr="00802935">
        <w:t xml:space="preserve"> RTE</w:t>
      </w:r>
      <w:r w:rsidRPr="009C0280">
        <w:t>.</w:t>
      </w:r>
      <w:r w:rsidR="001E37DC">
        <w:t xml:space="preserve"> </w:t>
      </w:r>
      <w:r w:rsidR="00105A0C">
        <w:t xml:space="preserve">Any Months with a Storage Performance Metric </w:t>
      </w:r>
      <w:r w:rsidR="00F56CF0">
        <w:t xml:space="preserve">Achieved </w:t>
      </w:r>
      <w:r w:rsidR="008F5C2A">
        <w:t>of less than 0.6 will be excluded from the Monthly RTE True-Up.</w:t>
      </w:r>
    </w:p>
    <w:tbl>
      <w:tblPr>
        <w:tblW w:w="9286" w:type="dxa"/>
        <w:jc w:val="right"/>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2986"/>
        <w:gridCol w:w="6300"/>
      </w:tblGrid>
      <w:tr w:rsidRPr="001337D6" w:rsidR="00302391" w:rsidTr="009334AB" w14:paraId="054814F9" w14:textId="77777777">
        <w:trPr>
          <w:trHeight w:val="465"/>
          <w:tblHeader/>
          <w:jc w:val="right"/>
        </w:trPr>
        <w:tc>
          <w:tcPr>
            <w:tcW w:w="9286" w:type="dxa"/>
            <w:gridSpan w:val="2"/>
            <w:tcBorders>
              <w:top w:val="single" w:color="auto" w:sz="6" w:space="0"/>
              <w:left w:val="single" w:color="auto" w:sz="6" w:space="0"/>
              <w:bottom w:val="single" w:color="auto" w:sz="6" w:space="0"/>
              <w:right w:val="single" w:color="auto" w:sz="6" w:space="0"/>
            </w:tcBorders>
            <w:shd w:val="clear" w:color="auto" w:fill="BFBFBF" w:themeFill="background1" w:themeFillShade="BF"/>
            <w:vAlign w:val="center"/>
          </w:tcPr>
          <w:p w:rsidRPr="001337D6" w:rsidR="00302391" w:rsidRDefault="00302391" w14:paraId="2E1D4F55" w14:textId="0E7A59A8">
            <w:pPr>
              <w:widowControl w:val="0"/>
              <w:spacing w:before="60" w:after="60"/>
              <w:jc w:val="center"/>
              <w:textAlignment w:val="baseline"/>
              <w:rPr>
                <w:rFonts w:ascii="Arial" w:hAnsi="Arial" w:eastAsia="Times New Roman" w:cs="Arial"/>
                <w:b/>
                <w:sz w:val="20"/>
                <w:szCs w:val="20"/>
              </w:rPr>
            </w:pPr>
            <w:r w:rsidRPr="001337D6">
              <w:rPr>
                <w:rFonts w:ascii="Arial" w:hAnsi="Arial" w:eastAsia="Times New Roman" w:cs="Arial"/>
                <w:b/>
                <w:sz w:val="20"/>
                <w:szCs w:val="20"/>
              </w:rPr>
              <w:t>Table C-4</w:t>
            </w:r>
          </w:p>
          <w:p w:rsidRPr="001337D6" w:rsidR="00302391" w:rsidRDefault="00AB258F" w14:paraId="3579308B" w14:textId="19EA3A7C">
            <w:pPr>
              <w:pStyle w:val="Subtitle-Bold"/>
              <w:keepNext w:val="0"/>
              <w:widowControl w:val="0"/>
              <w:spacing w:before="60" w:after="60" w:line="276" w:lineRule="auto"/>
              <w:textAlignment w:val="baseline"/>
              <w:rPr>
                <w:rFonts w:eastAsia="Times New Roman" w:cs="Arial"/>
                <w:bCs w:val="0"/>
              </w:rPr>
            </w:pPr>
            <w:r>
              <w:rPr>
                <w:rFonts w:eastAsia="Times New Roman" w:cs="Arial"/>
                <w:bCs w:val="0"/>
              </w:rPr>
              <w:t xml:space="preserve">Monthly </w:t>
            </w:r>
            <w:r w:rsidRPr="001337D6" w:rsidR="00302391">
              <w:rPr>
                <w:rFonts w:eastAsia="Times New Roman" w:cs="Arial"/>
                <w:bCs w:val="0"/>
              </w:rPr>
              <w:t xml:space="preserve">RTE </w:t>
            </w:r>
            <w:r>
              <w:rPr>
                <w:rFonts w:eastAsia="Times New Roman" w:cs="Arial"/>
              </w:rPr>
              <w:t>True-Up</w:t>
            </w:r>
            <w:r w:rsidRPr="001337D6" w:rsidR="00302391">
              <w:rPr>
                <w:rFonts w:eastAsia="Times New Roman" w:cs="Arial"/>
              </w:rPr>
              <w:t xml:space="preserve"> </w:t>
            </w:r>
          </w:p>
        </w:tc>
      </w:tr>
      <w:tr w:rsidRPr="001337D6" w:rsidR="005F24B1" w:rsidTr="009334AB" w14:paraId="34E7D9EF" w14:textId="77777777">
        <w:trPr>
          <w:trHeight w:val="465"/>
          <w:tblHeader/>
          <w:jc w:val="right"/>
        </w:trPr>
        <w:tc>
          <w:tcPr>
            <w:tcW w:w="2986" w:type="dxa"/>
            <w:tcBorders>
              <w:top w:val="single" w:color="auto" w:sz="6" w:space="0"/>
              <w:left w:val="single" w:color="auto" w:sz="6" w:space="0"/>
              <w:bottom w:val="single" w:color="auto" w:sz="6" w:space="0"/>
              <w:right w:val="single" w:color="auto" w:sz="6" w:space="0"/>
            </w:tcBorders>
            <w:shd w:val="clear" w:color="auto" w:fill="D9D9D9" w:themeFill="background1" w:themeFillShade="D9"/>
            <w:vAlign w:val="center"/>
            <w:hideMark/>
          </w:tcPr>
          <w:p w:rsidRPr="001337D6" w:rsidR="00302391" w:rsidRDefault="00302391" w14:paraId="39594B15" w14:textId="7E8D90D3">
            <w:pPr>
              <w:widowControl w:val="0"/>
              <w:spacing w:before="60" w:after="60"/>
              <w:jc w:val="center"/>
              <w:textAlignment w:val="baseline"/>
              <w:rPr>
                <w:rFonts w:ascii="Arial" w:hAnsi="Arial" w:eastAsia="Times New Roman" w:cs="Arial"/>
                <w:sz w:val="20"/>
                <w:szCs w:val="20"/>
              </w:rPr>
            </w:pPr>
            <w:r w:rsidRPr="001337D6">
              <w:rPr>
                <w:rFonts w:ascii="Arial" w:hAnsi="Arial" w:cs="Arial"/>
                <w:b/>
                <w:sz w:val="20"/>
                <w:szCs w:val="20"/>
              </w:rPr>
              <w:t>Monthly RTE</w:t>
            </w:r>
          </w:p>
        </w:tc>
        <w:tc>
          <w:tcPr>
            <w:tcW w:w="6300" w:type="dxa"/>
            <w:tcBorders>
              <w:top w:val="single" w:color="auto" w:sz="6" w:space="0"/>
              <w:left w:val="nil"/>
              <w:bottom w:val="single" w:color="auto" w:sz="6" w:space="0"/>
              <w:right w:val="single" w:color="auto" w:sz="6" w:space="0"/>
            </w:tcBorders>
            <w:shd w:val="clear" w:color="auto" w:fill="D9D9D9" w:themeFill="background1" w:themeFillShade="D9"/>
            <w:vAlign w:val="center"/>
            <w:hideMark/>
          </w:tcPr>
          <w:p w:rsidRPr="001337D6" w:rsidR="00302391" w:rsidRDefault="000602AA" w14:paraId="31A22811" w14:textId="49D26550">
            <w:pPr>
              <w:widowControl w:val="0"/>
              <w:spacing w:before="60" w:after="60"/>
              <w:jc w:val="center"/>
              <w:textAlignment w:val="baseline"/>
              <w:rPr>
                <w:rFonts w:ascii="Arial" w:hAnsi="Arial" w:eastAsia="Times New Roman" w:cs="Arial"/>
                <w:sz w:val="20"/>
                <w:szCs w:val="20"/>
              </w:rPr>
            </w:pPr>
            <w:r>
              <w:rPr>
                <w:rFonts w:ascii="Arial" w:hAnsi="Arial" w:eastAsia="Times New Roman" w:cs="Arial"/>
                <w:b/>
                <w:sz w:val="20"/>
                <w:szCs w:val="20"/>
              </w:rPr>
              <w:t xml:space="preserve">Monthly </w:t>
            </w:r>
            <w:r w:rsidRPr="001337D6" w:rsidR="00302391">
              <w:rPr>
                <w:rFonts w:ascii="Arial" w:hAnsi="Arial" w:eastAsia="Times New Roman" w:cs="Arial"/>
                <w:b/>
                <w:sz w:val="20"/>
                <w:szCs w:val="20"/>
              </w:rPr>
              <w:t xml:space="preserve">RTE </w:t>
            </w:r>
            <w:r>
              <w:rPr>
                <w:rFonts w:ascii="Arial" w:hAnsi="Arial" w:eastAsia="Times New Roman" w:cs="Arial"/>
                <w:b/>
                <w:sz w:val="20"/>
                <w:szCs w:val="20"/>
              </w:rPr>
              <w:t>True-Up</w:t>
            </w:r>
          </w:p>
        </w:tc>
      </w:tr>
      <w:tr w:rsidRPr="001337D6" w:rsidR="00302391" w:rsidTr="009334AB" w14:paraId="7A100B55" w14:textId="77777777">
        <w:trPr>
          <w:trHeight w:val="615"/>
          <w:jc w:val="right"/>
        </w:trPr>
        <w:tc>
          <w:tcPr>
            <w:tcW w:w="2986" w:type="dxa"/>
            <w:tcBorders>
              <w:top w:val="nil"/>
              <w:left w:val="single" w:color="auto" w:sz="6" w:space="0"/>
              <w:bottom w:val="single" w:color="auto" w:sz="6" w:space="0"/>
              <w:right w:val="single" w:color="auto" w:sz="6" w:space="0"/>
            </w:tcBorders>
            <w:vAlign w:val="center"/>
            <w:hideMark/>
          </w:tcPr>
          <w:p w:rsidRPr="001337D6" w:rsidR="00302391" w:rsidRDefault="000602AA" w14:paraId="3DA083C9" w14:textId="278585BB">
            <w:pPr>
              <w:widowControl w:val="0"/>
              <w:spacing w:before="60" w:after="60"/>
              <w:jc w:val="center"/>
              <w:textAlignment w:val="baseline"/>
              <w:rPr>
                <w:rFonts w:ascii="Arial" w:hAnsi="Arial" w:eastAsia="Times New Roman" w:cs="Arial"/>
                <w:sz w:val="20"/>
                <w:szCs w:val="20"/>
              </w:rPr>
            </w:pPr>
            <w:r>
              <w:rPr>
                <w:rFonts w:ascii="Arial" w:hAnsi="Arial" w:cs="Arial"/>
                <w:sz w:val="20"/>
                <w:szCs w:val="20"/>
              </w:rPr>
              <w:t>Annual</w:t>
            </w:r>
            <w:r w:rsidRPr="001337D6">
              <w:rPr>
                <w:rFonts w:ascii="Arial" w:hAnsi="Arial" w:cs="Arial"/>
                <w:sz w:val="20"/>
                <w:szCs w:val="20"/>
              </w:rPr>
              <w:t xml:space="preserve"> </w:t>
            </w:r>
            <w:r w:rsidRPr="001337D6" w:rsidR="00302391">
              <w:rPr>
                <w:rFonts w:ascii="Arial" w:hAnsi="Arial" w:cs="Arial"/>
                <w:sz w:val="20"/>
                <w:szCs w:val="20"/>
              </w:rPr>
              <w:t>RTE</w:t>
            </w:r>
            <w:r w:rsidRPr="001337D6" w:rsidR="00302391">
              <w:rPr>
                <w:rFonts w:ascii="Arial" w:hAnsi="Arial" w:eastAsia="Times New Roman" w:cs="Arial"/>
                <w:sz w:val="20"/>
                <w:szCs w:val="20"/>
              </w:rPr>
              <w:t> ≥ (Guaranteed RTE – 0.01)</w:t>
            </w:r>
          </w:p>
        </w:tc>
        <w:tc>
          <w:tcPr>
            <w:tcW w:w="6300" w:type="dxa"/>
            <w:tcBorders>
              <w:top w:val="nil"/>
              <w:left w:val="nil"/>
              <w:bottom w:val="single" w:color="auto" w:sz="6" w:space="0"/>
              <w:right w:val="single" w:color="auto" w:sz="6" w:space="0"/>
            </w:tcBorders>
            <w:vAlign w:val="center"/>
            <w:hideMark/>
          </w:tcPr>
          <w:p w:rsidRPr="001337D6" w:rsidR="00302391" w:rsidRDefault="00302391" w14:paraId="51EC8751" w14:textId="48681E57">
            <w:pPr>
              <w:widowControl w:val="0"/>
              <w:spacing w:before="60" w:after="60"/>
              <w:jc w:val="center"/>
              <w:textAlignment w:val="baseline"/>
              <w:rPr>
                <w:rFonts w:ascii="Arial" w:hAnsi="Arial" w:eastAsia="Times New Roman" w:cs="Arial"/>
                <w:sz w:val="20"/>
                <w:szCs w:val="20"/>
              </w:rPr>
            </w:pPr>
            <w:r w:rsidRPr="001337D6">
              <w:rPr>
                <w:rFonts w:ascii="Arial" w:hAnsi="Arial" w:eastAsia="Times New Roman" w:cs="Arial"/>
                <w:sz w:val="20"/>
                <w:szCs w:val="20"/>
              </w:rPr>
              <w:t xml:space="preserve">No </w:t>
            </w:r>
            <w:r w:rsidR="00341E2E">
              <w:rPr>
                <w:rFonts w:ascii="Arial" w:hAnsi="Arial" w:eastAsia="Times New Roman" w:cs="Arial"/>
                <w:sz w:val="20"/>
                <w:szCs w:val="20"/>
              </w:rPr>
              <w:t>true-up</w:t>
            </w:r>
          </w:p>
        </w:tc>
      </w:tr>
      <w:tr w:rsidRPr="001337D6" w:rsidR="00302391" w:rsidTr="009334AB" w14:paraId="463A3D1D" w14:textId="77777777">
        <w:trPr>
          <w:trHeight w:val="615"/>
          <w:jc w:val="right"/>
        </w:trPr>
        <w:tc>
          <w:tcPr>
            <w:tcW w:w="2986" w:type="dxa"/>
            <w:tcBorders>
              <w:top w:val="nil"/>
              <w:left w:val="single" w:color="auto" w:sz="6" w:space="0"/>
              <w:bottom w:val="single" w:color="auto" w:sz="6" w:space="0"/>
              <w:right w:val="single" w:color="auto" w:sz="6" w:space="0"/>
            </w:tcBorders>
            <w:vAlign w:val="center"/>
            <w:hideMark/>
          </w:tcPr>
          <w:p w:rsidRPr="001337D6" w:rsidR="00302391" w:rsidRDefault="00302391" w14:paraId="548FC512" w14:textId="5D60CD6A">
            <w:pPr>
              <w:widowControl w:val="0"/>
              <w:spacing w:before="60" w:after="60"/>
              <w:jc w:val="center"/>
              <w:textAlignment w:val="baseline"/>
              <w:rPr>
                <w:rFonts w:ascii="Arial" w:hAnsi="Arial" w:eastAsia="Times New Roman" w:cs="Arial"/>
                <w:sz w:val="20"/>
                <w:szCs w:val="20"/>
              </w:rPr>
            </w:pPr>
            <w:r w:rsidRPr="001337D6">
              <w:rPr>
                <w:rFonts w:ascii="Arial" w:hAnsi="Arial" w:eastAsia="Times New Roman" w:cs="Arial"/>
                <w:sz w:val="20"/>
                <w:szCs w:val="20"/>
              </w:rPr>
              <w:t xml:space="preserve">(Guaranteed RTE – 0.01) &gt; </w:t>
            </w:r>
            <w:r w:rsidR="000602AA">
              <w:rPr>
                <w:rFonts w:ascii="Arial" w:hAnsi="Arial" w:cs="Arial"/>
                <w:sz w:val="20"/>
                <w:szCs w:val="20"/>
              </w:rPr>
              <w:t>Annual</w:t>
            </w:r>
            <w:r w:rsidRPr="001337D6">
              <w:rPr>
                <w:rFonts w:ascii="Arial" w:hAnsi="Arial" w:cs="Arial"/>
                <w:sz w:val="20"/>
                <w:szCs w:val="20"/>
              </w:rPr>
              <w:t xml:space="preserve"> RTE</w:t>
            </w:r>
          </w:p>
        </w:tc>
        <w:tc>
          <w:tcPr>
            <w:tcW w:w="6300" w:type="dxa"/>
            <w:tcBorders>
              <w:top w:val="nil"/>
              <w:left w:val="nil"/>
              <w:bottom w:val="single" w:color="auto" w:sz="6" w:space="0"/>
              <w:right w:val="single" w:color="auto" w:sz="6" w:space="0"/>
            </w:tcBorders>
            <w:vAlign w:val="center"/>
            <w:hideMark/>
          </w:tcPr>
          <w:p w:rsidRPr="001337D6" w:rsidR="00302391" w:rsidRDefault="00EB0504" w14:paraId="2A8833DC" w14:textId="65B5453B">
            <w:pPr>
              <w:widowControl w:val="0"/>
              <w:spacing w:before="60" w:after="60"/>
              <w:jc w:val="center"/>
              <w:textAlignment w:val="baseline"/>
              <w:rPr>
                <w:rFonts w:ascii="Arial" w:hAnsi="Arial"/>
                <w:sz w:val="20"/>
              </w:rPr>
            </w:pPr>
            <w:r w:rsidRPr="001337D6">
              <w:rPr>
                <w:rFonts w:ascii="Arial" w:hAnsi="Arial" w:eastAsia="Times New Roman" w:cs="Arial"/>
                <w:sz w:val="20"/>
                <w:szCs w:val="20"/>
              </w:rPr>
              <w:t>Reduction per</w:t>
            </w:r>
            <w:r w:rsidR="000602AA">
              <w:rPr>
                <w:rFonts w:ascii="Arial" w:hAnsi="Arial" w:eastAsia="Times New Roman" w:cs="Arial"/>
                <w:sz w:val="20"/>
                <w:szCs w:val="20"/>
              </w:rPr>
              <w:t xml:space="preserve"> Monthly</w:t>
            </w:r>
            <w:r w:rsidRPr="001337D6">
              <w:rPr>
                <w:rFonts w:ascii="Arial" w:hAnsi="Arial" w:eastAsia="Times New Roman" w:cs="Arial"/>
                <w:sz w:val="20"/>
                <w:szCs w:val="20"/>
              </w:rPr>
              <w:t xml:space="preserve"> RTE </w:t>
            </w:r>
            <w:r w:rsidR="000602AA">
              <w:rPr>
                <w:rFonts w:ascii="Arial" w:hAnsi="Arial" w:eastAsia="Times New Roman" w:cs="Arial"/>
                <w:sz w:val="20"/>
                <w:szCs w:val="20"/>
              </w:rPr>
              <w:t>True-Up</w:t>
            </w:r>
            <w:r w:rsidRPr="001337D6">
              <w:rPr>
                <w:rFonts w:ascii="Arial" w:hAnsi="Arial" w:eastAsia="Times New Roman" w:cs="Arial"/>
                <w:sz w:val="20"/>
                <w:szCs w:val="20"/>
              </w:rPr>
              <w:t xml:space="preserve"> formula below</w:t>
            </w:r>
          </w:p>
        </w:tc>
      </w:tr>
    </w:tbl>
    <w:p w:rsidRPr="001337D6" w:rsidR="00302391" w:rsidP="00302391" w:rsidRDefault="00302391" w14:paraId="4347523C" w14:textId="77777777">
      <w:pPr>
        <w:pStyle w:val="paragraph"/>
        <w:widowControl w:val="0"/>
        <w:spacing w:before="0" w:beforeAutospacing="0" w:after="0" w:afterAutospacing="0"/>
        <w:ind w:left="720"/>
        <w:textAlignment w:val="baseline"/>
        <w:rPr>
          <w:rStyle w:val="normaltextrun"/>
          <w:rFonts w:ascii="Arial" w:hAnsi="Arial" w:cs="Arial" w:eastAsiaTheme="majorEastAsia"/>
          <w:sz w:val="20"/>
          <w:szCs w:val="20"/>
        </w:rPr>
      </w:pPr>
    </w:p>
    <w:p w:rsidR="00223D37" w:rsidP="00261AEB" w:rsidRDefault="000602AA" w14:paraId="45A8BA0F" w14:textId="43F23966">
      <w:pPr>
        <w:pStyle w:val="paragraph"/>
        <w:widowControl w:val="0"/>
        <w:spacing w:before="0" w:beforeAutospacing="0" w:after="0" w:afterAutospacing="0"/>
        <w:ind w:left="720" w:firstLine="180"/>
        <w:jc w:val="both"/>
        <w:textAlignment w:val="baseline"/>
        <w:rPr>
          <w:rFonts w:ascii="Arial" w:hAnsi="Arial" w:cs="Arial"/>
          <w:sz w:val="20"/>
          <w:szCs w:val="20"/>
        </w:rPr>
      </w:pPr>
      <w:r>
        <w:rPr>
          <w:rFonts w:ascii="Arial" w:hAnsi="Arial" w:cs="Arial"/>
          <w:sz w:val="20"/>
          <w:szCs w:val="20"/>
        </w:rPr>
        <w:t xml:space="preserve">Monthly </w:t>
      </w:r>
      <w:r w:rsidRPr="001337D6" w:rsidR="000E40C9">
        <w:rPr>
          <w:rFonts w:ascii="Arial" w:hAnsi="Arial" w:cs="Arial"/>
          <w:sz w:val="20"/>
          <w:szCs w:val="20"/>
        </w:rPr>
        <w:t xml:space="preserve">RTE </w:t>
      </w:r>
      <w:r>
        <w:rPr>
          <w:rFonts w:ascii="Arial" w:hAnsi="Arial" w:cs="Arial"/>
          <w:sz w:val="20"/>
          <w:szCs w:val="20"/>
        </w:rPr>
        <w:t>True-Up</w:t>
      </w:r>
      <w:r w:rsidRPr="001337D6" w:rsidR="000E40C9">
        <w:rPr>
          <w:rFonts w:ascii="Arial" w:hAnsi="Arial" w:cs="Arial"/>
          <w:sz w:val="20"/>
          <w:szCs w:val="20"/>
        </w:rPr>
        <w:t xml:space="preserve"> =</w:t>
      </w:r>
      <w:r w:rsidR="00223D37">
        <w:rPr>
          <w:rFonts w:ascii="Arial" w:hAnsi="Arial" w:cs="Arial"/>
          <w:sz w:val="20"/>
          <w:szCs w:val="20"/>
        </w:rPr>
        <w:t xml:space="preserve"> </w:t>
      </w:r>
    </w:p>
    <w:p w:rsidRPr="00261AEB" w:rsidR="00223D37" w:rsidP="00261AEB" w:rsidRDefault="00223D37" w14:paraId="11394A65" w14:textId="77777777">
      <w:pPr>
        <w:pStyle w:val="paragraph"/>
        <w:widowControl w:val="0"/>
        <w:spacing w:before="0" w:beforeAutospacing="0" w:after="0" w:afterAutospacing="0"/>
        <w:ind w:left="720" w:firstLine="180"/>
        <w:jc w:val="both"/>
        <w:textAlignment w:val="baseline"/>
      </w:pPr>
    </w:p>
    <w:p w:rsidRPr="00950426" w:rsidR="00223D37" w:rsidP="00223D37" w:rsidRDefault="00223D37" w14:paraId="24BD3CED" w14:textId="4F4E7DB4">
      <w:pPr>
        <w:pStyle w:val="paragraph"/>
        <w:widowControl w:val="0"/>
        <w:spacing w:before="0" w:beforeAutospacing="0" w:after="0" w:afterAutospacing="0"/>
        <w:ind w:left="720" w:firstLine="180"/>
        <w:jc w:val="both"/>
        <w:textAlignment w:val="baseline"/>
        <w:rPr>
          <w:rFonts w:ascii="Arial" w:hAnsi="Arial" w:cs="Arial" w:eastAsiaTheme="majorEastAsia"/>
          <w:sz w:val="20"/>
          <w:szCs w:val="20"/>
        </w:rPr>
      </w:pPr>
      <w:r>
        <w:rPr>
          <w:rFonts w:ascii="Arial" w:hAnsi="Arial" w:cs="Arial" w:eastAsiaTheme="majorEastAsia"/>
          <w:sz w:val="20"/>
          <w:szCs w:val="20"/>
        </w:rPr>
        <w:t>(Guaranteed RTE – Annual RTE Test) * Monthly Charging Energy * Monthly Avg AIER</w:t>
      </w:r>
    </w:p>
    <w:p w:rsidRPr="001337D6" w:rsidR="00302391" w:rsidP="000602AA" w:rsidRDefault="00302391" w14:paraId="632B7A76" w14:textId="00CFAE91">
      <w:pPr>
        <w:pStyle w:val="paragraph"/>
        <w:widowControl w:val="0"/>
        <w:spacing w:before="0" w:beforeAutospacing="0" w:after="0" w:afterAutospacing="0"/>
        <w:ind w:left="1260"/>
        <w:textAlignment w:val="baseline"/>
        <w:rPr>
          <w:rStyle w:val="normaltextrun"/>
          <w:rFonts w:ascii="Arial" w:hAnsi="Arial" w:cs="Arial" w:eastAsiaTheme="majorEastAsia"/>
          <w:sz w:val="20"/>
          <w:szCs w:val="20"/>
        </w:rPr>
      </w:pPr>
      <w:r w:rsidRPr="001337D6">
        <w:rPr>
          <w:rStyle w:val="normaltextrun"/>
          <w:rFonts w:ascii="Arial" w:hAnsi="Arial" w:cs="Arial" w:eastAsiaTheme="majorEastAsia"/>
          <w:sz w:val="20"/>
          <w:szCs w:val="20"/>
        </w:rPr>
        <w:t>Where:</w:t>
      </w:r>
      <w:r w:rsidRPr="001337D6">
        <w:rPr>
          <w:rStyle w:val="normaltextrun"/>
          <w:rFonts w:ascii="Arial" w:hAnsi="Arial" w:cs="Arial" w:eastAsiaTheme="majorEastAsia"/>
          <w:sz w:val="20"/>
          <w:szCs w:val="20"/>
        </w:rPr>
        <w:tab/>
      </w:r>
    </w:p>
    <w:p w:rsidRPr="00261AEB" w:rsidR="00302391" w:rsidP="00261AEB" w:rsidRDefault="00302391" w14:paraId="7B8FAD4F" w14:textId="77777777">
      <w:pPr>
        <w:pStyle w:val="paragraph"/>
        <w:widowControl w:val="0"/>
        <w:spacing w:before="0" w:beforeAutospacing="0" w:after="0" w:afterAutospacing="0"/>
        <w:ind w:left="1260"/>
        <w:jc w:val="both"/>
        <w:textAlignment w:val="baseline"/>
        <w:rPr>
          <w:rStyle w:val="eop"/>
          <w:rFonts w:eastAsiaTheme="majorEastAsia"/>
        </w:rPr>
      </w:pPr>
    </w:p>
    <w:p w:rsidRPr="001337D6" w:rsidR="00302391" w:rsidP="00E72FEC" w:rsidRDefault="000602AA" w14:paraId="51F8A14A" w14:textId="7D6E3D7E">
      <w:pPr>
        <w:pStyle w:val="paragraph"/>
        <w:widowControl w:val="0"/>
        <w:spacing w:before="0" w:beforeAutospacing="0" w:after="0" w:afterAutospacing="0"/>
        <w:ind w:left="1260"/>
        <w:jc w:val="both"/>
        <w:textAlignment w:val="baseline"/>
        <w:rPr>
          <w:rStyle w:val="eop"/>
          <w:rFonts w:ascii="Arial" w:hAnsi="Arial" w:cs="Arial" w:eastAsiaTheme="majorEastAsia"/>
          <w:sz w:val="20"/>
          <w:szCs w:val="20"/>
        </w:rPr>
      </w:pPr>
      <w:r>
        <w:rPr>
          <w:rStyle w:val="eop"/>
          <w:rFonts w:ascii="Arial" w:hAnsi="Arial" w:cs="Arial" w:eastAsiaTheme="majorEastAsia"/>
          <w:sz w:val="20"/>
          <w:szCs w:val="20"/>
          <w:u w:val="single"/>
        </w:rPr>
        <w:t xml:space="preserve">Monthly </w:t>
      </w:r>
      <w:r w:rsidRPr="001337D6" w:rsidR="00302391">
        <w:rPr>
          <w:rStyle w:val="eop"/>
          <w:rFonts w:ascii="Arial" w:hAnsi="Arial" w:cs="Arial" w:eastAsiaTheme="majorEastAsia"/>
          <w:sz w:val="20"/>
          <w:szCs w:val="20"/>
          <w:u w:val="single"/>
        </w:rPr>
        <w:t>Charging Energy</w:t>
      </w:r>
      <w:r w:rsidRPr="001337D6" w:rsidR="00302391">
        <w:rPr>
          <w:rStyle w:val="eop"/>
          <w:rFonts w:ascii="Arial" w:hAnsi="Arial" w:cs="Arial" w:eastAsiaTheme="majorEastAsia"/>
          <w:sz w:val="20"/>
          <w:szCs w:val="20"/>
        </w:rPr>
        <w:t xml:space="preserve"> = </w:t>
      </w:r>
      <w:r>
        <w:rPr>
          <w:rStyle w:val="eop"/>
          <w:rFonts w:ascii="Arial" w:hAnsi="Arial" w:cs="Arial" w:eastAsiaTheme="majorEastAsia"/>
          <w:sz w:val="20"/>
          <w:szCs w:val="20"/>
        </w:rPr>
        <w:t>the total amount of Charging Energy provided for the applicable Month</w:t>
      </w:r>
      <w:r w:rsidRPr="001337D6" w:rsidR="00302391">
        <w:rPr>
          <w:rStyle w:val="eop"/>
          <w:rFonts w:ascii="Arial" w:hAnsi="Arial" w:cs="Arial" w:eastAsiaTheme="majorEastAsia"/>
          <w:sz w:val="20"/>
          <w:szCs w:val="20"/>
        </w:rPr>
        <w:t xml:space="preserve">, </w:t>
      </w:r>
      <w:r>
        <w:rPr>
          <w:rStyle w:val="eop"/>
          <w:rFonts w:ascii="Arial" w:hAnsi="Arial" w:cs="Arial" w:eastAsiaTheme="majorEastAsia"/>
          <w:sz w:val="20"/>
          <w:szCs w:val="20"/>
        </w:rPr>
        <w:t xml:space="preserve">as </w:t>
      </w:r>
      <w:r w:rsidRPr="001337D6" w:rsidR="00302391">
        <w:rPr>
          <w:rStyle w:val="eop"/>
          <w:rFonts w:ascii="Arial" w:hAnsi="Arial" w:cs="Arial" w:eastAsiaTheme="majorEastAsia"/>
          <w:sz w:val="20"/>
          <w:szCs w:val="20"/>
        </w:rPr>
        <w:t>measured at, or adjusted to, the POI;</w:t>
      </w:r>
    </w:p>
    <w:p w:rsidRPr="001337D6" w:rsidR="00302391" w:rsidP="00E72FEC" w:rsidRDefault="00302391" w14:paraId="4A507BCF" w14:textId="77777777">
      <w:pPr>
        <w:pStyle w:val="paragraph"/>
        <w:widowControl w:val="0"/>
        <w:spacing w:before="0" w:beforeAutospacing="0" w:after="0" w:afterAutospacing="0"/>
        <w:ind w:left="1260"/>
        <w:jc w:val="both"/>
        <w:textAlignment w:val="baseline"/>
        <w:rPr>
          <w:rStyle w:val="eop"/>
          <w:rFonts w:ascii="Arial" w:hAnsi="Arial" w:cs="Arial" w:eastAsiaTheme="majorEastAsia"/>
          <w:sz w:val="20"/>
          <w:szCs w:val="20"/>
        </w:rPr>
      </w:pPr>
    </w:p>
    <w:p w:rsidRPr="001337D6" w:rsidR="00302391" w:rsidP="00E72FEC" w:rsidRDefault="000602AA" w14:paraId="0CAA8B92" w14:textId="2191078D">
      <w:pPr>
        <w:pStyle w:val="paragraph"/>
        <w:widowControl w:val="0"/>
        <w:spacing w:before="0" w:beforeAutospacing="0" w:after="0" w:afterAutospacing="0"/>
        <w:ind w:left="1260"/>
        <w:jc w:val="both"/>
        <w:textAlignment w:val="baseline"/>
        <w:rPr>
          <w:rStyle w:val="eop"/>
          <w:rFonts w:ascii="Arial" w:hAnsi="Arial" w:cs="Arial" w:eastAsiaTheme="majorEastAsia"/>
          <w:sz w:val="20"/>
          <w:szCs w:val="20"/>
        </w:rPr>
      </w:pPr>
      <w:r>
        <w:rPr>
          <w:rStyle w:val="eop"/>
          <w:rFonts w:ascii="Arial" w:hAnsi="Arial" w:cs="Arial" w:eastAsiaTheme="majorEastAsia"/>
          <w:sz w:val="20"/>
          <w:szCs w:val="20"/>
          <w:u w:val="single"/>
        </w:rPr>
        <w:lastRenderedPageBreak/>
        <w:t xml:space="preserve">Monthly Average </w:t>
      </w:r>
      <w:r w:rsidRPr="001337D6" w:rsidR="00302391">
        <w:rPr>
          <w:rStyle w:val="eop"/>
          <w:rFonts w:ascii="Arial" w:hAnsi="Arial" w:cs="Arial" w:eastAsiaTheme="majorEastAsia"/>
          <w:sz w:val="20"/>
          <w:szCs w:val="20"/>
          <w:u w:val="single"/>
        </w:rPr>
        <w:t>AIER</w:t>
      </w:r>
      <w:r w:rsidRPr="001337D6" w:rsidR="00302391">
        <w:rPr>
          <w:rStyle w:val="eop"/>
          <w:rFonts w:ascii="Arial" w:hAnsi="Arial" w:cs="Arial" w:eastAsiaTheme="majorEastAsia"/>
          <w:sz w:val="20"/>
          <w:szCs w:val="20"/>
        </w:rPr>
        <w:t xml:space="preserve"> = </w:t>
      </w:r>
      <w:r w:rsidR="005F210C">
        <w:rPr>
          <w:rStyle w:val="eop"/>
          <w:rFonts w:ascii="Arial" w:hAnsi="Arial" w:cs="Arial" w:eastAsiaTheme="majorEastAsia"/>
          <w:sz w:val="20"/>
          <w:szCs w:val="20"/>
        </w:rPr>
        <w:t>AIER averaged over all Hours</w:t>
      </w:r>
      <w:r w:rsidR="002E653F">
        <w:rPr>
          <w:rStyle w:val="eop"/>
          <w:rFonts w:ascii="Arial" w:hAnsi="Arial" w:cs="Arial" w:eastAsiaTheme="majorEastAsia"/>
          <w:sz w:val="20"/>
          <w:szCs w:val="20"/>
        </w:rPr>
        <w:t xml:space="preserve"> charging the BESS</w:t>
      </w:r>
      <w:r w:rsidR="005F210C">
        <w:rPr>
          <w:rStyle w:val="eop"/>
          <w:rFonts w:ascii="Arial" w:hAnsi="Arial" w:cs="Arial" w:eastAsiaTheme="majorEastAsia"/>
          <w:sz w:val="20"/>
          <w:szCs w:val="20"/>
        </w:rPr>
        <w:t xml:space="preserve"> in the Month with a non-zero AIER, as defined in the Definitions</w:t>
      </w:r>
      <w:r w:rsidRPr="001337D6" w:rsidR="00302391">
        <w:rPr>
          <w:rStyle w:val="eop"/>
          <w:rFonts w:ascii="Arial" w:hAnsi="Arial" w:cs="Arial" w:eastAsiaTheme="majorEastAsia"/>
          <w:sz w:val="20"/>
          <w:szCs w:val="20"/>
        </w:rPr>
        <w:t xml:space="preserve">. </w:t>
      </w:r>
    </w:p>
    <w:p w:rsidRPr="001337D6" w:rsidR="00302391" w:rsidP="00E72FEC" w:rsidRDefault="00302391" w14:paraId="05B90B94" w14:textId="77777777">
      <w:pPr>
        <w:pStyle w:val="paragraph"/>
        <w:widowControl w:val="0"/>
        <w:spacing w:before="0" w:beforeAutospacing="0" w:after="0" w:afterAutospacing="0"/>
        <w:ind w:left="1260"/>
        <w:jc w:val="both"/>
        <w:textAlignment w:val="baseline"/>
        <w:rPr>
          <w:rStyle w:val="eop"/>
          <w:rFonts w:ascii="Arial" w:hAnsi="Arial" w:cs="Arial" w:eastAsiaTheme="majorEastAsia"/>
          <w:sz w:val="20"/>
          <w:szCs w:val="20"/>
        </w:rPr>
      </w:pPr>
    </w:p>
    <w:p w:rsidRPr="00261AEB" w:rsidR="00302391" w:rsidP="00261AEB" w:rsidRDefault="00302391" w14:paraId="26FDCE56" w14:textId="149BCD94">
      <w:pPr>
        <w:pStyle w:val="paragraph"/>
        <w:widowControl w:val="0"/>
        <w:spacing w:before="0" w:beforeAutospacing="0" w:after="0" w:afterAutospacing="0"/>
        <w:ind w:left="1260"/>
        <w:jc w:val="both"/>
        <w:textAlignment w:val="baseline"/>
      </w:pPr>
      <w:r w:rsidRPr="001337D6">
        <w:rPr>
          <w:rStyle w:val="eop"/>
          <w:rFonts w:ascii="Arial" w:hAnsi="Arial" w:cs="Arial" w:eastAsiaTheme="majorEastAsia"/>
          <w:sz w:val="20"/>
          <w:szCs w:val="20"/>
          <w:u w:val="single"/>
        </w:rPr>
        <w:t>Guaranteed RTE</w:t>
      </w:r>
      <w:r w:rsidRPr="001337D6">
        <w:rPr>
          <w:rStyle w:val="eop"/>
          <w:rFonts w:ascii="Arial" w:hAnsi="Arial" w:cs="Arial" w:eastAsiaTheme="majorEastAsia"/>
          <w:sz w:val="20"/>
          <w:szCs w:val="20"/>
        </w:rPr>
        <w:t xml:space="preserve"> =</w:t>
      </w:r>
      <w:r w:rsidR="005F210C">
        <w:rPr>
          <w:rStyle w:val="eop"/>
          <w:rFonts w:ascii="Arial" w:hAnsi="Arial" w:cs="Arial" w:eastAsiaTheme="majorEastAsia"/>
          <w:sz w:val="20"/>
          <w:szCs w:val="20"/>
        </w:rPr>
        <w:t xml:space="preserve"> </w:t>
      </w:r>
      <w:r w:rsidRPr="00261AEB" w:rsidR="00EE1F92">
        <w:rPr>
          <w:rStyle w:val="eop"/>
          <w:rFonts w:eastAsiaTheme="majorEastAsia"/>
        </w:rPr>
        <w:t xml:space="preserve">as </w:t>
      </w:r>
      <w:r w:rsidR="005F210C">
        <w:rPr>
          <w:rFonts w:ascii="Arial" w:hAnsi="Arial" w:cs="Arial"/>
          <w:sz w:val="20"/>
          <w:szCs w:val="20"/>
        </w:rPr>
        <w:t>specified in Table A-3 (</w:t>
      </w:r>
      <w:r w:rsidR="005F210C">
        <w:rPr>
          <w:rFonts w:ascii="Arial" w:hAnsi="Arial" w:cs="Arial"/>
          <w:i/>
          <w:iCs/>
          <w:sz w:val="20"/>
          <w:szCs w:val="20"/>
        </w:rPr>
        <w:t xml:space="preserve">Additional Facility </w:t>
      </w:r>
      <w:r w:rsidRPr="00261AEB" w:rsidR="005F210C">
        <w:t xml:space="preserve">and </w:t>
      </w:r>
      <w:r w:rsidR="005F210C">
        <w:rPr>
          <w:rFonts w:ascii="Arial" w:hAnsi="Arial" w:cs="Arial"/>
          <w:i/>
          <w:iCs/>
          <w:sz w:val="20"/>
          <w:szCs w:val="20"/>
        </w:rPr>
        <w:t>Operating Information</w:t>
      </w:r>
      <w:r w:rsidR="005F210C">
        <w:rPr>
          <w:rFonts w:ascii="Arial" w:hAnsi="Arial" w:cs="Arial"/>
          <w:sz w:val="20"/>
          <w:szCs w:val="20"/>
        </w:rPr>
        <w:t>) of Exhibit A (</w:t>
      </w:r>
      <w:r w:rsidR="005F210C">
        <w:rPr>
          <w:rFonts w:ascii="Arial" w:hAnsi="Arial" w:cs="Arial"/>
          <w:i/>
          <w:iCs/>
          <w:sz w:val="20"/>
          <w:szCs w:val="20"/>
        </w:rPr>
        <w:t>Facility Description</w:t>
      </w:r>
      <w:r w:rsidRPr="0072211F" w:rsidR="005F210C">
        <w:rPr>
          <w:rFonts w:ascii="Arial" w:hAnsi="Arial"/>
          <w:sz w:val="20"/>
        </w:rPr>
        <w:t xml:space="preserve"> and</w:t>
      </w:r>
      <w:r w:rsidRPr="0072211F" w:rsidR="005F210C">
        <w:rPr>
          <w:sz w:val="20"/>
        </w:rPr>
        <w:t xml:space="preserve"> </w:t>
      </w:r>
      <w:r w:rsidR="005F210C">
        <w:rPr>
          <w:rFonts w:ascii="Arial" w:hAnsi="Arial" w:cs="Arial"/>
          <w:i/>
          <w:iCs/>
          <w:sz w:val="20"/>
          <w:szCs w:val="20"/>
        </w:rPr>
        <w:t>Additional Details</w:t>
      </w:r>
      <w:r w:rsidR="005F210C">
        <w:rPr>
          <w:rFonts w:ascii="Arial" w:hAnsi="Arial" w:cs="Arial"/>
          <w:sz w:val="20"/>
          <w:szCs w:val="20"/>
        </w:rPr>
        <w:t>)</w:t>
      </w:r>
      <w:r w:rsidRPr="001337D6">
        <w:rPr>
          <w:rFonts w:ascii="Arial" w:hAnsi="Arial" w:cs="Arial"/>
          <w:sz w:val="20"/>
          <w:szCs w:val="20"/>
        </w:rPr>
        <w:t>.</w:t>
      </w:r>
    </w:p>
    <w:p w:rsidRPr="001337D6" w:rsidR="00D76307" w:rsidP="00261AEB" w:rsidRDefault="00D76307" w14:paraId="43127E52" w14:textId="77777777">
      <w:pPr>
        <w:pStyle w:val="paragraph"/>
        <w:widowControl w:val="0"/>
        <w:spacing w:before="0" w:beforeAutospacing="0" w:after="0" w:afterAutospacing="0"/>
        <w:jc w:val="both"/>
        <w:textAlignment w:val="baseline"/>
        <w:rPr>
          <w:rFonts w:ascii="Arial" w:hAnsi="Arial" w:cs="Arial"/>
          <w:sz w:val="20"/>
          <w:szCs w:val="20"/>
        </w:rPr>
      </w:pPr>
    </w:p>
    <w:p w:rsidRPr="001337D6" w:rsidR="00302391" w:rsidP="00410DCC" w:rsidRDefault="00302391" w14:paraId="172E2C81" w14:textId="382A6E3F">
      <w:pPr>
        <w:pStyle w:val="paragraph"/>
        <w:widowControl w:val="0"/>
        <w:spacing w:before="120" w:beforeAutospacing="0" w:after="120" w:afterAutospacing="0" w:line="240" w:lineRule="auto"/>
        <w:ind w:left="720"/>
        <w:jc w:val="both"/>
        <w:textAlignment w:val="baseline"/>
        <w:rPr>
          <w:rFonts w:ascii="Arial" w:hAnsi="Arial" w:cs="Arial"/>
          <w:sz w:val="20"/>
          <w:szCs w:val="20"/>
        </w:rPr>
      </w:pPr>
      <w:r w:rsidRPr="001337D6">
        <w:rPr>
          <w:rFonts w:ascii="Arial" w:hAnsi="Arial" w:cs="Arial"/>
          <w:sz w:val="20"/>
          <w:szCs w:val="20"/>
        </w:rPr>
        <w:t>Seller</w:t>
      </w:r>
      <w:r w:rsidRPr="001337D6" w:rsidDel="00013848">
        <w:rPr>
          <w:rFonts w:ascii="Arial" w:hAnsi="Arial" w:cs="Arial"/>
          <w:sz w:val="20"/>
          <w:szCs w:val="20"/>
        </w:rPr>
        <w:t xml:space="preserve"> </w:t>
      </w:r>
      <w:r w:rsidRPr="001337D6" w:rsidR="00013848">
        <w:rPr>
          <w:rFonts w:ascii="Arial" w:hAnsi="Arial" w:cs="Arial"/>
          <w:sz w:val="20"/>
          <w:szCs w:val="20"/>
        </w:rPr>
        <w:t xml:space="preserve">must </w:t>
      </w:r>
      <w:r w:rsidRPr="001337D6">
        <w:rPr>
          <w:rFonts w:ascii="Arial" w:hAnsi="Arial" w:cs="Arial"/>
          <w:sz w:val="20"/>
          <w:szCs w:val="20"/>
        </w:rPr>
        <w:t xml:space="preserve">provide GPC real-time access to telemetry data, as described in Exhibit </w:t>
      </w:r>
      <w:r w:rsidR="005F210C">
        <w:rPr>
          <w:rFonts w:ascii="Arial" w:hAnsi="Arial" w:cs="Arial"/>
          <w:sz w:val="20"/>
          <w:szCs w:val="20"/>
        </w:rPr>
        <w:t>G</w:t>
      </w:r>
      <w:r w:rsidRPr="001337D6">
        <w:rPr>
          <w:rFonts w:ascii="Arial" w:hAnsi="Arial" w:cs="Arial"/>
          <w:sz w:val="20"/>
          <w:szCs w:val="20"/>
        </w:rPr>
        <w:t xml:space="preserve"> (</w:t>
      </w:r>
      <w:r w:rsidRPr="001337D6">
        <w:rPr>
          <w:rFonts w:ascii="Arial" w:hAnsi="Arial" w:cs="Arial"/>
          <w:i/>
          <w:iCs/>
          <w:sz w:val="20"/>
          <w:szCs w:val="20"/>
        </w:rPr>
        <w:t>AGC and Facility Minimum Data Requirements</w:t>
      </w:r>
      <w:r w:rsidRPr="001337D6">
        <w:rPr>
          <w:rFonts w:ascii="Arial" w:hAnsi="Arial" w:cs="Arial"/>
          <w:sz w:val="20"/>
          <w:szCs w:val="20"/>
        </w:rPr>
        <w:t xml:space="preserve">), from Seller’s control system to facilitate GPC’s </w:t>
      </w:r>
      <w:r w:rsidRPr="001337D6" w:rsidR="00DD5E46">
        <w:rPr>
          <w:rFonts w:ascii="Arial" w:hAnsi="Arial" w:cs="Arial"/>
          <w:sz w:val="20"/>
          <w:szCs w:val="20"/>
        </w:rPr>
        <w:t xml:space="preserve">calculation </w:t>
      </w:r>
      <w:r w:rsidRPr="001337D6">
        <w:rPr>
          <w:rFonts w:ascii="Arial" w:hAnsi="Arial" w:cs="Arial"/>
          <w:sz w:val="20"/>
          <w:szCs w:val="20"/>
        </w:rPr>
        <w:t>of these metrics.</w:t>
      </w:r>
    </w:p>
    <w:p w:rsidRPr="001337D6" w:rsidR="00E17755" w:rsidP="00D65F03" w:rsidRDefault="00410DCC" w14:paraId="7D6F7F7E" w14:textId="3FC89B87">
      <w:pPr>
        <w:pStyle w:val="paragraph"/>
        <w:widowControl w:val="0"/>
        <w:spacing w:before="120" w:beforeAutospacing="0" w:after="120" w:afterAutospacing="0" w:line="240" w:lineRule="auto"/>
        <w:ind w:left="1152"/>
        <w:jc w:val="both"/>
        <w:textAlignment w:val="baseline"/>
        <w:rPr>
          <w:rFonts w:ascii="Arial" w:hAnsi="Arial" w:cs="Arial"/>
          <w:sz w:val="20"/>
          <w:szCs w:val="20"/>
        </w:rPr>
      </w:pPr>
      <w:r w:rsidRPr="00410DCC">
        <w:rPr>
          <w:rFonts w:ascii="Arial" w:hAnsi="Arial" w:cs="Arial"/>
          <w:b/>
          <w:bCs/>
          <w:sz w:val="20"/>
          <w:szCs w:val="20"/>
        </w:rPr>
        <w:t xml:space="preserve">2.4.3 </w:t>
      </w:r>
      <w:r w:rsidRPr="00410DCC" w:rsidR="00E17755">
        <w:rPr>
          <w:rFonts w:ascii="Arial" w:hAnsi="Arial" w:cs="Arial"/>
          <w:b/>
          <w:bCs/>
          <w:sz w:val="20"/>
          <w:szCs w:val="20"/>
        </w:rPr>
        <w:t>RTE Calculation Guidance.</w:t>
      </w:r>
      <w:r w:rsidRPr="00496299" w:rsidR="00496299">
        <w:rPr>
          <w:rFonts w:ascii="Arial" w:hAnsi="Arial" w:cs="Arial"/>
          <w:sz w:val="20"/>
          <w:szCs w:val="20"/>
        </w:rPr>
        <w:t xml:space="preserve"> </w:t>
      </w:r>
      <w:r w:rsidR="00767D4C">
        <w:rPr>
          <w:rFonts w:ascii="Arial" w:hAnsi="Arial" w:cs="Arial"/>
          <w:sz w:val="20"/>
          <w:szCs w:val="20"/>
        </w:rPr>
        <w:t>Any Annual RTE Test results, including supplemental Annual RTE Test results, must</w:t>
      </w:r>
      <w:r w:rsidRPr="00410DCC" w:rsidR="00496299">
        <w:rPr>
          <w:rFonts w:ascii="Arial" w:hAnsi="Arial" w:cs="Arial"/>
          <w:sz w:val="20"/>
          <w:szCs w:val="20"/>
        </w:rPr>
        <w:t xml:space="preserve"> </w:t>
      </w:r>
      <w:r w:rsidR="004E2C11">
        <w:rPr>
          <w:rFonts w:ascii="Arial" w:hAnsi="Arial" w:cs="Arial"/>
          <w:sz w:val="20"/>
          <w:szCs w:val="20"/>
        </w:rPr>
        <w:t>show the</w:t>
      </w:r>
      <w:r w:rsidRPr="00410DCC" w:rsidR="00496299">
        <w:rPr>
          <w:rFonts w:ascii="Arial" w:hAnsi="Arial" w:cs="Arial"/>
          <w:sz w:val="20"/>
          <w:szCs w:val="20"/>
        </w:rPr>
        <w:t xml:space="preserve"> individual loss contributions for the components both into and out of the BESS</w:t>
      </w:r>
      <w:r w:rsidR="00A92D6E">
        <w:rPr>
          <w:rFonts w:ascii="Arial" w:hAnsi="Arial" w:cs="Arial"/>
          <w:sz w:val="20"/>
          <w:szCs w:val="20"/>
        </w:rPr>
        <w:t>,</w:t>
      </w:r>
      <w:r w:rsidRPr="00410DCC" w:rsidR="00496299">
        <w:rPr>
          <w:rFonts w:ascii="Arial" w:hAnsi="Arial" w:cs="Arial"/>
          <w:sz w:val="20"/>
          <w:szCs w:val="20"/>
        </w:rPr>
        <w:t xml:space="preserve"> as requested</w:t>
      </w:r>
      <w:r w:rsidR="00767D4C">
        <w:rPr>
          <w:rFonts w:ascii="Arial" w:hAnsi="Arial" w:cs="Arial"/>
          <w:sz w:val="20"/>
          <w:szCs w:val="20"/>
        </w:rPr>
        <w:t xml:space="preserve"> by GPC</w:t>
      </w:r>
      <w:r w:rsidRPr="00410DCC" w:rsidR="00496299">
        <w:rPr>
          <w:rFonts w:ascii="Arial" w:hAnsi="Arial" w:cs="Arial"/>
          <w:sz w:val="20"/>
          <w:szCs w:val="20"/>
        </w:rPr>
        <w:t>.</w:t>
      </w:r>
      <w:r w:rsidR="00CC2162">
        <w:rPr>
          <w:rFonts w:ascii="Arial" w:hAnsi="Arial" w:cs="Arial"/>
          <w:sz w:val="20"/>
          <w:szCs w:val="20"/>
        </w:rPr>
        <w:t xml:space="preserve"> If Seller is unable to provide such individual loss contribution</w:t>
      </w:r>
      <w:r w:rsidR="00CA20A4">
        <w:rPr>
          <w:rFonts w:ascii="Arial" w:hAnsi="Arial" w:cs="Arial"/>
          <w:sz w:val="20"/>
          <w:szCs w:val="20"/>
        </w:rPr>
        <w:t>s</w:t>
      </w:r>
      <w:r w:rsidR="00CC2162">
        <w:rPr>
          <w:rFonts w:ascii="Arial" w:hAnsi="Arial" w:cs="Arial"/>
          <w:sz w:val="20"/>
          <w:szCs w:val="20"/>
        </w:rPr>
        <w:t xml:space="preserve">, </w:t>
      </w:r>
      <w:r w:rsidR="00A92D6E">
        <w:rPr>
          <w:rFonts w:ascii="Arial" w:hAnsi="Arial" w:cs="Arial"/>
          <w:sz w:val="20"/>
          <w:szCs w:val="20"/>
        </w:rPr>
        <w:t xml:space="preserve">GPC may </w:t>
      </w:r>
      <w:r w:rsidR="00A8682E">
        <w:rPr>
          <w:rFonts w:ascii="Arial" w:hAnsi="Arial" w:cs="Arial"/>
          <w:sz w:val="20"/>
          <w:szCs w:val="20"/>
        </w:rPr>
        <w:t>direct</w:t>
      </w:r>
      <w:r w:rsidR="00A92D6E">
        <w:rPr>
          <w:rFonts w:ascii="Arial" w:hAnsi="Arial" w:cs="Arial"/>
          <w:sz w:val="20"/>
          <w:szCs w:val="20"/>
        </w:rPr>
        <w:t xml:space="preserve"> the</w:t>
      </w:r>
      <w:r w:rsidRPr="00CC2162" w:rsidR="00CC2162">
        <w:rPr>
          <w:rFonts w:ascii="Arial" w:hAnsi="Arial" w:cs="Arial"/>
          <w:sz w:val="20"/>
          <w:szCs w:val="20"/>
        </w:rPr>
        <w:t xml:space="preserve"> Operating</w:t>
      </w:r>
      <w:r w:rsidR="00CC2162">
        <w:rPr>
          <w:rFonts w:ascii="Arial" w:hAnsi="Arial" w:cs="Arial"/>
          <w:sz w:val="20"/>
          <w:szCs w:val="20"/>
        </w:rPr>
        <w:t xml:space="preserve"> </w:t>
      </w:r>
      <w:r w:rsidRPr="00CC2162" w:rsidR="00CC2162">
        <w:rPr>
          <w:rFonts w:ascii="Arial" w:hAnsi="Arial" w:cs="Arial"/>
          <w:sz w:val="20"/>
          <w:szCs w:val="20"/>
        </w:rPr>
        <w:t>Committee</w:t>
      </w:r>
      <w:r w:rsidR="00CC2162">
        <w:rPr>
          <w:rFonts w:ascii="Arial" w:hAnsi="Arial" w:cs="Arial"/>
          <w:sz w:val="20"/>
          <w:szCs w:val="20"/>
        </w:rPr>
        <w:t xml:space="preserve"> </w:t>
      </w:r>
      <w:r w:rsidR="00A8682E">
        <w:rPr>
          <w:rFonts w:ascii="Arial" w:hAnsi="Arial" w:cs="Arial"/>
          <w:sz w:val="20"/>
          <w:szCs w:val="20"/>
        </w:rPr>
        <w:t xml:space="preserve">to </w:t>
      </w:r>
      <w:r w:rsidRPr="00CC2162" w:rsidR="00CC2162">
        <w:rPr>
          <w:rFonts w:ascii="Arial" w:hAnsi="Arial" w:cs="Arial"/>
          <w:sz w:val="20"/>
          <w:szCs w:val="20"/>
        </w:rPr>
        <w:t>develop and implement</w:t>
      </w:r>
      <w:r w:rsidR="00CC2162">
        <w:rPr>
          <w:rFonts w:ascii="Arial" w:hAnsi="Arial" w:cs="Arial"/>
          <w:sz w:val="20"/>
          <w:szCs w:val="20"/>
        </w:rPr>
        <w:t xml:space="preserve"> </w:t>
      </w:r>
      <w:r w:rsidRPr="00CC2162" w:rsidR="00CC2162">
        <w:rPr>
          <w:rFonts w:ascii="Arial" w:hAnsi="Arial" w:cs="Arial"/>
          <w:sz w:val="20"/>
          <w:szCs w:val="20"/>
        </w:rPr>
        <w:t>alternative adjustment</w:t>
      </w:r>
      <w:r w:rsidR="00CC2162">
        <w:rPr>
          <w:rFonts w:ascii="Arial" w:hAnsi="Arial" w:cs="Arial"/>
          <w:sz w:val="20"/>
          <w:szCs w:val="20"/>
        </w:rPr>
        <w:t xml:space="preserve"> </w:t>
      </w:r>
      <w:r w:rsidRPr="00CC2162" w:rsidR="00CC2162">
        <w:rPr>
          <w:rFonts w:ascii="Arial" w:hAnsi="Arial" w:cs="Arial"/>
          <w:sz w:val="20"/>
          <w:szCs w:val="20"/>
        </w:rPr>
        <w:t>measures</w:t>
      </w:r>
      <w:r w:rsidR="00CC2162">
        <w:rPr>
          <w:rFonts w:ascii="Arial" w:hAnsi="Arial" w:cs="Arial"/>
          <w:sz w:val="20"/>
          <w:szCs w:val="20"/>
        </w:rPr>
        <w:t xml:space="preserve"> </w:t>
      </w:r>
      <w:r w:rsidRPr="00CC2162" w:rsidR="00CC2162">
        <w:rPr>
          <w:rFonts w:ascii="Arial" w:hAnsi="Arial" w:cs="Arial"/>
          <w:sz w:val="20"/>
          <w:szCs w:val="20"/>
        </w:rPr>
        <w:t xml:space="preserve">for </w:t>
      </w:r>
      <w:r w:rsidR="004E2C11">
        <w:rPr>
          <w:rFonts w:ascii="Arial" w:hAnsi="Arial" w:cs="Arial"/>
          <w:sz w:val="20"/>
          <w:szCs w:val="20"/>
        </w:rPr>
        <w:t>such</w:t>
      </w:r>
      <w:r w:rsidR="00CC2162">
        <w:rPr>
          <w:rFonts w:ascii="Arial" w:hAnsi="Arial" w:cs="Arial"/>
          <w:sz w:val="20"/>
          <w:szCs w:val="20"/>
        </w:rPr>
        <w:t xml:space="preserve"> </w:t>
      </w:r>
      <w:r w:rsidRPr="00CC2162" w:rsidR="00CC2162">
        <w:rPr>
          <w:rFonts w:ascii="Arial" w:hAnsi="Arial" w:cs="Arial"/>
          <w:sz w:val="20"/>
          <w:szCs w:val="20"/>
        </w:rPr>
        <w:t>components.</w:t>
      </w:r>
    </w:p>
    <w:p w:rsidRPr="00EC54D0" w:rsidR="00302391" w:rsidP="00D65F03" w:rsidRDefault="00302391" w14:paraId="616E01F1" w14:textId="5EB6461A">
      <w:pPr>
        <w:pStyle w:val="zGBody2"/>
        <w:numPr>
          <w:ilvl w:val="1"/>
          <w:numId w:val="58"/>
        </w:numPr>
        <w:spacing w:before="120"/>
        <w:rPr>
          <w:b w:val="0"/>
          <w:vanish/>
          <w:specVanish/>
        </w:rPr>
      </w:pPr>
      <w:r w:rsidRPr="001337D6">
        <w:t xml:space="preserve">Annual Renewable Energy Performance True-up. </w:t>
      </w:r>
    </w:p>
    <w:p w:rsidRPr="001337D6" w:rsidR="00302391" w:rsidP="00D65F03" w:rsidRDefault="00302391" w14:paraId="544D536A" w14:textId="47438170">
      <w:pPr>
        <w:pStyle w:val="zGNormal"/>
        <w:spacing w:before="120" w:after="120"/>
        <w:rPr>
          <w:rStyle w:val="normaltextrun"/>
        </w:rPr>
      </w:pPr>
      <w:r w:rsidRPr="001337D6">
        <w:rPr>
          <w:rStyle w:val="normaltextrun"/>
        </w:rPr>
        <w:t xml:space="preserve"> No later than sixty (60) Days after the end of each Annual Period, GPC </w:t>
      </w:r>
      <w:r w:rsidRPr="001337D6" w:rsidR="0006445F">
        <w:rPr>
          <w:rStyle w:val="normaltextrun"/>
        </w:rPr>
        <w:t xml:space="preserve">will </w:t>
      </w:r>
      <w:r w:rsidRPr="001337D6">
        <w:rPr>
          <w:rStyle w:val="normaltextrun"/>
        </w:rPr>
        <w:t xml:space="preserve">determine if the Seller </w:t>
      </w:r>
      <w:r w:rsidRPr="001337D6" w:rsidR="0006445F">
        <w:rPr>
          <w:rStyle w:val="normaltextrun"/>
        </w:rPr>
        <w:t xml:space="preserve">must </w:t>
      </w:r>
      <w:r w:rsidRPr="001337D6">
        <w:rPr>
          <w:rStyle w:val="normaltextrun"/>
        </w:rPr>
        <w:t>pay an Annual Renewable Energy Performance True-up in accordance with Table C-5 below, based on Seller’s “</w:t>
      </w:r>
      <w:r w:rsidRPr="001337D6">
        <w:rPr>
          <w:rStyle w:val="normaltextrun"/>
          <w:b/>
        </w:rPr>
        <w:t>Annual Renewable Energy Factor</w:t>
      </w:r>
      <w:r w:rsidRPr="001337D6">
        <w:rPr>
          <w:rStyle w:val="normaltextrun"/>
          <w:b/>
          <w:bCs/>
        </w:rPr>
        <w:t>” (AREF)</w:t>
      </w:r>
      <w:r w:rsidRPr="001337D6">
        <w:rPr>
          <w:rStyle w:val="normaltextrun"/>
        </w:rPr>
        <w:t xml:space="preserve"> for the applicable Annual Period. Seller guarantees that the AREF </w:t>
      </w:r>
      <w:r w:rsidRPr="001337D6" w:rsidR="0006445F">
        <w:rPr>
          <w:rStyle w:val="normaltextrun"/>
        </w:rPr>
        <w:t xml:space="preserve">will be </w:t>
      </w:r>
      <w:r w:rsidRPr="001337D6">
        <w:rPr>
          <w:rStyle w:val="normaltextrun"/>
        </w:rPr>
        <w:t xml:space="preserve">at least ninety percent (90%) for each Annual Period. If Seller’s AREF is less than ninety (90%), Seller must pay to GPC an Annual Renewable Energy </w:t>
      </w:r>
      <w:r w:rsidR="00B76344">
        <w:rPr>
          <w:rStyle w:val="normaltextrun"/>
        </w:rPr>
        <w:t xml:space="preserve">Performance </w:t>
      </w:r>
      <w:r w:rsidRPr="001337D6">
        <w:rPr>
          <w:rStyle w:val="normaltextrun"/>
        </w:rPr>
        <w:t xml:space="preserve">True-up payment calculated in accordance with Table C-5 below </w:t>
      </w:r>
      <w:r w:rsidRPr="001337D6" w:rsidR="0006445F">
        <w:rPr>
          <w:rStyle w:val="normaltextrun"/>
        </w:rPr>
        <w:t xml:space="preserve">no later than </w:t>
      </w:r>
      <w:r w:rsidRPr="001337D6">
        <w:rPr>
          <w:rStyle w:val="normaltextrun"/>
        </w:rPr>
        <w:t xml:space="preserve">30 </w:t>
      </w:r>
      <w:r w:rsidRPr="001337D6" w:rsidR="00CD0E5D">
        <w:rPr>
          <w:rStyle w:val="normaltextrun"/>
        </w:rPr>
        <w:t>D</w:t>
      </w:r>
      <w:r w:rsidRPr="001337D6">
        <w:rPr>
          <w:rStyle w:val="normaltextrun"/>
        </w:rPr>
        <w:t>ays after receipt of GPC’s invoice.</w:t>
      </w:r>
    </w:p>
    <w:p w:rsidRPr="001337D6" w:rsidR="00302391" w:rsidP="00302391" w:rsidRDefault="00302391" w14:paraId="3585F3AF" w14:textId="77777777">
      <w:pPr>
        <w:pStyle w:val="paragraph"/>
        <w:widowControl w:val="0"/>
        <w:spacing w:before="0" w:beforeAutospacing="0" w:after="0" w:afterAutospacing="0"/>
        <w:ind w:left="720"/>
        <w:textAlignment w:val="baseline"/>
        <w:rPr>
          <w:rStyle w:val="normaltextrun"/>
          <w:rFonts w:ascii="Arial" w:hAnsi="Arial" w:cs="Arial" w:eastAsiaTheme="majorEastAsia"/>
          <w:sz w:val="20"/>
          <w:szCs w:val="20"/>
        </w:rPr>
      </w:pPr>
      <w:r w:rsidRPr="001337D6">
        <w:rPr>
          <w:rStyle w:val="normaltextrun"/>
          <w:rFonts w:ascii="Arial" w:hAnsi="Arial" w:cs="Arial" w:eastAsiaTheme="majorEastAsia"/>
          <w:sz w:val="20"/>
          <w:szCs w:val="20"/>
        </w:rPr>
        <w:tab/>
      </w:r>
    </w:p>
    <w:tbl>
      <w:tblPr>
        <w:tblW w:w="9270" w:type="dxa"/>
        <w:tblInd w:w="532"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4852"/>
        <w:gridCol w:w="4418"/>
      </w:tblGrid>
      <w:tr w:rsidRPr="001337D6" w:rsidR="00302391" w:rsidTr="006E1E1D" w14:paraId="45B5FFBF" w14:textId="77777777">
        <w:trPr>
          <w:trHeight w:val="465"/>
          <w:tblHeader/>
        </w:trPr>
        <w:tc>
          <w:tcPr>
            <w:tcW w:w="9270" w:type="dxa"/>
            <w:gridSpan w:val="2"/>
            <w:tcBorders>
              <w:top w:val="single" w:color="auto" w:sz="6" w:space="0"/>
              <w:left w:val="single" w:color="auto" w:sz="6" w:space="0"/>
              <w:bottom w:val="single" w:color="auto" w:sz="6" w:space="0"/>
              <w:right w:val="single" w:color="auto" w:sz="6" w:space="0"/>
            </w:tcBorders>
            <w:shd w:val="clear" w:color="auto" w:fill="BFBFBF" w:themeFill="background1" w:themeFillShade="BF"/>
            <w:vAlign w:val="center"/>
          </w:tcPr>
          <w:p w:rsidRPr="001337D6" w:rsidR="00302391" w:rsidRDefault="00302391" w14:paraId="6EE242CF" w14:textId="77777777">
            <w:pPr>
              <w:widowControl w:val="0"/>
              <w:spacing w:before="60" w:after="60"/>
              <w:jc w:val="center"/>
              <w:textAlignment w:val="baseline"/>
              <w:rPr>
                <w:rFonts w:ascii="Arial" w:hAnsi="Arial" w:eastAsia="Times New Roman" w:cs="Arial"/>
                <w:b/>
                <w:sz w:val="20"/>
                <w:szCs w:val="20"/>
              </w:rPr>
            </w:pPr>
            <w:r w:rsidRPr="001337D6">
              <w:rPr>
                <w:rFonts w:ascii="Arial" w:hAnsi="Arial" w:eastAsia="Times New Roman" w:cs="Arial"/>
                <w:b/>
                <w:sz w:val="20"/>
                <w:szCs w:val="20"/>
              </w:rPr>
              <w:t>Table C-5</w:t>
            </w:r>
          </w:p>
          <w:p w:rsidRPr="00B30DA7" w:rsidR="00302391" w:rsidP="00B30DA7" w:rsidRDefault="00302391" w14:paraId="7929EEEA" w14:textId="2F77CB48">
            <w:pPr>
              <w:pStyle w:val="Subtitle-Bold"/>
              <w:keepNext w:val="0"/>
              <w:widowControl w:val="0"/>
              <w:spacing w:before="60" w:after="60" w:line="276" w:lineRule="auto"/>
              <w:textAlignment w:val="baseline"/>
              <w:rPr>
                <w:rFonts w:eastAsia="Times New Roman" w:cs="Arial"/>
                <w:bCs w:val="0"/>
              </w:rPr>
            </w:pPr>
            <w:r w:rsidRPr="00B30DA7">
              <w:rPr>
                <w:rFonts w:eastAsia="Times New Roman" w:cs="Arial"/>
                <w:bCs w:val="0"/>
              </w:rPr>
              <w:t>Annual Renewable Energy Performance True-up</w:t>
            </w:r>
          </w:p>
          <w:p w:rsidRPr="001337D6" w:rsidR="00302391" w:rsidRDefault="00302391" w14:paraId="58BF809E" w14:textId="77777777">
            <w:pPr>
              <w:widowControl w:val="0"/>
              <w:spacing w:before="60" w:after="60"/>
              <w:jc w:val="center"/>
              <w:textAlignment w:val="baseline"/>
              <w:rPr>
                <w:rFonts w:ascii="Arial" w:hAnsi="Arial" w:eastAsia="Times New Roman" w:cs="Arial"/>
                <w:b/>
                <w:sz w:val="20"/>
                <w:szCs w:val="20"/>
              </w:rPr>
            </w:pPr>
          </w:p>
        </w:tc>
      </w:tr>
      <w:tr w:rsidRPr="001337D6" w:rsidR="00302391" w:rsidTr="006E1E1D" w14:paraId="71DAB396" w14:textId="77777777">
        <w:trPr>
          <w:trHeight w:val="465"/>
          <w:tblHeader/>
        </w:trPr>
        <w:tc>
          <w:tcPr>
            <w:tcW w:w="4852" w:type="dxa"/>
            <w:tcBorders>
              <w:top w:val="single" w:color="auto" w:sz="6" w:space="0"/>
              <w:left w:val="single" w:color="auto" w:sz="6" w:space="0"/>
              <w:bottom w:val="single" w:color="auto" w:sz="6" w:space="0"/>
              <w:right w:val="single" w:color="auto" w:sz="6" w:space="0"/>
            </w:tcBorders>
            <w:shd w:val="clear" w:color="auto" w:fill="D9D9D9" w:themeFill="background1" w:themeFillShade="D9"/>
            <w:vAlign w:val="center"/>
            <w:hideMark/>
          </w:tcPr>
          <w:p w:rsidRPr="001337D6" w:rsidR="00302391" w:rsidRDefault="00302391" w14:paraId="72210DC3" w14:textId="77777777">
            <w:pPr>
              <w:widowControl w:val="0"/>
              <w:spacing w:before="60" w:after="60"/>
              <w:jc w:val="center"/>
              <w:textAlignment w:val="baseline"/>
              <w:rPr>
                <w:rFonts w:ascii="Arial" w:hAnsi="Arial" w:eastAsia="Times New Roman" w:cs="Arial"/>
                <w:sz w:val="20"/>
                <w:szCs w:val="20"/>
              </w:rPr>
            </w:pPr>
            <w:r w:rsidRPr="001337D6">
              <w:rPr>
                <w:rFonts w:ascii="Arial" w:hAnsi="Arial" w:cs="Arial"/>
                <w:b/>
                <w:sz w:val="20"/>
                <w:szCs w:val="20"/>
              </w:rPr>
              <w:t>Annual Renewable Energy Factor (AREF)</w:t>
            </w:r>
          </w:p>
        </w:tc>
        <w:tc>
          <w:tcPr>
            <w:tcW w:w="4418" w:type="dxa"/>
            <w:tcBorders>
              <w:top w:val="single" w:color="auto" w:sz="6" w:space="0"/>
              <w:left w:val="nil"/>
              <w:bottom w:val="single" w:color="auto" w:sz="6" w:space="0"/>
              <w:right w:val="single" w:color="auto" w:sz="6" w:space="0"/>
            </w:tcBorders>
            <w:shd w:val="clear" w:color="auto" w:fill="D9D9D9" w:themeFill="background1" w:themeFillShade="D9"/>
            <w:vAlign w:val="center"/>
            <w:hideMark/>
          </w:tcPr>
          <w:p w:rsidRPr="001337D6" w:rsidR="00302391" w:rsidRDefault="00302391" w14:paraId="7919E7B3" w14:textId="0B607701">
            <w:pPr>
              <w:widowControl w:val="0"/>
              <w:spacing w:before="60" w:after="60"/>
              <w:jc w:val="center"/>
              <w:textAlignment w:val="baseline"/>
              <w:rPr>
                <w:rFonts w:ascii="Arial" w:hAnsi="Arial" w:eastAsia="Times New Roman" w:cs="Arial"/>
                <w:sz w:val="20"/>
                <w:szCs w:val="20"/>
              </w:rPr>
            </w:pPr>
            <w:r w:rsidRPr="001337D6">
              <w:rPr>
                <w:rFonts w:ascii="Arial" w:hAnsi="Arial" w:eastAsia="Times New Roman" w:cs="Arial"/>
                <w:b/>
                <w:sz w:val="20"/>
                <w:szCs w:val="20"/>
              </w:rPr>
              <w:t>Annual Renewable Energy Performance True-up</w:t>
            </w:r>
            <w:r w:rsidRPr="001337D6" w:rsidR="009761A2">
              <w:rPr>
                <w:rFonts w:ascii="Arial" w:hAnsi="Arial" w:eastAsia="Times New Roman" w:cs="Arial"/>
                <w:b/>
                <w:sz w:val="20"/>
                <w:szCs w:val="20"/>
              </w:rPr>
              <w:t xml:space="preserve"> for the applicable Annual Period</w:t>
            </w:r>
          </w:p>
        </w:tc>
      </w:tr>
      <w:tr w:rsidRPr="001337D6" w:rsidR="00302391" w:rsidTr="006E1E1D" w14:paraId="1CA6D7CC" w14:textId="77777777">
        <w:trPr>
          <w:trHeight w:val="615"/>
        </w:trPr>
        <w:tc>
          <w:tcPr>
            <w:tcW w:w="4852" w:type="dxa"/>
            <w:tcBorders>
              <w:top w:val="nil"/>
              <w:left w:val="single" w:color="auto" w:sz="6" w:space="0"/>
              <w:bottom w:val="single" w:color="auto" w:sz="6" w:space="0"/>
              <w:right w:val="single" w:color="auto" w:sz="6" w:space="0"/>
            </w:tcBorders>
            <w:vAlign w:val="center"/>
            <w:hideMark/>
          </w:tcPr>
          <w:p w:rsidRPr="001337D6" w:rsidR="00302391" w:rsidRDefault="00302391" w14:paraId="6E28818B" w14:textId="77777777">
            <w:pPr>
              <w:widowControl w:val="0"/>
              <w:spacing w:before="60" w:after="60"/>
              <w:jc w:val="center"/>
              <w:textAlignment w:val="baseline"/>
              <w:rPr>
                <w:rFonts w:ascii="Arial" w:hAnsi="Arial" w:eastAsia="Times New Roman" w:cs="Arial"/>
                <w:sz w:val="20"/>
                <w:szCs w:val="20"/>
              </w:rPr>
            </w:pPr>
            <w:r w:rsidRPr="001337D6">
              <w:rPr>
                <w:rFonts w:ascii="Arial" w:hAnsi="Arial" w:cs="Arial"/>
                <w:sz w:val="20"/>
                <w:szCs w:val="20"/>
              </w:rPr>
              <w:t>AREF</w:t>
            </w:r>
            <w:r w:rsidRPr="001337D6">
              <w:rPr>
                <w:rFonts w:ascii="Arial" w:hAnsi="Arial" w:eastAsia="Times New Roman" w:cs="Arial"/>
                <w:sz w:val="20"/>
                <w:szCs w:val="20"/>
              </w:rPr>
              <w:t> ≥ 0.90</w:t>
            </w:r>
          </w:p>
        </w:tc>
        <w:tc>
          <w:tcPr>
            <w:tcW w:w="4418" w:type="dxa"/>
            <w:tcBorders>
              <w:top w:val="nil"/>
              <w:left w:val="nil"/>
              <w:bottom w:val="single" w:color="auto" w:sz="6" w:space="0"/>
              <w:right w:val="single" w:color="auto" w:sz="6" w:space="0"/>
            </w:tcBorders>
            <w:vAlign w:val="center"/>
            <w:hideMark/>
          </w:tcPr>
          <w:p w:rsidRPr="001337D6" w:rsidR="00302391" w:rsidRDefault="00302391" w14:paraId="22FE9BAC" w14:textId="77777777">
            <w:pPr>
              <w:widowControl w:val="0"/>
              <w:spacing w:before="60" w:after="60"/>
              <w:jc w:val="center"/>
              <w:textAlignment w:val="baseline"/>
              <w:rPr>
                <w:rFonts w:ascii="Arial" w:hAnsi="Arial" w:eastAsia="Times New Roman" w:cs="Arial"/>
                <w:sz w:val="20"/>
                <w:szCs w:val="20"/>
              </w:rPr>
            </w:pPr>
            <w:r w:rsidRPr="001337D6">
              <w:rPr>
                <w:rFonts w:ascii="Arial" w:hAnsi="Arial" w:eastAsia="Times New Roman" w:cs="Arial"/>
                <w:sz w:val="20"/>
                <w:szCs w:val="20"/>
              </w:rPr>
              <w:t>No True-up</w:t>
            </w:r>
          </w:p>
        </w:tc>
      </w:tr>
      <w:tr w:rsidRPr="001337D6" w:rsidR="00302391" w:rsidTr="006E1E1D" w14:paraId="6A37608D" w14:textId="77777777">
        <w:trPr>
          <w:trHeight w:val="615"/>
        </w:trPr>
        <w:tc>
          <w:tcPr>
            <w:tcW w:w="4852" w:type="dxa"/>
            <w:tcBorders>
              <w:top w:val="nil"/>
              <w:left w:val="single" w:color="auto" w:sz="6" w:space="0"/>
              <w:bottom w:val="single" w:color="auto" w:sz="6" w:space="0"/>
              <w:right w:val="single" w:color="auto" w:sz="6" w:space="0"/>
            </w:tcBorders>
            <w:vAlign w:val="center"/>
            <w:hideMark/>
          </w:tcPr>
          <w:p w:rsidRPr="001337D6" w:rsidR="00302391" w:rsidRDefault="00302391" w14:paraId="47B17D6F" w14:textId="77777777">
            <w:pPr>
              <w:widowControl w:val="0"/>
              <w:spacing w:before="60" w:after="60"/>
              <w:jc w:val="center"/>
              <w:textAlignment w:val="baseline"/>
              <w:rPr>
                <w:rFonts w:ascii="Arial" w:hAnsi="Arial" w:eastAsia="Times New Roman" w:cs="Arial"/>
                <w:sz w:val="20"/>
                <w:szCs w:val="20"/>
              </w:rPr>
            </w:pPr>
            <w:r w:rsidRPr="001337D6">
              <w:rPr>
                <w:rFonts w:ascii="Arial" w:hAnsi="Arial" w:eastAsia="Times New Roman" w:cs="Arial"/>
                <w:sz w:val="20"/>
                <w:szCs w:val="20"/>
              </w:rPr>
              <w:t xml:space="preserve">0.90 &gt; </w:t>
            </w:r>
            <w:r w:rsidRPr="001337D6">
              <w:rPr>
                <w:rFonts w:ascii="Arial" w:hAnsi="Arial" w:cs="Arial"/>
                <w:sz w:val="20"/>
                <w:szCs w:val="20"/>
              </w:rPr>
              <w:t>AREF</w:t>
            </w:r>
            <w:r w:rsidRPr="001337D6">
              <w:rPr>
                <w:rFonts w:ascii="Arial" w:hAnsi="Arial" w:eastAsia="Times New Roman" w:cs="Arial"/>
                <w:sz w:val="20"/>
                <w:szCs w:val="20"/>
              </w:rPr>
              <w:t xml:space="preserve"> ≥ 0.65</w:t>
            </w:r>
          </w:p>
        </w:tc>
        <w:tc>
          <w:tcPr>
            <w:tcW w:w="4418" w:type="dxa"/>
            <w:tcBorders>
              <w:top w:val="nil"/>
              <w:left w:val="nil"/>
              <w:bottom w:val="single" w:color="auto" w:sz="6" w:space="0"/>
              <w:right w:val="single" w:color="auto" w:sz="6" w:space="0"/>
            </w:tcBorders>
            <w:vAlign w:val="center"/>
            <w:hideMark/>
          </w:tcPr>
          <w:p w:rsidRPr="001337D6" w:rsidR="00302391" w:rsidRDefault="00302391" w14:paraId="7F25DA5F" w14:textId="7E6F9458">
            <w:pPr>
              <w:widowControl w:val="0"/>
              <w:spacing w:before="60" w:after="60"/>
              <w:jc w:val="center"/>
              <w:textAlignment w:val="baseline"/>
              <w:rPr>
                <w:rFonts w:ascii="Arial" w:hAnsi="Arial" w:eastAsia="Times New Roman" w:cs="Arial"/>
                <w:sz w:val="20"/>
                <w:szCs w:val="20"/>
              </w:rPr>
            </w:pPr>
            <w:r w:rsidRPr="001337D6">
              <w:rPr>
                <w:rFonts w:ascii="Arial" w:hAnsi="Arial" w:eastAsia="Times New Roman" w:cs="Arial"/>
                <w:sz w:val="20"/>
                <w:szCs w:val="20"/>
              </w:rPr>
              <w:t xml:space="preserve">(0.90 - AREF) * 2 * </w:t>
            </w:r>
            <w:r w:rsidRPr="001337D6" w:rsidR="00976240">
              <w:rPr>
                <w:rFonts w:ascii="Arial" w:hAnsi="Arial" w:eastAsia="Times New Roman" w:cs="Arial"/>
                <w:sz w:val="20"/>
                <w:szCs w:val="20"/>
              </w:rPr>
              <w:t>s</w:t>
            </w:r>
            <w:r w:rsidRPr="001337D6" w:rsidR="00976240">
              <w:rPr>
                <w:rFonts w:eastAsia="Times New Roman"/>
              </w:rPr>
              <w:t>um of</w:t>
            </w:r>
            <w:r w:rsidRPr="001337D6" w:rsidR="00976240">
              <w:rPr>
                <w:rFonts w:ascii="Arial" w:hAnsi="Arial" w:eastAsia="Times New Roman" w:cs="Arial"/>
                <w:sz w:val="20"/>
                <w:szCs w:val="20"/>
              </w:rPr>
              <w:t xml:space="preserve"> </w:t>
            </w:r>
            <w:r w:rsidRPr="001337D6">
              <w:rPr>
                <w:rFonts w:ascii="Arial" w:hAnsi="Arial" w:eastAsia="Times New Roman" w:cs="Arial"/>
                <w:sz w:val="20"/>
                <w:szCs w:val="20"/>
              </w:rPr>
              <w:t>MCPs</w:t>
            </w:r>
            <w:r w:rsidRPr="001337D6" w:rsidR="008E54B0">
              <w:rPr>
                <w:rFonts w:ascii="Arial" w:hAnsi="Arial" w:eastAsia="Times New Roman" w:cs="Arial"/>
                <w:sz w:val="20"/>
                <w:szCs w:val="20"/>
                <w:vertAlign w:val="subscript"/>
              </w:rPr>
              <w:t xml:space="preserve"> </w:t>
            </w:r>
          </w:p>
        </w:tc>
      </w:tr>
      <w:tr w:rsidRPr="001337D6" w:rsidR="00302391" w:rsidTr="006E1E1D" w14:paraId="79CBFAA1" w14:textId="77777777">
        <w:trPr>
          <w:trHeight w:val="615"/>
        </w:trPr>
        <w:tc>
          <w:tcPr>
            <w:tcW w:w="4852" w:type="dxa"/>
            <w:tcBorders>
              <w:top w:val="nil"/>
              <w:left w:val="single" w:color="auto" w:sz="6" w:space="0"/>
              <w:bottom w:val="single" w:color="auto" w:sz="6" w:space="0"/>
              <w:right w:val="single" w:color="auto" w:sz="6" w:space="0"/>
            </w:tcBorders>
            <w:vAlign w:val="center"/>
            <w:hideMark/>
          </w:tcPr>
          <w:p w:rsidRPr="001337D6" w:rsidR="00302391" w:rsidRDefault="00302391" w14:paraId="697FECBE" w14:textId="77777777">
            <w:pPr>
              <w:widowControl w:val="0"/>
              <w:jc w:val="center"/>
              <w:textAlignment w:val="baseline"/>
              <w:rPr>
                <w:rFonts w:ascii="Arial" w:hAnsi="Arial" w:eastAsia="Times New Roman" w:cs="Arial"/>
                <w:sz w:val="20"/>
                <w:szCs w:val="20"/>
              </w:rPr>
            </w:pPr>
            <w:r w:rsidRPr="001337D6">
              <w:rPr>
                <w:rFonts w:ascii="Arial" w:hAnsi="Arial" w:eastAsia="Times New Roman" w:cs="Arial"/>
                <w:sz w:val="20"/>
                <w:szCs w:val="20"/>
              </w:rPr>
              <w:t>0.65 ≥ AREF</w:t>
            </w:r>
          </w:p>
        </w:tc>
        <w:tc>
          <w:tcPr>
            <w:tcW w:w="4418" w:type="dxa"/>
            <w:tcBorders>
              <w:top w:val="nil"/>
              <w:left w:val="nil"/>
              <w:bottom w:val="single" w:color="auto" w:sz="6" w:space="0"/>
              <w:right w:val="single" w:color="auto" w:sz="6" w:space="0"/>
            </w:tcBorders>
            <w:vAlign w:val="center"/>
            <w:hideMark/>
          </w:tcPr>
          <w:p w:rsidRPr="001337D6" w:rsidR="00302391" w:rsidRDefault="00302391" w14:paraId="6BAA27F6" w14:textId="199AF4FF">
            <w:pPr>
              <w:widowControl w:val="0"/>
              <w:jc w:val="center"/>
              <w:textAlignment w:val="baseline"/>
              <w:rPr>
                <w:rFonts w:ascii="Arial" w:hAnsi="Arial" w:eastAsia="Times New Roman" w:cs="Arial"/>
                <w:sz w:val="20"/>
                <w:szCs w:val="20"/>
              </w:rPr>
            </w:pPr>
            <w:r w:rsidRPr="001337D6">
              <w:rPr>
                <w:rFonts w:ascii="Arial" w:hAnsi="Arial" w:eastAsia="Times New Roman" w:cs="Arial"/>
                <w:sz w:val="20"/>
                <w:szCs w:val="20"/>
              </w:rPr>
              <w:t xml:space="preserve">0.50 * </w:t>
            </w:r>
            <w:r w:rsidRPr="001337D6" w:rsidR="00976240">
              <w:rPr>
                <w:rFonts w:ascii="Arial" w:hAnsi="Arial" w:eastAsia="Times New Roman" w:cs="Arial"/>
                <w:sz w:val="20"/>
                <w:szCs w:val="20"/>
              </w:rPr>
              <w:t>s</w:t>
            </w:r>
            <w:r w:rsidRPr="001337D6" w:rsidR="00976240">
              <w:rPr>
                <w:rFonts w:eastAsia="Times New Roman"/>
              </w:rPr>
              <w:t>um of</w:t>
            </w:r>
            <w:r w:rsidRPr="001337D6" w:rsidR="00976240">
              <w:rPr>
                <w:rFonts w:ascii="Arial" w:hAnsi="Arial" w:eastAsia="Times New Roman" w:cs="Arial"/>
                <w:sz w:val="20"/>
                <w:szCs w:val="20"/>
              </w:rPr>
              <w:t xml:space="preserve"> </w:t>
            </w:r>
            <w:r w:rsidRPr="001337D6">
              <w:rPr>
                <w:rFonts w:ascii="Arial" w:hAnsi="Arial" w:eastAsia="Times New Roman" w:cs="Arial"/>
                <w:sz w:val="20"/>
                <w:szCs w:val="20"/>
              </w:rPr>
              <w:t>MCPs</w:t>
            </w:r>
          </w:p>
        </w:tc>
      </w:tr>
    </w:tbl>
    <w:p w:rsidRPr="001337D6" w:rsidR="00302391" w:rsidP="00302391" w:rsidRDefault="00302391" w14:paraId="215AF2D8" w14:textId="77777777">
      <w:pPr>
        <w:pStyle w:val="paragraph"/>
        <w:widowControl w:val="0"/>
        <w:spacing w:before="0" w:beforeAutospacing="0" w:after="0" w:afterAutospacing="0"/>
        <w:ind w:left="900"/>
        <w:textAlignment w:val="baseline"/>
        <w:rPr>
          <w:rStyle w:val="normaltextrun"/>
          <w:rFonts w:ascii="Arial" w:hAnsi="Arial" w:cs="Arial" w:eastAsiaTheme="majorEastAsia"/>
          <w:sz w:val="20"/>
          <w:szCs w:val="20"/>
        </w:rPr>
      </w:pPr>
    </w:p>
    <w:p w:rsidRPr="001337D6" w:rsidR="00302391" w:rsidP="00B30DA7" w:rsidRDefault="00302391" w14:paraId="392301CA" w14:textId="77777777">
      <w:pPr>
        <w:pStyle w:val="paragraph"/>
        <w:widowControl w:val="0"/>
        <w:spacing w:before="0" w:beforeAutospacing="0" w:after="0" w:afterAutospacing="0"/>
        <w:ind w:left="1170"/>
        <w:textAlignment w:val="baseline"/>
        <w:rPr>
          <w:rStyle w:val="normaltextrun"/>
          <w:rFonts w:ascii="Arial" w:hAnsi="Arial" w:cs="Arial" w:eastAsiaTheme="majorEastAsia"/>
          <w:sz w:val="20"/>
          <w:szCs w:val="20"/>
        </w:rPr>
      </w:pPr>
      <w:r w:rsidRPr="001337D6">
        <w:rPr>
          <w:rStyle w:val="normaltextrun"/>
          <w:rFonts w:ascii="Arial" w:hAnsi="Arial" w:cs="Arial" w:eastAsiaTheme="majorEastAsia"/>
          <w:sz w:val="20"/>
          <w:szCs w:val="20"/>
        </w:rPr>
        <w:t>For purposes of determining the Annual Renewable Energy Performance True-Up in Table C-5 above, the AREF will be calculated as follows:</w:t>
      </w:r>
    </w:p>
    <w:p w:rsidRPr="001337D6" w:rsidR="00302391" w:rsidP="00302391" w:rsidRDefault="00302391" w14:paraId="0F087A80" w14:textId="77777777">
      <w:pPr>
        <w:pStyle w:val="paragraph"/>
        <w:widowControl w:val="0"/>
        <w:spacing w:before="0" w:beforeAutospacing="0" w:after="0" w:afterAutospacing="0"/>
        <w:ind w:left="720" w:firstLine="432"/>
        <w:textAlignment w:val="baseline"/>
        <w:rPr>
          <w:rStyle w:val="normaltextrun"/>
          <w:rFonts w:ascii="Arial" w:hAnsi="Arial" w:cs="Arial" w:eastAsiaTheme="majorEastAsia"/>
          <w:sz w:val="20"/>
          <w:szCs w:val="20"/>
        </w:rPr>
      </w:pPr>
    </w:p>
    <w:p w:rsidRPr="001337D6" w:rsidR="00302391" w:rsidP="00B30DA7" w:rsidRDefault="00302391" w14:paraId="53504B5A" w14:textId="77777777">
      <w:pPr>
        <w:pStyle w:val="paragraph"/>
        <w:widowControl w:val="0"/>
        <w:spacing w:before="0" w:beforeAutospacing="0" w:after="0" w:afterAutospacing="0"/>
        <w:ind w:left="3240" w:firstLine="432"/>
        <w:textAlignment w:val="baseline"/>
        <w:rPr>
          <w:rStyle w:val="normaltextrun"/>
          <w:rFonts w:ascii="Arial" w:hAnsi="Arial" w:cs="Arial" w:eastAsiaTheme="majorEastAsia"/>
          <w:sz w:val="20"/>
          <w:szCs w:val="20"/>
        </w:rPr>
      </w:pPr>
      <m:oMathPara>
        <m:oMathParaPr>
          <m:jc m:val="left"/>
        </m:oMathParaPr>
        <m:oMath>
          <m:r>
            <w:rPr>
              <w:rFonts w:ascii="Cambria Math" w:hAnsi="Cambria Math" w:cs="Arial"/>
              <w:sz w:val="20"/>
              <w:szCs w:val="20"/>
            </w:rPr>
            <m:t>AREF=</m:t>
          </m:r>
          <m:sSub>
            <m:sSubPr>
              <m:ctrlPr>
                <w:rPr>
                  <w:rFonts w:ascii="Cambria Math" w:hAnsi="Cambria Math" w:cs="Arial"/>
                  <w:iCs/>
                  <w:sz w:val="20"/>
                  <w:szCs w:val="20"/>
                </w:rPr>
              </m:ctrlPr>
            </m:sSubPr>
            <m:e>
              <m:f>
                <m:fPr>
                  <m:ctrlPr>
                    <w:rPr>
                      <w:rFonts w:ascii="Cambria Math" w:hAnsi="Cambria Math" w:cs="Arial"/>
                      <w:iCs/>
                      <w:sz w:val="20"/>
                      <w:szCs w:val="20"/>
                    </w:rPr>
                  </m:ctrlPr>
                </m:fPr>
                <m:num>
                  <m:sSub>
                    <m:sSubPr>
                      <m:ctrlPr>
                        <w:rPr>
                          <w:rFonts w:ascii="Cambria Math" w:hAnsi="Cambria Math" w:cs="Arial"/>
                          <w:iCs/>
                          <w:sz w:val="20"/>
                          <w:szCs w:val="20"/>
                        </w:rPr>
                      </m:ctrlPr>
                    </m:sSubPr>
                    <m:e>
                      <m:r>
                        <m:rPr>
                          <m:sty m:val="p"/>
                        </m:rPr>
                        <w:rPr>
                          <w:rFonts w:ascii="Cambria Math" w:hAnsi="Cambria Math" w:cs="Arial"/>
                          <w:sz w:val="20"/>
                          <w:szCs w:val="20"/>
                        </w:rPr>
                        <m:t>Available Renewable Energy</m:t>
                      </m:r>
                    </m:e>
                    <m:sub>
                      <m:r>
                        <m:rPr>
                          <m:sty m:val="p"/>
                        </m:rPr>
                        <w:rPr>
                          <w:rFonts w:ascii="Cambria Math" w:hAnsi="Cambria Math" w:cs="Arial"/>
                          <w:sz w:val="20"/>
                          <w:szCs w:val="20"/>
                        </w:rPr>
                        <m:t>i</m:t>
                      </m:r>
                    </m:sub>
                  </m:sSub>
                </m:num>
                <m:den>
                  <m:r>
                    <m:rPr>
                      <m:sty m:val="p"/>
                    </m:rPr>
                    <w:rPr>
                      <w:rFonts w:ascii="Cambria Math" w:hAnsi="Cambria Math" w:cs="Arial"/>
                      <w:sz w:val="20"/>
                      <w:szCs w:val="20"/>
                    </w:rPr>
                    <m:t>Annual Renewable Energy Forecast</m:t>
                  </m:r>
                </m:den>
              </m:f>
            </m:e>
            <m:sub>
              <m:r>
                <m:rPr>
                  <m:sty m:val="p"/>
                </m:rPr>
                <w:rPr>
                  <w:rFonts w:ascii="Cambria Math" w:hAnsi="Cambria Math" w:cs="Arial"/>
                  <w:sz w:val="20"/>
                  <w:szCs w:val="20"/>
                </w:rPr>
                <m:t>i</m:t>
              </m:r>
              <m:ctrlPr>
                <w:rPr>
                  <w:rFonts w:ascii="Cambria Math" w:hAnsi="Cambria Math" w:cs="Arial"/>
                  <w:sz w:val="20"/>
                  <w:szCs w:val="20"/>
                </w:rPr>
              </m:ctrlPr>
            </m:sub>
          </m:sSub>
        </m:oMath>
      </m:oMathPara>
    </w:p>
    <w:p w:rsidRPr="001337D6" w:rsidR="00302391" w:rsidP="00E72FEC" w:rsidRDefault="00302391" w14:paraId="4A67A724" w14:textId="77777777">
      <w:pPr>
        <w:pStyle w:val="paragraph"/>
        <w:widowControl w:val="0"/>
        <w:spacing w:before="0" w:beforeAutospacing="0" w:after="0" w:afterAutospacing="0"/>
        <w:ind w:left="1260"/>
        <w:textAlignment w:val="baseline"/>
        <w:rPr>
          <w:rFonts w:ascii="Arial" w:hAnsi="Arial" w:cs="Arial"/>
          <w:sz w:val="20"/>
          <w:szCs w:val="20"/>
        </w:rPr>
      </w:pPr>
      <w:r w:rsidRPr="001337D6">
        <w:rPr>
          <w:rStyle w:val="normaltextrun"/>
          <w:rFonts w:ascii="Arial" w:hAnsi="Arial" w:cs="Arial" w:eastAsiaTheme="majorEastAsia"/>
          <w:sz w:val="20"/>
          <w:szCs w:val="20"/>
        </w:rPr>
        <w:t>Where:</w:t>
      </w:r>
      <w:r w:rsidRPr="001337D6">
        <w:rPr>
          <w:rStyle w:val="eop"/>
          <w:rFonts w:ascii="Arial" w:hAnsi="Arial" w:cs="Arial" w:eastAsiaTheme="majorEastAsia"/>
          <w:sz w:val="20"/>
          <w:szCs w:val="20"/>
        </w:rPr>
        <w:t> </w:t>
      </w:r>
    </w:p>
    <w:p w:rsidRPr="001337D6" w:rsidR="00302391" w:rsidP="00E72FEC" w:rsidRDefault="00302391" w14:paraId="0583FC0E" w14:textId="77777777">
      <w:pPr>
        <w:pStyle w:val="paragraph"/>
        <w:widowControl w:val="0"/>
        <w:spacing w:before="0" w:beforeAutospacing="0" w:after="0" w:afterAutospacing="0"/>
        <w:ind w:left="1260"/>
        <w:jc w:val="both"/>
        <w:textAlignment w:val="baseline"/>
        <w:rPr>
          <w:rStyle w:val="normaltextrun"/>
          <w:rFonts w:ascii="Arial" w:hAnsi="Arial" w:cs="Arial" w:eastAsiaTheme="majorEastAsia"/>
          <w:sz w:val="20"/>
          <w:szCs w:val="20"/>
        </w:rPr>
      </w:pPr>
    </w:p>
    <w:p w:rsidRPr="001337D6" w:rsidR="00302391" w:rsidP="00E72FEC" w:rsidRDefault="00302391" w14:paraId="33694EBF" w14:textId="0F7D2FA9">
      <w:pPr>
        <w:pStyle w:val="paragraph"/>
        <w:widowControl w:val="0"/>
        <w:spacing w:before="0" w:beforeAutospacing="0" w:after="0" w:afterAutospacing="0"/>
        <w:ind w:left="1260"/>
        <w:jc w:val="both"/>
        <w:textAlignment w:val="baseline"/>
        <w:rPr>
          <w:rStyle w:val="normaltextrun"/>
          <w:rFonts w:ascii="Arial" w:hAnsi="Arial" w:cs="Arial" w:eastAsiaTheme="majorEastAsia"/>
          <w:iCs/>
          <w:sz w:val="20"/>
          <w:szCs w:val="20"/>
        </w:rPr>
      </w:pPr>
      <w:r w:rsidRPr="001337D6">
        <w:rPr>
          <w:rStyle w:val="normaltextrun"/>
          <w:rFonts w:ascii="Arial" w:hAnsi="Arial" w:cs="Arial" w:eastAsiaTheme="majorEastAsia"/>
          <w:iCs/>
          <w:sz w:val="20"/>
          <w:szCs w:val="20"/>
        </w:rPr>
        <w:t>i = the applicable Annual Period during the Term</w:t>
      </w:r>
    </w:p>
    <w:p w:rsidRPr="001337D6" w:rsidR="00302391" w:rsidP="00E72FEC" w:rsidRDefault="00302391" w14:paraId="6F553642" w14:textId="77777777">
      <w:pPr>
        <w:pStyle w:val="paragraph"/>
        <w:widowControl w:val="0"/>
        <w:spacing w:before="0" w:beforeAutospacing="0" w:after="0" w:afterAutospacing="0"/>
        <w:ind w:left="1260"/>
        <w:jc w:val="both"/>
        <w:textAlignment w:val="baseline"/>
        <w:rPr>
          <w:rStyle w:val="normaltextrun"/>
          <w:rFonts w:ascii="Arial" w:hAnsi="Arial" w:cs="Arial" w:eastAsiaTheme="majorEastAsia"/>
          <w:iCs/>
          <w:sz w:val="20"/>
          <w:szCs w:val="20"/>
        </w:rPr>
      </w:pPr>
      <w:r w:rsidRPr="001337D6">
        <w:rPr>
          <w:rFonts w:ascii="Arial" w:hAnsi="Arial" w:cs="Arial"/>
          <w:iCs/>
          <w:sz w:val="20"/>
          <w:szCs w:val="20"/>
        </w:rPr>
        <w:tab/>
      </w:r>
      <w:r w:rsidRPr="001337D6">
        <w:rPr>
          <w:rFonts w:ascii="Arial" w:hAnsi="Arial" w:cs="Arial"/>
          <w:iCs/>
          <w:sz w:val="20"/>
          <w:szCs w:val="20"/>
        </w:rPr>
        <w:tab/>
      </w:r>
    </w:p>
    <w:p w:rsidRPr="001337D6" w:rsidR="00302391" w:rsidP="00E72FEC" w:rsidRDefault="00302391" w14:paraId="330F6BDA" w14:textId="1755F1B0">
      <w:pPr>
        <w:pStyle w:val="paragraph"/>
        <w:widowControl w:val="0"/>
        <w:spacing w:before="0" w:beforeAutospacing="0" w:after="0" w:afterAutospacing="0"/>
        <w:ind w:left="1260"/>
        <w:jc w:val="both"/>
        <w:textAlignment w:val="baseline"/>
        <w:rPr>
          <w:rStyle w:val="normaltextrun"/>
          <w:rFonts w:ascii="Arial" w:hAnsi="Arial" w:cs="Arial" w:eastAsiaTheme="majorEastAsia"/>
          <w:iCs/>
          <w:sz w:val="20"/>
          <w:szCs w:val="20"/>
        </w:rPr>
      </w:pPr>
      <w:r w:rsidRPr="001337D6">
        <w:rPr>
          <w:rStyle w:val="normaltextrun"/>
          <w:rFonts w:ascii="Arial" w:hAnsi="Arial" w:cs="Arial" w:eastAsiaTheme="majorEastAsia"/>
          <w:iCs/>
          <w:sz w:val="20"/>
          <w:szCs w:val="20"/>
          <w:u w:val="single"/>
        </w:rPr>
        <w:t>Available Renewable Energy (MWh)</w:t>
      </w:r>
      <w:r w:rsidRPr="001337D6">
        <w:rPr>
          <w:rStyle w:val="normaltextrun"/>
          <w:rFonts w:ascii="Arial" w:hAnsi="Arial" w:cs="Arial" w:eastAsiaTheme="majorEastAsia"/>
          <w:iCs/>
          <w:sz w:val="20"/>
          <w:szCs w:val="20"/>
        </w:rPr>
        <w:t xml:space="preserve"> = the sum of: (i) all Renewable Energy that was produced or was available to be produced</w:t>
      </w:r>
      <w:r w:rsidRPr="001337D6" w:rsidR="001A2DD8">
        <w:rPr>
          <w:rStyle w:val="normaltextrun"/>
          <w:rFonts w:ascii="Arial" w:hAnsi="Arial" w:cs="Arial" w:eastAsiaTheme="majorEastAsia"/>
          <w:iCs/>
          <w:sz w:val="20"/>
          <w:szCs w:val="20"/>
        </w:rPr>
        <w:t>;</w:t>
      </w:r>
      <w:r w:rsidRPr="001337D6">
        <w:rPr>
          <w:rStyle w:val="normaltextrun"/>
          <w:rFonts w:ascii="Arial" w:hAnsi="Arial" w:cs="Arial" w:eastAsiaTheme="majorEastAsia"/>
          <w:iCs/>
          <w:sz w:val="20"/>
          <w:szCs w:val="20"/>
        </w:rPr>
        <w:t xml:space="preserve"> and (ii) Curtailed Renewable Energy for </w:t>
      </w:r>
      <w:r w:rsidRPr="001337D6">
        <w:rPr>
          <w:rStyle w:val="normaltextrun"/>
          <w:rFonts w:ascii="Arial" w:hAnsi="Arial" w:cs="Arial" w:eastAsiaTheme="majorEastAsia"/>
          <w:iCs/>
          <w:sz w:val="20"/>
          <w:szCs w:val="20"/>
        </w:rPr>
        <w:lastRenderedPageBreak/>
        <w:t xml:space="preserve">applicable Annual Period; and </w:t>
      </w:r>
    </w:p>
    <w:p w:rsidRPr="001337D6" w:rsidR="00302391" w:rsidP="00E72FEC" w:rsidRDefault="00302391" w14:paraId="71A956FE" w14:textId="77777777">
      <w:pPr>
        <w:pStyle w:val="paragraph"/>
        <w:widowControl w:val="0"/>
        <w:spacing w:before="0" w:beforeAutospacing="0" w:after="0" w:afterAutospacing="0"/>
        <w:ind w:left="1260"/>
        <w:jc w:val="both"/>
        <w:textAlignment w:val="baseline"/>
        <w:rPr>
          <w:rStyle w:val="normaltextrun"/>
          <w:rFonts w:ascii="Arial" w:hAnsi="Arial" w:cs="Arial" w:eastAsiaTheme="majorEastAsia"/>
          <w:sz w:val="20"/>
          <w:szCs w:val="20"/>
        </w:rPr>
      </w:pPr>
    </w:p>
    <w:p w:rsidRPr="001337D6" w:rsidR="00302391" w:rsidP="00E72FEC" w:rsidRDefault="00302391" w14:paraId="087B5573" w14:textId="6FFEE0A5">
      <w:pPr>
        <w:adjustRightInd w:val="0"/>
        <w:spacing w:after="480"/>
        <w:ind w:left="1260"/>
        <w:textAlignment w:val="baseline"/>
        <w:rPr>
          <w:rFonts w:ascii="Arial" w:hAnsi="Arial" w:eastAsia="Times New Roman" w:cs="Arial"/>
          <w:sz w:val="20"/>
          <w:szCs w:val="20"/>
        </w:rPr>
      </w:pPr>
      <w:r w:rsidRPr="001337D6">
        <w:rPr>
          <w:rStyle w:val="normaltextrun"/>
          <w:rFonts w:ascii="Arial" w:hAnsi="Arial" w:cs="Arial"/>
          <w:sz w:val="20"/>
          <w:szCs w:val="20"/>
          <w:u w:val="single"/>
        </w:rPr>
        <w:t>Annual Renewable Energy Forecast</w:t>
      </w:r>
      <w:r w:rsidRPr="001337D6">
        <w:rPr>
          <w:rStyle w:val="normaltextrun"/>
          <w:rFonts w:ascii="Arial" w:hAnsi="Arial" w:cs="Arial"/>
          <w:sz w:val="20"/>
          <w:szCs w:val="20"/>
        </w:rPr>
        <w:t xml:space="preserve"> = as defined in the Definitions  </w:t>
      </w:r>
    </w:p>
    <w:p w:rsidRPr="001337D6" w:rsidR="00895DBC" w:rsidP="00D94D93" w:rsidRDefault="00895DBC" w14:paraId="304A7889" w14:textId="299B4D90">
      <w:pPr>
        <w:pStyle w:val="zGBody1"/>
        <w:numPr>
          <w:ilvl w:val="0"/>
          <w:numId w:val="58"/>
        </w:numPr>
        <w:spacing w:before="120" w:after="120"/>
      </w:pPr>
      <w:r w:rsidRPr="001337D6">
        <w:t xml:space="preserve">AGC Performance </w:t>
      </w:r>
      <w:r w:rsidR="00C152CD">
        <w:t xml:space="preserve">METRICS AND </w:t>
      </w:r>
      <w:r w:rsidRPr="001337D6">
        <w:t xml:space="preserve">Requirements </w:t>
      </w:r>
    </w:p>
    <w:p w:rsidRPr="001337D6" w:rsidR="00E3591A" w:rsidP="00D94D93" w:rsidRDefault="00E3591A" w14:paraId="4777687D" w14:textId="77777777">
      <w:pPr>
        <w:pStyle w:val="zGBody2"/>
        <w:numPr>
          <w:ilvl w:val="1"/>
          <w:numId w:val="58"/>
        </w:numPr>
        <w:rPr>
          <w:rStyle w:val="normaltextrun"/>
          <w:b w:val="0"/>
          <w:vanish/>
          <w:specVanish/>
        </w:rPr>
      </w:pPr>
      <w:r w:rsidRPr="001337D6">
        <w:rPr>
          <w:rStyle w:val="normaltextrun"/>
          <w:b w:val="0"/>
        </w:rPr>
        <w:t>Monthly AGC Status and Setpoint Requirements.</w:t>
      </w:r>
    </w:p>
    <w:p w:rsidRPr="0048165E" w:rsidR="00E3591A" w:rsidP="00E3591A" w:rsidRDefault="00E3591A" w14:paraId="04B17558" w14:textId="6640FD32">
      <w:pPr>
        <w:pStyle w:val="paragraph"/>
        <w:widowControl w:val="0"/>
        <w:spacing w:before="0" w:beforeAutospacing="0" w:after="0" w:afterAutospacing="0"/>
        <w:jc w:val="both"/>
        <w:textAlignment w:val="baseline"/>
        <w:rPr>
          <w:rStyle w:val="normaltextrun"/>
          <w:rFonts w:ascii="Arial" w:hAnsi="Arial" w:cs="Arial"/>
          <w:sz w:val="20"/>
          <w:szCs w:val="20"/>
        </w:rPr>
      </w:pPr>
      <w:r w:rsidRPr="001337D6">
        <w:rPr>
          <w:rStyle w:val="normaltextrun"/>
          <w:rFonts w:ascii="Arial" w:hAnsi="Arial" w:cs="Arial" w:eastAsiaTheme="majorEastAsia"/>
          <w:sz w:val="20"/>
          <w:szCs w:val="20"/>
        </w:rPr>
        <w:t xml:space="preserve"> Seller is responsible for achieving the AGC Status Performance Requirement and the AGC Setpoint Response Performance Requirement for each Month</w:t>
      </w:r>
      <w:r w:rsidR="007A75F6">
        <w:rPr>
          <w:rStyle w:val="normaltextrun"/>
          <w:rFonts w:ascii="Arial" w:hAnsi="Arial" w:cs="Arial" w:eastAsiaTheme="majorEastAsia"/>
          <w:sz w:val="20"/>
          <w:szCs w:val="20"/>
        </w:rPr>
        <w:t xml:space="preserve">, </w:t>
      </w:r>
      <w:r w:rsidRPr="007A75F6" w:rsidR="0048165E">
        <w:rPr>
          <w:rFonts w:ascii="Arial" w:hAnsi="Arial" w:cs="Arial"/>
          <w:sz w:val="20"/>
          <w:szCs w:val="20"/>
        </w:rPr>
        <w:t>except</w:t>
      </w:r>
      <w:r w:rsidR="0048165E">
        <w:rPr>
          <w:rFonts w:ascii="Arial" w:hAnsi="Arial" w:cs="Arial"/>
          <w:sz w:val="20"/>
          <w:szCs w:val="20"/>
        </w:rPr>
        <w:t xml:space="preserve">: (i) any Month during which </w:t>
      </w:r>
      <w:r w:rsidR="00652497">
        <w:rPr>
          <w:rFonts w:ascii="Arial" w:hAnsi="Arial" w:cs="Arial"/>
          <w:sz w:val="20"/>
          <w:szCs w:val="20"/>
        </w:rPr>
        <w:t xml:space="preserve">(a) </w:t>
      </w:r>
      <w:r w:rsidR="0048165E">
        <w:rPr>
          <w:rFonts w:ascii="Arial" w:hAnsi="Arial" w:cs="Arial"/>
          <w:sz w:val="20"/>
          <w:szCs w:val="20"/>
        </w:rPr>
        <w:t>GPC did not issue a statistically significant number of AGC signals (i.e., sufficient AGC signals for GPC to fairly and reliably evaluate BESS performance)</w:t>
      </w:r>
      <w:r w:rsidR="005A11C5">
        <w:rPr>
          <w:rFonts w:ascii="Arial" w:hAnsi="Arial" w:cs="Arial"/>
          <w:sz w:val="20"/>
          <w:szCs w:val="20"/>
        </w:rPr>
        <w:t>,</w:t>
      </w:r>
      <w:r w:rsidR="001867A3">
        <w:rPr>
          <w:rFonts w:ascii="Arial" w:hAnsi="Arial" w:cs="Arial"/>
          <w:sz w:val="20"/>
          <w:szCs w:val="20"/>
        </w:rPr>
        <w:t xml:space="preserve"> </w:t>
      </w:r>
      <w:r w:rsidR="00A73913">
        <w:rPr>
          <w:rFonts w:ascii="Arial" w:hAnsi="Arial" w:cs="Arial"/>
          <w:sz w:val="20"/>
          <w:szCs w:val="20"/>
        </w:rPr>
        <w:t xml:space="preserve">as determined in accordance with </w:t>
      </w:r>
      <w:r w:rsidR="001867A3">
        <w:rPr>
          <w:rFonts w:ascii="Arial" w:hAnsi="Arial" w:cs="Arial"/>
          <w:sz w:val="20"/>
          <w:szCs w:val="20"/>
        </w:rPr>
        <w:t>the Operating Procedures,</w:t>
      </w:r>
      <w:r w:rsidR="00D42BAA">
        <w:rPr>
          <w:rFonts w:ascii="Arial" w:hAnsi="Arial" w:cs="Arial"/>
          <w:sz w:val="20"/>
          <w:szCs w:val="20"/>
        </w:rPr>
        <w:t xml:space="preserve"> </w:t>
      </w:r>
      <w:r w:rsidR="0002798A">
        <w:rPr>
          <w:rFonts w:ascii="Arial" w:hAnsi="Arial" w:cs="Arial"/>
          <w:sz w:val="20"/>
          <w:szCs w:val="20"/>
        </w:rPr>
        <w:t>but</w:t>
      </w:r>
      <w:r w:rsidR="00D42BAA">
        <w:rPr>
          <w:rFonts w:ascii="Arial" w:hAnsi="Arial" w:cs="Arial"/>
          <w:sz w:val="20"/>
          <w:szCs w:val="20"/>
        </w:rPr>
        <w:t xml:space="preserve"> (b) only</w:t>
      </w:r>
      <w:r w:rsidR="0048165E">
        <w:rPr>
          <w:rFonts w:ascii="Arial" w:hAnsi="Arial" w:cs="Arial"/>
          <w:sz w:val="20"/>
          <w:szCs w:val="20"/>
        </w:rPr>
        <w:t xml:space="preserve"> to the extent the lack of AGC signals prevents GPC from performing a meaningful assessment of BESS performance, as determined in GPC’s sole, but reasonable, discretion; and (ii)</w:t>
      </w:r>
      <w:r w:rsidRPr="007A75F6" w:rsidR="0048165E">
        <w:rPr>
          <w:rFonts w:ascii="Arial" w:hAnsi="Arial" w:cs="Arial"/>
          <w:sz w:val="20"/>
          <w:szCs w:val="20"/>
        </w:rPr>
        <w:t xml:space="preserve"> </w:t>
      </w:r>
      <w:r w:rsidR="0048165E">
        <w:rPr>
          <w:rFonts w:ascii="Arial" w:hAnsi="Arial" w:cs="Arial"/>
          <w:sz w:val="20"/>
          <w:szCs w:val="20"/>
        </w:rPr>
        <w:t>to the extent Seller’s</w:t>
      </w:r>
      <w:r w:rsidRPr="007A75F6" w:rsidR="0048165E">
        <w:rPr>
          <w:rFonts w:ascii="Arial" w:hAnsi="Arial" w:cs="Arial"/>
          <w:sz w:val="20"/>
          <w:szCs w:val="20"/>
        </w:rPr>
        <w:t xml:space="preserve"> failure to achieve the AGC Status Performance Requirement or AGC Setpoint Response Performance Requirement </w:t>
      </w:r>
      <w:r w:rsidR="0048165E">
        <w:rPr>
          <w:rFonts w:ascii="Arial" w:hAnsi="Arial" w:cs="Arial"/>
          <w:sz w:val="20"/>
          <w:szCs w:val="20"/>
        </w:rPr>
        <w:t>during the applicable</w:t>
      </w:r>
      <w:r w:rsidRPr="007A75F6" w:rsidR="0048165E">
        <w:rPr>
          <w:rFonts w:ascii="Arial" w:hAnsi="Arial" w:cs="Arial"/>
          <w:sz w:val="20"/>
          <w:szCs w:val="20"/>
        </w:rPr>
        <w:t xml:space="preserve"> Month is caused by defective or faulty equipment on GPC’s side of the RTU or telecommunications or telemetry failures caused by equipment not provided or controlled by Seller</w:t>
      </w:r>
      <w:r w:rsidRPr="001337D6" w:rsidR="0048165E">
        <w:rPr>
          <w:rStyle w:val="normaltextrun"/>
          <w:rFonts w:ascii="Arial" w:hAnsi="Arial" w:cs="Arial" w:eastAsiaTheme="majorEastAsia"/>
          <w:sz w:val="20"/>
          <w:szCs w:val="20"/>
        </w:rPr>
        <w:t>.</w:t>
      </w:r>
    </w:p>
    <w:p w:rsidRPr="001337D6" w:rsidR="00E3591A" w:rsidP="00D94D93" w:rsidRDefault="00E3591A" w14:paraId="7C3A05A1" w14:textId="77777777">
      <w:pPr>
        <w:pStyle w:val="zGBody2"/>
        <w:numPr>
          <w:ilvl w:val="1"/>
          <w:numId w:val="58"/>
        </w:numPr>
        <w:rPr>
          <w:rStyle w:val="normaltextrun"/>
          <w:b w:val="0"/>
          <w:vanish/>
          <w:specVanish/>
        </w:rPr>
      </w:pPr>
      <w:bookmarkStart w:name="_Toc158593333" w:id="1088"/>
      <w:bookmarkStart w:name="_Toc158597611" w:id="1089"/>
      <w:r w:rsidRPr="001337D6">
        <w:rPr>
          <w:rStyle w:val="normaltextrun"/>
          <w:b w:val="0"/>
        </w:rPr>
        <w:t>Calculating AGC Status and Setpoint Requirements.</w:t>
      </w:r>
      <w:bookmarkEnd w:id="1088"/>
      <w:bookmarkEnd w:id="1089"/>
    </w:p>
    <w:p w:rsidRPr="001337D6" w:rsidR="00366C02" w:rsidP="00E3591A" w:rsidRDefault="00E3591A" w14:paraId="34EF1A1C" w14:textId="14C9F761">
      <w:pPr>
        <w:pStyle w:val="paragraph"/>
        <w:widowControl w:val="0"/>
        <w:spacing w:before="0" w:beforeAutospacing="0" w:after="0" w:afterAutospacing="0"/>
        <w:jc w:val="both"/>
        <w:textAlignment w:val="baseline"/>
        <w:rPr>
          <w:rStyle w:val="normaltextrun"/>
          <w:rFonts w:ascii="Arial" w:hAnsi="Arial" w:cs="Arial" w:eastAsiaTheme="majorEastAsia"/>
          <w:sz w:val="20"/>
          <w:szCs w:val="20"/>
        </w:rPr>
      </w:pPr>
      <w:r w:rsidRPr="001337D6">
        <w:rPr>
          <w:rStyle w:val="normaltextrun"/>
          <w:rFonts w:ascii="Arial" w:hAnsi="Arial" w:cs="Arial" w:eastAsiaTheme="majorEastAsia"/>
          <w:sz w:val="20"/>
          <w:szCs w:val="20"/>
        </w:rPr>
        <w:t xml:space="preserve"> At the end of each Month, GPC will determine</w:t>
      </w:r>
      <w:r w:rsidRPr="001337D6" w:rsidR="00075DED">
        <w:rPr>
          <w:rStyle w:val="normaltextrun"/>
          <w:rFonts w:ascii="Arial" w:hAnsi="Arial" w:cs="Arial" w:eastAsiaTheme="majorEastAsia"/>
          <w:sz w:val="20"/>
          <w:szCs w:val="20"/>
        </w:rPr>
        <w:t>: (i)</w:t>
      </w:r>
      <w:r w:rsidRPr="001337D6">
        <w:rPr>
          <w:rStyle w:val="normaltextrun"/>
          <w:rFonts w:ascii="Arial" w:hAnsi="Arial" w:cs="Arial" w:eastAsiaTheme="majorEastAsia"/>
          <w:sz w:val="20"/>
          <w:szCs w:val="20"/>
        </w:rPr>
        <w:t xml:space="preserve"> the AGC Status Performance Requirement by calculating the AGC Status Performance Metric</w:t>
      </w:r>
      <w:r w:rsidRPr="001337D6" w:rsidR="00075DED">
        <w:rPr>
          <w:rStyle w:val="normaltextrun"/>
          <w:rFonts w:ascii="Arial" w:hAnsi="Arial" w:cs="Arial" w:eastAsiaTheme="majorEastAsia"/>
          <w:sz w:val="20"/>
          <w:szCs w:val="20"/>
        </w:rPr>
        <w:t>;</w:t>
      </w:r>
      <w:r w:rsidRPr="001337D6">
        <w:rPr>
          <w:rStyle w:val="normaltextrun"/>
          <w:rFonts w:ascii="Arial" w:hAnsi="Arial" w:cs="Arial" w:eastAsiaTheme="majorEastAsia"/>
          <w:sz w:val="20"/>
          <w:szCs w:val="20"/>
        </w:rPr>
        <w:t xml:space="preserve"> and </w:t>
      </w:r>
      <w:r w:rsidRPr="001337D6" w:rsidR="00A8183E">
        <w:rPr>
          <w:rStyle w:val="normaltextrun"/>
          <w:rFonts w:ascii="Arial" w:hAnsi="Arial" w:cs="Arial" w:eastAsiaTheme="majorEastAsia"/>
          <w:sz w:val="20"/>
          <w:szCs w:val="20"/>
        </w:rPr>
        <w:t>(ii)</w:t>
      </w:r>
      <w:r w:rsidRPr="001337D6">
        <w:rPr>
          <w:rStyle w:val="normaltextrun"/>
          <w:rFonts w:ascii="Arial" w:hAnsi="Arial" w:cs="Arial" w:eastAsiaTheme="majorEastAsia"/>
          <w:sz w:val="20"/>
          <w:szCs w:val="20"/>
        </w:rPr>
        <w:t xml:space="preserve"> the AGC Setpoint Response Performance Requirement by calculating the AGC Setpoint Response Performance Metric. </w:t>
      </w:r>
      <w:r w:rsidRPr="001337D6">
        <w:rPr>
          <w:rStyle w:val="eop"/>
          <w:rFonts w:ascii="Arial" w:hAnsi="Arial" w:cs="Arial" w:eastAsiaTheme="majorEastAsia"/>
          <w:sz w:val="20"/>
          <w:szCs w:val="20"/>
        </w:rPr>
        <w:t xml:space="preserve">Each </w:t>
      </w:r>
      <w:r w:rsidRPr="001337D6" w:rsidR="00A8183E">
        <w:rPr>
          <w:rStyle w:val="eop"/>
          <w:rFonts w:ascii="Arial" w:hAnsi="Arial" w:cs="Arial" w:eastAsiaTheme="majorEastAsia"/>
          <w:sz w:val="20"/>
          <w:szCs w:val="20"/>
        </w:rPr>
        <w:t xml:space="preserve">AGC </w:t>
      </w:r>
      <w:r w:rsidRPr="001337D6" w:rsidR="00AF08C2">
        <w:rPr>
          <w:rStyle w:val="eop"/>
          <w:rFonts w:ascii="Arial" w:hAnsi="Arial" w:cs="Arial" w:eastAsiaTheme="majorEastAsia"/>
          <w:sz w:val="20"/>
          <w:szCs w:val="20"/>
        </w:rPr>
        <w:t xml:space="preserve">Performance </w:t>
      </w:r>
      <w:r w:rsidRPr="001337D6" w:rsidR="00A8183E">
        <w:rPr>
          <w:rStyle w:val="eop"/>
          <w:rFonts w:ascii="Arial" w:hAnsi="Arial" w:cs="Arial" w:eastAsiaTheme="majorEastAsia"/>
          <w:sz w:val="20"/>
          <w:szCs w:val="20"/>
        </w:rPr>
        <w:t>Requirement</w:t>
      </w:r>
      <w:r w:rsidRPr="001337D6">
        <w:rPr>
          <w:rStyle w:val="eop"/>
          <w:rFonts w:ascii="Arial" w:hAnsi="Arial" w:cs="Arial" w:eastAsiaTheme="majorEastAsia"/>
          <w:sz w:val="20"/>
          <w:szCs w:val="20"/>
        </w:rPr>
        <w:t xml:space="preserve"> applies independently to the </w:t>
      </w:r>
      <w:r w:rsidR="00F90220">
        <w:rPr>
          <w:rStyle w:val="eop"/>
          <w:rFonts w:ascii="Arial" w:hAnsi="Arial" w:cs="Arial" w:eastAsiaTheme="majorEastAsia"/>
          <w:sz w:val="20"/>
          <w:szCs w:val="20"/>
        </w:rPr>
        <w:t>B</w:t>
      </w:r>
      <w:r w:rsidRPr="001337D6">
        <w:rPr>
          <w:rStyle w:val="eop"/>
          <w:rFonts w:ascii="Arial" w:hAnsi="Arial" w:cs="Arial" w:eastAsiaTheme="majorEastAsia"/>
          <w:sz w:val="20"/>
          <w:szCs w:val="20"/>
        </w:rPr>
        <w:t xml:space="preserve">ESS and the Renewable Resource. The Renewable Resource will be evaluated separately from the </w:t>
      </w:r>
      <w:r w:rsidR="00F90220">
        <w:rPr>
          <w:rStyle w:val="eop"/>
          <w:rFonts w:ascii="Arial" w:hAnsi="Arial" w:cs="Arial" w:eastAsiaTheme="majorEastAsia"/>
          <w:sz w:val="20"/>
          <w:szCs w:val="20"/>
        </w:rPr>
        <w:t>B</w:t>
      </w:r>
      <w:r w:rsidRPr="001337D6">
        <w:rPr>
          <w:rStyle w:val="eop"/>
          <w:rFonts w:ascii="Arial" w:hAnsi="Arial" w:cs="Arial" w:eastAsiaTheme="majorEastAsia"/>
          <w:sz w:val="20"/>
          <w:szCs w:val="20"/>
        </w:rPr>
        <w:t>ESS</w:t>
      </w:r>
      <w:r w:rsidRPr="001337D6" w:rsidR="00934291">
        <w:rPr>
          <w:rStyle w:val="eop"/>
          <w:rFonts w:ascii="Arial" w:hAnsi="Arial" w:cs="Arial" w:eastAsiaTheme="majorEastAsia"/>
          <w:sz w:val="20"/>
          <w:szCs w:val="20"/>
        </w:rPr>
        <w:t>.</w:t>
      </w:r>
      <w:r w:rsidRPr="001337D6">
        <w:rPr>
          <w:rStyle w:val="eop"/>
          <w:rFonts w:ascii="Arial" w:hAnsi="Arial" w:cs="Arial" w:eastAsiaTheme="majorEastAsia"/>
          <w:sz w:val="20"/>
          <w:szCs w:val="20"/>
        </w:rPr>
        <w:t xml:space="preserve"> </w:t>
      </w:r>
    </w:p>
    <w:p w:rsidRPr="001337D6" w:rsidR="00953EB6" w:rsidP="00D94D93" w:rsidRDefault="00E3591A" w14:paraId="701B2342" w14:textId="77777777">
      <w:pPr>
        <w:pStyle w:val="zGBody2"/>
        <w:numPr>
          <w:ilvl w:val="2"/>
          <w:numId w:val="58"/>
        </w:numPr>
        <w:rPr>
          <w:rStyle w:val="normaltextrun"/>
          <w:b w:val="0"/>
          <w:vanish/>
          <w:specVanish/>
        </w:rPr>
      </w:pPr>
      <w:r w:rsidRPr="001337D6">
        <w:rPr>
          <w:rStyle w:val="normaltextrun"/>
          <w:b w:val="0"/>
        </w:rPr>
        <w:t>AGC Status Performance Requirement.</w:t>
      </w:r>
    </w:p>
    <w:p w:rsidRPr="001337D6" w:rsidR="00E3591A" w:rsidP="00DB3294" w:rsidRDefault="00E3591A" w14:paraId="1155CB13" w14:textId="5C249E2D">
      <w:pPr>
        <w:pStyle w:val="zGBody3"/>
      </w:pPr>
      <w:r w:rsidRPr="001337D6">
        <w:rPr>
          <w:rStyle w:val="normaltextrun"/>
          <w:b/>
        </w:rPr>
        <w:t xml:space="preserve"> </w:t>
      </w:r>
      <w:r w:rsidRPr="001337D6">
        <w:rPr>
          <w:rStyle w:val="normaltextrun"/>
        </w:rPr>
        <w:t xml:space="preserve">The </w:t>
      </w:r>
      <w:r w:rsidR="00F90220">
        <w:rPr>
          <w:rStyle w:val="normaltextrun"/>
        </w:rPr>
        <w:t>B</w:t>
      </w:r>
      <w:r w:rsidRPr="001337D6">
        <w:rPr>
          <w:rStyle w:val="normaltextrun"/>
        </w:rPr>
        <w:t xml:space="preserve">ESS AGC Status Performance Requirement and Renewable Resource AGC Status Performance Requirement for each Month is that the AGC Status Performance Metric for the Month must equal 0.90 or greater. </w:t>
      </w:r>
      <w:r w:rsidRPr="001337D6" w:rsidR="00741B17">
        <w:rPr>
          <w:rStyle w:val="normaltextrun"/>
        </w:rPr>
        <w:t>GPC will calculate t</w:t>
      </w:r>
      <w:r w:rsidRPr="001337D6">
        <w:rPr>
          <w:rStyle w:val="normaltextrun"/>
        </w:rPr>
        <w:t>he AGC Status Performance Metric for each Month as follows:</w:t>
      </w:r>
      <w:r w:rsidRPr="001337D6">
        <w:rPr>
          <w:rStyle w:val="eop"/>
        </w:rPr>
        <w:t> </w:t>
      </w:r>
    </w:p>
    <w:p w:rsidRPr="001337D6" w:rsidR="00E3591A" w:rsidP="00641605" w:rsidRDefault="00E3591A" w14:paraId="235C41DD" w14:textId="77777777">
      <w:pPr>
        <w:widowControl w:val="0"/>
        <w:rPr>
          <w:rFonts w:ascii="Arial" w:hAnsi="Arial" w:cs="Arial" w:eastAsiaTheme="minorEastAsia"/>
          <w:sz w:val="20"/>
          <w:szCs w:val="20"/>
        </w:rPr>
      </w:pPr>
      <m:oMathPara>
        <m:oMath>
          <m:r>
            <m:rPr>
              <m:sty m:val="b"/>
            </m:rPr>
            <w:rPr>
              <w:rFonts w:ascii="Cambria Math" w:hAnsi="Cambria Math" w:cs="Arial"/>
              <w:sz w:val="20"/>
              <w:szCs w:val="20"/>
            </w:rPr>
            <m:t>AGC Status Performance Metric</m:t>
          </m:r>
          <m:r>
            <m:rPr>
              <m:sty m:val="p"/>
            </m:rPr>
            <w:rPr>
              <w:rFonts w:ascii="Cambria Math" w:hAnsi="Cambria Math" w:cs="Arial"/>
              <w:sz w:val="20"/>
              <w:szCs w:val="20"/>
            </w:rPr>
            <m:t>=</m:t>
          </m:r>
          <m:d>
            <m:dPr>
              <m:begChr m:val="["/>
              <m:endChr m:val="]"/>
              <m:ctrlPr>
                <w:rPr>
                  <w:rFonts w:ascii="Cambria Math" w:hAnsi="Cambria Math" w:cs="Arial"/>
                  <w:sz w:val="20"/>
                  <w:szCs w:val="20"/>
                </w:rPr>
              </m:ctrlPr>
            </m:dPr>
            <m:e>
              <m:nary>
                <m:naryPr>
                  <m:chr m:val="∑"/>
                  <m:limLoc m:val="subSup"/>
                  <m:ctrlPr>
                    <w:rPr>
                      <w:rFonts w:ascii="Cambria Math" w:hAnsi="Cambria Math" w:cs="Arial"/>
                      <w:iCs/>
                      <w:sz w:val="20"/>
                      <w:szCs w:val="20"/>
                    </w:rPr>
                  </m:ctrlPr>
                </m:naryPr>
                <m:sub>
                  <m:r>
                    <m:rPr>
                      <m:sty m:val="p"/>
                    </m:rPr>
                    <w:rPr>
                      <w:rFonts w:ascii="Cambria Math" w:hAnsi="Cambria Math" w:cs="Arial"/>
                      <w:sz w:val="20"/>
                      <w:szCs w:val="20"/>
                    </w:rPr>
                    <m:t>i=1</m:t>
                  </m:r>
                </m:sub>
                <m:sup>
                  <m:r>
                    <m:rPr>
                      <m:sty m:val="p"/>
                    </m:rPr>
                    <w:rPr>
                      <w:rFonts w:ascii="Cambria Math" w:hAnsi="Cambria Math" w:cs="Arial"/>
                      <w:sz w:val="20"/>
                      <w:szCs w:val="20"/>
                    </w:rPr>
                    <m:t>n</m:t>
                  </m:r>
                </m:sup>
                <m:e>
                  <m:d>
                    <m:dPr>
                      <m:ctrlPr>
                        <w:rPr>
                          <w:rFonts w:ascii="Cambria Math" w:hAnsi="Cambria Math" w:cs="Arial"/>
                          <w:iCs/>
                          <w:sz w:val="20"/>
                          <w:szCs w:val="20"/>
                        </w:rPr>
                      </m:ctrlPr>
                    </m:dPr>
                    <m:e>
                      <m:f>
                        <m:fPr>
                          <m:ctrlPr>
                            <w:rPr>
                              <w:rFonts w:ascii="Cambria Math" w:hAnsi="Cambria Math" w:cs="Arial"/>
                              <w:iCs/>
                              <w:sz w:val="20"/>
                              <w:szCs w:val="20"/>
                            </w:rPr>
                          </m:ctrlPr>
                        </m:fPr>
                        <m:num>
                          <m:sSub>
                            <m:sSubPr>
                              <m:ctrlPr>
                                <w:rPr>
                                  <w:rFonts w:ascii="Cambria Math" w:hAnsi="Cambria Math" w:cs="Arial"/>
                                  <w:iCs/>
                                  <w:sz w:val="20"/>
                                  <w:szCs w:val="20"/>
                                  <w:vertAlign w:val="subscript"/>
                                </w:rPr>
                              </m:ctrlPr>
                            </m:sSubPr>
                            <m:e>
                              <m:r>
                                <m:rPr>
                                  <m:sty m:val="p"/>
                                </m:rPr>
                                <w:rPr>
                                  <w:rFonts w:ascii="Cambria Math" w:hAnsi="Cambria Math" w:cs="Arial"/>
                                  <w:sz w:val="20"/>
                                  <w:szCs w:val="20"/>
                                </w:rPr>
                                <m:t>AGC Status</m:t>
                              </m:r>
                            </m:e>
                            <m:sub>
                              <m:r>
                                <m:rPr>
                                  <m:sty m:val="p"/>
                                </m:rPr>
                                <w:rPr>
                                  <w:rFonts w:ascii="Cambria Math" w:hAnsi="Cambria Math" w:cs="Arial"/>
                                  <w:sz w:val="20"/>
                                  <w:szCs w:val="20"/>
                                  <w:vertAlign w:val="subscript"/>
                                </w:rPr>
                                <m:t>i</m:t>
                              </m:r>
                            </m:sub>
                          </m:sSub>
                        </m:num>
                        <m:den>
                          <m:r>
                            <w:rPr>
                              <w:rFonts w:ascii="Cambria Math" w:hAnsi="Cambria Math" w:cs="Arial"/>
                              <w:sz w:val="20"/>
                              <w:szCs w:val="20"/>
                              <w:vertAlign w:val="subscript"/>
                            </w:rPr>
                            <m:t>n</m:t>
                          </m:r>
                          <m:r>
                            <m:rPr>
                              <m:sty m:val="p"/>
                            </m:rPr>
                            <w:rPr>
                              <w:rFonts w:ascii="Cambria Math" w:hAnsi="Cambria Math" w:cs="Arial"/>
                              <w:sz w:val="20"/>
                              <w:szCs w:val="20"/>
                            </w:rPr>
                            <m:t xml:space="preserve"> </m:t>
                          </m:r>
                          <m:r>
                            <m:rPr>
                              <m:sty m:val="p"/>
                            </m:rPr>
                            <w:rPr>
                              <w:rFonts w:ascii="Cambria Math" w:hAnsi="Cambria Math" w:cs="Arial"/>
                              <w:sz w:val="20"/>
                              <w:szCs w:val="20"/>
                              <w:vertAlign w:val="subscript"/>
                            </w:rPr>
                            <m:t xml:space="preserve"> </m:t>
                          </m:r>
                          <m:r>
                            <m:rPr>
                              <m:sty m:val="p"/>
                            </m:rPr>
                            <w:rPr>
                              <w:rFonts w:ascii="Cambria Math" w:hAnsi="Cambria Math" w:cs="Arial"/>
                              <w:sz w:val="20"/>
                              <w:szCs w:val="20"/>
                              <w:vertAlign w:val="subscript"/>
                            </w:rPr>
                            <w:softHyphen/>
                          </m:r>
                        </m:den>
                      </m:f>
                    </m:e>
                  </m:d>
                </m:e>
              </m:nary>
              <m:ctrlPr>
                <w:rPr>
                  <w:rFonts w:ascii="Cambria Math" w:hAnsi="Cambria Math" w:cs="Arial"/>
                  <w:i/>
                  <w:sz w:val="20"/>
                  <w:szCs w:val="20"/>
                </w:rPr>
              </m:ctrlPr>
            </m:e>
          </m:d>
        </m:oMath>
      </m:oMathPara>
    </w:p>
    <w:p w:rsidRPr="001337D6" w:rsidR="00E3591A" w:rsidP="00E72FEC" w:rsidRDefault="00E3591A" w14:paraId="25578A56" w14:textId="77777777">
      <w:pPr>
        <w:pStyle w:val="paragraph"/>
        <w:widowControl w:val="0"/>
        <w:spacing w:before="0" w:beforeAutospacing="0" w:after="0" w:afterAutospacing="0"/>
        <w:ind w:left="1260"/>
        <w:textAlignment w:val="baseline"/>
        <w:rPr>
          <w:rStyle w:val="eop"/>
          <w:rFonts w:ascii="Arial" w:hAnsi="Arial" w:cs="Arial" w:eastAsiaTheme="majorEastAsia"/>
          <w:sz w:val="20"/>
          <w:szCs w:val="20"/>
        </w:rPr>
      </w:pPr>
      <w:r w:rsidRPr="001337D6">
        <w:rPr>
          <w:rStyle w:val="normaltextrun"/>
          <w:rFonts w:ascii="Arial" w:hAnsi="Arial" w:cs="Arial" w:eastAsiaTheme="majorEastAsia"/>
          <w:sz w:val="20"/>
          <w:szCs w:val="20"/>
        </w:rPr>
        <w:t>Where:</w:t>
      </w:r>
      <w:r w:rsidRPr="001337D6">
        <w:rPr>
          <w:rStyle w:val="eop"/>
          <w:rFonts w:ascii="Arial" w:hAnsi="Arial" w:cs="Arial" w:eastAsiaTheme="majorEastAsia"/>
          <w:sz w:val="20"/>
          <w:szCs w:val="20"/>
        </w:rPr>
        <w:t> </w:t>
      </w:r>
    </w:p>
    <w:p w:rsidRPr="001337D6" w:rsidR="00E3591A" w:rsidP="00E72FEC" w:rsidRDefault="00E3591A" w14:paraId="2A62D0EC" w14:textId="77777777">
      <w:pPr>
        <w:pStyle w:val="paragraph"/>
        <w:widowControl w:val="0"/>
        <w:spacing w:before="0" w:beforeAutospacing="0" w:after="0" w:afterAutospacing="0"/>
        <w:ind w:left="1260"/>
        <w:textAlignment w:val="baseline"/>
        <w:rPr>
          <w:rFonts w:ascii="Arial" w:hAnsi="Arial" w:cs="Arial"/>
          <w:sz w:val="20"/>
          <w:szCs w:val="20"/>
        </w:rPr>
      </w:pPr>
    </w:p>
    <w:p w:rsidRPr="001337D6" w:rsidR="00E3591A" w:rsidP="00E72FEC" w:rsidRDefault="00E3591A" w14:paraId="2BF5B2BF" w14:textId="3589DD2A">
      <w:pPr>
        <w:pStyle w:val="paragraph"/>
        <w:widowControl w:val="0"/>
        <w:spacing w:before="0" w:beforeAutospacing="0" w:after="0" w:afterAutospacing="0"/>
        <w:ind w:left="1260"/>
        <w:textAlignment w:val="baseline"/>
        <w:rPr>
          <w:rFonts w:ascii="Arial" w:hAnsi="Arial" w:cs="Arial"/>
          <w:sz w:val="20"/>
          <w:szCs w:val="20"/>
        </w:rPr>
      </w:pPr>
      <w:r w:rsidRPr="001337D6">
        <w:rPr>
          <w:rStyle w:val="normaltextrun"/>
          <w:rFonts w:ascii="Arial" w:hAnsi="Arial" w:cs="Arial" w:eastAsiaTheme="majorEastAsia"/>
          <w:sz w:val="20"/>
          <w:szCs w:val="20"/>
        </w:rPr>
        <w:t xml:space="preserve">n = For </w:t>
      </w:r>
      <w:r w:rsidR="00F90220">
        <w:rPr>
          <w:rStyle w:val="normaltextrun"/>
          <w:rFonts w:ascii="Arial" w:hAnsi="Arial" w:cs="Arial" w:eastAsiaTheme="majorEastAsia"/>
          <w:sz w:val="20"/>
          <w:szCs w:val="20"/>
        </w:rPr>
        <w:t>B</w:t>
      </w:r>
      <w:r w:rsidRPr="001337D6">
        <w:rPr>
          <w:rStyle w:val="normaltextrun"/>
          <w:rFonts w:ascii="Arial" w:hAnsi="Arial" w:cs="Arial" w:eastAsiaTheme="majorEastAsia"/>
          <w:sz w:val="20"/>
          <w:szCs w:val="20"/>
        </w:rPr>
        <w:t>ESS, total 6-second AGC periods in the Month;</w:t>
      </w:r>
      <w:r w:rsidRPr="001337D6">
        <w:rPr>
          <w:rStyle w:val="eop"/>
          <w:rFonts w:ascii="Arial" w:hAnsi="Arial" w:cs="Arial" w:eastAsiaTheme="majorEastAsia"/>
          <w:sz w:val="20"/>
          <w:szCs w:val="20"/>
        </w:rPr>
        <w:t xml:space="preserve"> for the Renewable Resource, total 6-second AGC periods in the Month when </w:t>
      </w:r>
      <w:r w:rsidRPr="0085545B" w:rsidR="0085545B">
        <w:rPr>
          <w:rStyle w:val="eop"/>
          <w:rFonts w:ascii="Arial" w:hAnsi="Arial" w:cs="Arial" w:eastAsiaTheme="majorEastAsia"/>
          <w:sz w:val="20"/>
          <w:szCs w:val="20"/>
        </w:rPr>
        <w:t xml:space="preserve">generation &gt;0MW or </w:t>
      </w:r>
      <w:r w:rsidR="00E50269">
        <w:rPr>
          <w:rStyle w:val="eop"/>
          <w:rFonts w:ascii="Arial" w:hAnsi="Arial" w:cs="Arial" w:eastAsiaTheme="majorEastAsia"/>
          <w:sz w:val="20"/>
          <w:szCs w:val="20"/>
        </w:rPr>
        <w:t>AGC</w:t>
      </w:r>
      <w:r w:rsidRPr="0085545B" w:rsidR="0085545B">
        <w:rPr>
          <w:rStyle w:val="eop"/>
          <w:rFonts w:ascii="Arial" w:hAnsi="Arial" w:cs="Arial" w:eastAsiaTheme="majorEastAsia"/>
          <w:sz w:val="20"/>
          <w:szCs w:val="20"/>
        </w:rPr>
        <w:t xml:space="preserve"> </w:t>
      </w:r>
      <w:r w:rsidR="00E50269">
        <w:rPr>
          <w:rStyle w:val="eop"/>
          <w:rFonts w:ascii="Arial" w:hAnsi="Arial" w:cs="Arial" w:eastAsiaTheme="majorEastAsia"/>
          <w:sz w:val="20"/>
          <w:szCs w:val="20"/>
        </w:rPr>
        <w:t>S</w:t>
      </w:r>
      <w:r w:rsidRPr="0085545B" w:rsidR="0085545B">
        <w:rPr>
          <w:rStyle w:val="eop"/>
          <w:rFonts w:ascii="Arial" w:hAnsi="Arial" w:cs="Arial" w:eastAsiaTheme="majorEastAsia"/>
          <w:sz w:val="20"/>
          <w:szCs w:val="20"/>
        </w:rPr>
        <w:t>etpoint</w:t>
      </w:r>
      <w:r w:rsidR="00E50269">
        <w:rPr>
          <w:rStyle w:val="eop"/>
          <w:rFonts w:ascii="Arial" w:hAnsi="Arial" w:cs="Arial" w:eastAsiaTheme="majorEastAsia"/>
          <w:sz w:val="20"/>
          <w:szCs w:val="20"/>
        </w:rPr>
        <w:t xml:space="preserve"> </w:t>
      </w:r>
      <w:r w:rsidRPr="0085545B" w:rsidR="0085545B">
        <w:rPr>
          <w:rStyle w:val="eop"/>
          <w:rFonts w:ascii="Arial" w:hAnsi="Arial" w:cs="Arial" w:eastAsiaTheme="majorEastAsia"/>
          <w:sz w:val="20"/>
          <w:szCs w:val="20"/>
        </w:rPr>
        <w:t>=</w:t>
      </w:r>
      <w:r w:rsidR="00E50269">
        <w:rPr>
          <w:rStyle w:val="eop"/>
          <w:rFonts w:ascii="Arial" w:hAnsi="Arial" w:cs="Arial" w:eastAsiaTheme="majorEastAsia"/>
          <w:sz w:val="20"/>
          <w:szCs w:val="20"/>
        </w:rPr>
        <w:t xml:space="preserve"> </w:t>
      </w:r>
      <w:r w:rsidRPr="0085545B" w:rsidR="0085545B">
        <w:rPr>
          <w:rStyle w:val="eop"/>
          <w:rFonts w:ascii="Arial" w:hAnsi="Arial" w:cs="Arial" w:eastAsiaTheme="majorEastAsia"/>
          <w:sz w:val="20"/>
          <w:szCs w:val="20"/>
        </w:rPr>
        <w:t xml:space="preserve">0MW (e.g., includes all solar hours when </w:t>
      </w:r>
      <w:r w:rsidRPr="001337D6">
        <w:rPr>
          <w:rStyle w:val="eop"/>
          <w:rFonts w:ascii="Arial" w:hAnsi="Arial" w:cs="Arial" w:eastAsiaTheme="majorEastAsia"/>
          <w:sz w:val="20"/>
          <w:szCs w:val="20"/>
        </w:rPr>
        <w:t>Potential High Limit &gt; 0 MW</w:t>
      </w:r>
      <w:r w:rsidR="0085545B">
        <w:rPr>
          <w:rStyle w:val="eop"/>
          <w:rFonts w:ascii="Arial" w:hAnsi="Arial" w:cs="Arial" w:eastAsiaTheme="majorEastAsia"/>
          <w:sz w:val="20"/>
          <w:szCs w:val="20"/>
        </w:rPr>
        <w:t>)</w:t>
      </w:r>
      <w:r w:rsidRPr="001337D6">
        <w:rPr>
          <w:rStyle w:val="eop"/>
          <w:rFonts w:ascii="Arial" w:hAnsi="Arial" w:cs="Arial" w:eastAsiaTheme="majorEastAsia"/>
          <w:sz w:val="20"/>
          <w:szCs w:val="20"/>
        </w:rPr>
        <w:t>.</w:t>
      </w:r>
    </w:p>
    <w:p w:rsidRPr="001337D6" w:rsidR="00E3591A" w:rsidP="00E72FEC" w:rsidRDefault="00E3591A" w14:paraId="0BD70808" w14:textId="77777777">
      <w:pPr>
        <w:pStyle w:val="paragraph"/>
        <w:widowControl w:val="0"/>
        <w:spacing w:before="0" w:beforeAutospacing="0" w:after="0" w:afterAutospacing="0"/>
        <w:ind w:left="1260" w:firstLine="720"/>
        <w:jc w:val="both"/>
        <w:textAlignment w:val="baseline"/>
        <w:rPr>
          <w:rStyle w:val="normaltextrun"/>
          <w:rFonts w:ascii="Arial" w:hAnsi="Arial" w:cs="Arial" w:eastAsiaTheme="majorEastAsia"/>
          <w:sz w:val="20"/>
          <w:szCs w:val="20"/>
        </w:rPr>
      </w:pPr>
    </w:p>
    <w:p w:rsidRPr="001337D6" w:rsidR="00E3591A" w:rsidP="00E72FEC" w:rsidRDefault="00E3591A" w14:paraId="535BC8B0" w14:textId="77777777">
      <w:pPr>
        <w:pStyle w:val="paragraph"/>
        <w:widowControl w:val="0"/>
        <w:spacing w:before="0" w:beforeAutospacing="0" w:after="0" w:afterAutospacing="0"/>
        <w:ind w:left="1260"/>
        <w:jc w:val="both"/>
        <w:textAlignment w:val="baseline"/>
        <w:rPr>
          <w:rFonts w:ascii="Arial" w:hAnsi="Arial" w:cs="Arial"/>
          <w:sz w:val="20"/>
          <w:szCs w:val="20"/>
        </w:rPr>
      </w:pPr>
      <w:r w:rsidRPr="001337D6">
        <w:rPr>
          <w:rStyle w:val="normaltextrun"/>
          <w:rFonts w:ascii="Arial" w:hAnsi="Arial" w:cs="Arial" w:eastAsiaTheme="majorEastAsia"/>
          <w:sz w:val="20"/>
          <w:szCs w:val="20"/>
        </w:rPr>
        <w:t>i = 6-second data point;</w:t>
      </w:r>
      <w:r w:rsidRPr="001337D6">
        <w:rPr>
          <w:rStyle w:val="eop"/>
          <w:rFonts w:ascii="Arial" w:hAnsi="Arial" w:cs="Arial" w:eastAsiaTheme="majorEastAsia"/>
          <w:sz w:val="20"/>
          <w:szCs w:val="20"/>
        </w:rPr>
        <w:t> and,</w:t>
      </w:r>
    </w:p>
    <w:p w:rsidRPr="001337D6" w:rsidR="00E3591A" w:rsidP="00E72FEC" w:rsidRDefault="00E3591A" w14:paraId="032EE11B" w14:textId="77777777">
      <w:pPr>
        <w:pStyle w:val="paragraph"/>
        <w:widowControl w:val="0"/>
        <w:spacing w:before="0" w:beforeAutospacing="0" w:after="0" w:afterAutospacing="0"/>
        <w:ind w:left="1260"/>
        <w:jc w:val="both"/>
        <w:textAlignment w:val="baseline"/>
        <w:rPr>
          <w:rFonts w:ascii="Arial" w:hAnsi="Arial" w:cs="Arial"/>
          <w:sz w:val="20"/>
          <w:szCs w:val="20"/>
        </w:rPr>
      </w:pPr>
      <w:r w:rsidRPr="001337D6">
        <w:rPr>
          <w:rStyle w:val="eop"/>
          <w:rFonts w:ascii="Arial" w:hAnsi="Arial" w:cs="Arial" w:eastAsiaTheme="majorEastAsia"/>
          <w:sz w:val="20"/>
          <w:szCs w:val="20"/>
        </w:rPr>
        <w:t> </w:t>
      </w:r>
    </w:p>
    <w:p w:rsidRPr="001337D6" w:rsidR="00E3591A" w:rsidP="00DB3294" w:rsidRDefault="00E3591A" w14:paraId="6853041B" w14:textId="78FF53E3">
      <w:pPr>
        <w:pStyle w:val="paragraph"/>
        <w:widowControl w:val="0"/>
        <w:spacing w:before="0" w:beforeAutospacing="0" w:after="0" w:afterAutospacing="0"/>
        <w:ind w:left="1260"/>
        <w:jc w:val="both"/>
        <w:textAlignment w:val="baseline"/>
        <w:rPr>
          <w:rFonts w:ascii="Arial" w:hAnsi="Arial" w:cs="Arial"/>
          <w:sz w:val="20"/>
          <w:szCs w:val="20"/>
        </w:rPr>
      </w:pPr>
      <w:r w:rsidRPr="001337D6">
        <w:rPr>
          <w:rStyle w:val="normaltextrun"/>
          <w:rFonts w:ascii="Arial" w:hAnsi="Arial" w:cs="Arial" w:eastAsiaTheme="majorEastAsia"/>
          <w:b/>
          <w:sz w:val="20"/>
          <w:szCs w:val="20"/>
        </w:rPr>
        <w:t>“AGC Status”</w:t>
      </w:r>
      <w:r w:rsidRPr="001337D6">
        <w:rPr>
          <w:rStyle w:val="normaltextrun"/>
          <w:rFonts w:ascii="Arial" w:hAnsi="Arial" w:cs="Arial" w:eastAsiaTheme="majorEastAsia"/>
          <w:sz w:val="20"/>
          <w:szCs w:val="20"/>
        </w:rPr>
        <w:t xml:space="preserve"> = “1” if the </w:t>
      </w:r>
      <w:r w:rsidR="00F90220">
        <w:rPr>
          <w:rStyle w:val="normaltextrun"/>
          <w:rFonts w:ascii="Arial" w:hAnsi="Arial" w:cs="Arial" w:eastAsiaTheme="majorEastAsia"/>
          <w:sz w:val="20"/>
          <w:szCs w:val="20"/>
        </w:rPr>
        <w:t>B</w:t>
      </w:r>
      <w:r w:rsidRPr="001337D6" w:rsidR="521F0D87">
        <w:rPr>
          <w:rStyle w:val="normaltextrun"/>
          <w:rFonts w:ascii="Arial" w:hAnsi="Arial" w:cs="Arial" w:eastAsiaTheme="majorEastAsia"/>
          <w:sz w:val="20"/>
          <w:szCs w:val="20"/>
        </w:rPr>
        <w:t xml:space="preserve">ESS </w:t>
      </w:r>
      <w:r w:rsidRPr="001337D6" w:rsidR="10504BD5">
        <w:rPr>
          <w:rStyle w:val="normaltextrun"/>
          <w:rFonts w:ascii="Arial" w:hAnsi="Arial" w:cs="Arial" w:eastAsiaTheme="majorEastAsia"/>
          <w:sz w:val="20"/>
          <w:szCs w:val="20"/>
        </w:rPr>
        <w:t xml:space="preserve">or </w:t>
      </w:r>
      <w:r w:rsidRPr="001337D6" w:rsidR="521F0D87">
        <w:rPr>
          <w:rStyle w:val="normaltextrun"/>
          <w:rFonts w:ascii="Arial" w:hAnsi="Arial" w:cs="Arial" w:eastAsiaTheme="majorEastAsia"/>
          <w:sz w:val="20"/>
          <w:szCs w:val="20"/>
        </w:rPr>
        <w:t xml:space="preserve">Renewable Resource </w:t>
      </w:r>
      <w:r w:rsidRPr="001337D6">
        <w:rPr>
          <w:rStyle w:val="normaltextrun"/>
          <w:rFonts w:ascii="Arial" w:hAnsi="Arial" w:cs="Arial" w:eastAsiaTheme="majorEastAsia"/>
          <w:sz w:val="20"/>
          <w:szCs w:val="20"/>
        </w:rPr>
        <w:t xml:space="preserve">is in AGC mode and capable of responding to GPC’s AGC Setpoint signal, or “0” if the </w:t>
      </w:r>
      <w:r w:rsidR="00F90220">
        <w:rPr>
          <w:rStyle w:val="normaltextrun"/>
          <w:rFonts w:ascii="Arial" w:hAnsi="Arial" w:cs="Arial" w:eastAsiaTheme="majorEastAsia"/>
          <w:sz w:val="20"/>
          <w:szCs w:val="20"/>
        </w:rPr>
        <w:t>B</w:t>
      </w:r>
      <w:r w:rsidRPr="001337D6" w:rsidR="0B8B5302">
        <w:rPr>
          <w:rStyle w:val="normaltextrun"/>
          <w:rFonts w:ascii="Arial" w:hAnsi="Arial" w:cs="Arial" w:eastAsiaTheme="majorEastAsia"/>
          <w:sz w:val="20"/>
          <w:szCs w:val="20"/>
        </w:rPr>
        <w:t xml:space="preserve">ESS </w:t>
      </w:r>
      <w:r w:rsidRPr="001337D6" w:rsidR="2A01B1F3">
        <w:rPr>
          <w:rStyle w:val="normaltextrun"/>
          <w:rFonts w:ascii="Arial" w:hAnsi="Arial" w:cs="Arial" w:eastAsiaTheme="majorEastAsia"/>
          <w:sz w:val="20"/>
          <w:szCs w:val="20"/>
        </w:rPr>
        <w:t xml:space="preserve">or </w:t>
      </w:r>
      <w:r w:rsidRPr="001337D6" w:rsidR="0B8B5302">
        <w:rPr>
          <w:rStyle w:val="normaltextrun"/>
          <w:rFonts w:ascii="Arial" w:hAnsi="Arial" w:cs="Arial" w:eastAsiaTheme="majorEastAsia"/>
          <w:sz w:val="20"/>
          <w:szCs w:val="20"/>
        </w:rPr>
        <w:t xml:space="preserve">Renewable Resource </w:t>
      </w:r>
      <w:r w:rsidRPr="001337D6">
        <w:rPr>
          <w:rStyle w:val="normaltextrun"/>
          <w:rFonts w:ascii="Arial" w:hAnsi="Arial" w:cs="Arial" w:eastAsiaTheme="majorEastAsia"/>
          <w:sz w:val="20"/>
          <w:szCs w:val="20"/>
        </w:rPr>
        <w:t>is not in AGC mode and is not capable of responding to GPC’s AGC Setpoint signal.</w:t>
      </w:r>
      <w:r w:rsidRPr="001337D6">
        <w:rPr>
          <w:rStyle w:val="eop"/>
          <w:rFonts w:ascii="Arial" w:hAnsi="Arial" w:cs="Arial" w:eastAsiaTheme="majorEastAsia"/>
          <w:sz w:val="20"/>
          <w:szCs w:val="20"/>
        </w:rPr>
        <w:t xml:space="preserve"> For a Renewable Resource, only 6-second AGC periods when </w:t>
      </w:r>
      <w:r w:rsidRPr="00951AD0" w:rsidR="0076080F">
        <w:rPr>
          <w:rFonts w:ascii="Arial" w:hAnsi="Arial" w:cs="Arial"/>
          <w:sz w:val="20"/>
          <w:szCs w:val="20"/>
        </w:rPr>
        <w:t>generation &gt;</w:t>
      </w:r>
      <w:r w:rsidRPr="00951AD0" w:rsidR="00D05FDB">
        <w:rPr>
          <w:rFonts w:ascii="Arial" w:hAnsi="Arial" w:cs="Arial"/>
          <w:sz w:val="20"/>
          <w:szCs w:val="20"/>
        </w:rPr>
        <w:t xml:space="preserve"> </w:t>
      </w:r>
      <w:r w:rsidRPr="00951AD0" w:rsidR="0076080F">
        <w:rPr>
          <w:rFonts w:ascii="Arial" w:hAnsi="Arial" w:cs="Arial"/>
          <w:sz w:val="20"/>
          <w:szCs w:val="20"/>
        </w:rPr>
        <w:t xml:space="preserve">0MW or </w:t>
      </w:r>
      <w:r w:rsidRPr="00951AD0" w:rsidR="00E50269">
        <w:rPr>
          <w:rFonts w:ascii="Arial" w:hAnsi="Arial" w:cs="Arial"/>
          <w:sz w:val="20"/>
          <w:szCs w:val="20"/>
        </w:rPr>
        <w:t>AGC</w:t>
      </w:r>
      <w:r w:rsidRPr="00951AD0" w:rsidR="0076080F">
        <w:rPr>
          <w:rFonts w:ascii="Arial" w:hAnsi="Arial" w:cs="Arial"/>
          <w:sz w:val="20"/>
          <w:szCs w:val="20"/>
        </w:rPr>
        <w:t xml:space="preserve"> </w:t>
      </w:r>
      <w:r w:rsidRPr="00951AD0" w:rsidR="00E50269">
        <w:rPr>
          <w:rFonts w:ascii="Arial" w:hAnsi="Arial" w:cs="Arial"/>
          <w:sz w:val="20"/>
          <w:szCs w:val="20"/>
        </w:rPr>
        <w:t>S</w:t>
      </w:r>
      <w:r w:rsidRPr="00951AD0" w:rsidR="0076080F">
        <w:rPr>
          <w:rFonts w:ascii="Arial" w:hAnsi="Arial" w:cs="Arial"/>
          <w:sz w:val="20"/>
          <w:szCs w:val="20"/>
        </w:rPr>
        <w:t>etpoint</w:t>
      </w:r>
      <w:r w:rsidRPr="00951AD0" w:rsidR="00E50269">
        <w:rPr>
          <w:rFonts w:ascii="Arial" w:hAnsi="Arial" w:cs="Arial"/>
          <w:sz w:val="20"/>
          <w:szCs w:val="20"/>
        </w:rPr>
        <w:t xml:space="preserve"> </w:t>
      </w:r>
      <w:r w:rsidRPr="00951AD0" w:rsidR="0076080F">
        <w:rPr>
          <w:rFonts w:ascii="Arial" w:hAnsi="Arial" w:cs="Arial"/>
          <w:sz w:val="20"/>
          <w:szCs w:val="20"/>
        </w:rPr>
        <w:t>=</w:t>
      </w:r>
      <w:r w:rsidRPr="00951AD0" w:rsidR="00E50269">
        <w:rPr>
          <w:rFonts w:ascii="Arial" w:hAnsi="Arial" w:cs="Arial"/>
          <w:sz w:val="20"/>
          <w:szCs w:val="20"/>
        </w:rPr>
        <w:t xml:space="preserve"> </w:t>
      </w:r>
      <w:r w:rsidRPr="00951AD0" w:rsidR="0076080F">
        <w:rPr>
          <w:rFonts w:ascii="Arial" w:hAnsi="Arial" w:cs="Arial"/>
          <w:sz w:val="20"/>
          <w:szCs w:val="20"/>
        </w:rPr>
        <w:t>0MW</w:t>
      </w:r>
      <w:r w:rsidRPr="00BE2075" w:rsidR="0076080F">
        <w:rPr>
          <w:rFonts w:ascii="Arial" w:hAnsi="Arial" w:cs="Arial"/>
          <w:color w:val="E84C22"/>
          <w:sz w:val="20"/>
          <w:szCs w:val="20"/>
        </w:rPr>
        <w:t xml:space="preserve"> </w:t>
      </w:r>
      <w:r w:rsidRPr="001337D6">
        <w:rPr>
          <w:rStyle w:val="eop"/>
          <w:rFonts w:ascii="Arial" w:hAnsi="Arial" w:cs="Arial" w:eastAsiaTheme="majorEastAsia"/>
          <w:sz w:val="20"/>
          <w:szCs w:val="20"/>
        </w:rPr>
        <w:t xml:space="preserve">will be included. </w:t>
      </w:r>
    </w:p>
    <w:p w:rsidRPr="001337D6" w:rsidR="00E3591A" w:rsidP="00D94D93" w:rsidRDefault="00E3591A" w14:paraId="53D161AA" w14:textId="77777777">
      <w:pPr>
        <w:pStyle w:val="zGBody2"/>
        <w:numPr>
          <w:ilvl w:val="2"/>
          <w:numId w:val="58"/>
        </w:numPr>
        <w:rPr>
          <w:vanish/>
          <w:specVanish/>
        </w:rPr>
      </w:pPr>
      <w:r w:rsidRPr="001337D6">
        <w:rPr>
          <w:rStyle w:val="normaltextrun"/>
          <w:b w:val="0"/>
        </w:rPr>
        <w:lastRenderedPageBreak/>
        <w:t>AGC Setpoint Response Performance Requirement.</w:t>
      </w:r>
    </w:p>
    <w:p w:rsidR="00BE7DB7" w:rsidP="00BE7DB7" w:rsidRDefault="00E3591A" w14:paraId="53090AFD" w14:textId="764217A9">
      <w:pPr>
        <w:pStyle w:val="paragraph"/>
        <w:widowControl w:val="0"/>
        <w:spacing w:before="0" w:beforeAutospacing="0" w:after="0" w:afterAutospacing="0"/>
        <w:ind w:left="1152"/>
        <w:jc w:val="both"/>
        <w:textAlignment w:val="baseline"/>
        <w:rPr>
          <w:rFonts w:ascii="Arial" w:hAnsi="Arial" w:eastAsia="MS Gothic" w:cs="Arial"/>
          <w:sz w:val="20"/>
          <w:szCs w:val="20"/>
        </w:rPr>
      </w:pPr>
      <w:r w:rsidRPr="001337D6">
        <w:rPr>
          <w:rStyle w:val="normaltextrun"/>
          <w:rFonts w:ascii="Arial" w:hAnsi="Arial" w:cs="Arial" w:eastAsiaTheme="majorEastAsia"/>
          <w:sz w:val="20"/>
          <w:szCs w:val="20"/>
        </w:rPr>
        <w:t xml:space="preserve"> The “</w:t>
      </w:r>
      <w:r w:rsidRPr="001337D6">
        <w:rPr>
          <w:rStyle w:val="normaltextrun"/>
          <w:rFonts w:ascii="Arial" w:hAnsi="Arial" w:cs="Arial" w:eastAsiaTheme="majorEastAsia"/>
          <w:b/>
          <w:sz w:val="20"/>
          <w:szCs w:val="20"/>
        </w:rPr>
        <w:t>AGC Setpoint Response Performance Requirement</w:t>
      </w:r>
      <w:r w:rsidRPr="001337D6">
        <w:rPr>
          <w:rStyle w:val="normaltextrun"/>
          <w:rFonts w:ascii="Arial" w:hAnsi="Arial" w:cs="Arial" w:eastAsiaTheme="majorEastAsia"/>
          <w:sz w:val="20"/>
          <w:szCs w:val="20"/>
        </w:rPr>
        <w:t>” for each Month is that</w:t>
      </w:r>
      <w:r w:rsidR="00221F48">
        <w:rPr>
          <w:rStyle w:val="normaltextrun"/>
          <w:rFonts w:ascii="Arial" w:hAnsi="Arial" w:cs="Arial" w:eastAsiaTheme="majorEastAsia"/>
          <w:sz w:val="20"/>
          <w:szCs w:val="20"/>
        </w:rPr>
        <w:t xml:space="preserve"> the</w:t>
      </w:r>
      <w:r w:rsidRPr="001337D6">
        <w:rPr>
          <w:rStyle w:val="normaltextrun"/>
          <w:rFonts w:ascii="Arial" w:hAnsi="Arial" w:cs="Arial" w:eastAsiaTheme="majorEastAsia"/>
          <w:sz w:val="20"/>
          <w:szCs w:val="20"/>
        </w:rPr>
        <w:t xml:space="preserve"> </w:t>
      </w:r>
      <w:r w:rsidRPr="00DC3264" w:rsidR="00B60070">
        <w:rPr>
          <w:rStyle w:val="normaltextrun"/>
          <w:rFonts w:ascii="Arial" w:hAnsi="Arial" w:cs="Arial" w:eastAsiaTheme="majorEastAsia"/>
          <w:sz w:val="20"/>
          <w:szCs w:val="20"/>
        </w:rPr>
        <w:t>“</w:t>
      </w:r>
      <w:r w:rsidRPr="00B9436A" w:rsidR="00B60070">
        <w:rPr>
          <w:rStyle w:val="normaltextrun"/>
          <w:rFonts w:ascii="Arial" w:hAnsi="Arial" w:cs="Arial" w:eastAsiaTheme="majorEastAsia"/>
          <w:b/>
          <w:sz w:val="20"/>
          <w:szCs w:val="20"/>
        </w:rPr>
        <w:t>AGC Setpoint Response Performance Metric</w:t>
      </w:r>
      <w:r w:rsidRPr="00DC3264" w:rsidR="00B60070">
        <w:rPr>
          <w:rStyle w:val="normaltextrun"/>
          <w:rFonts w:ascii="Arial" w:hAnsi="Arial" w:cs="Arial" w:eastAsiaTheme="majorEastAsia"/>
          <w:sz w:val="20"/>
          <w:szCs w:val="20"/>
        </w:rPr>
        <w:t xml:space="preserve">” (i.e., </w:t>
      </w:r>
      <w:r w:rsidRPr="00DC3264" w:rsidR="00A16C03">
        <w:rPr>
          <w:rStyle w:val="normaltextrun"/>
          <w:rFonts w:ascii="Arial" w:hAnsi="Arial" w:cs="Arial" w:eastAsiaTheme="majorEastAsia"/>
          <w:sz w:val="20"/>
          <w:szCs w:val="20"/>
        </w:rPr>
        <w:t xml:space="preserve">each of the </w:t>
      </w:r>
      <w:r w:rsidRPr="00DC3264" w:rsidR="00F90220">
        <w:rPr>
          <w:rStyle w:val="normaltextrun"/>
          <w:rFonts w:ascii="Arial" w:hAnsi="Arial" w:cs="Arial" w:eastAsiaTheme="majorEastAsia"/>
          <w:sz w:val="20"/>
          <w:szCs w:val="20"/>
        </w:rPr>
        <w:t>B</w:t>
      </w:r>
      <w:r w:rsidRPr="001337D6" w:rsidR="00973793">
        <w:rPr>
          <w:rStyle w:val="normaltextrun"/>
          <w:rFonts w:ascii="Arial" w:hAnsi="Arial" w:cs="Arial" w:eastAsiaTheme="majorEastAsia"/>
          <w:sz w:val="20"/>
          <w:szCs w:val="20"/>
        </w:rPr>
        <w:t xml:space="preserve">ESS Root Mean Squared Error </w:t>
      </w:r>
      <w:r w:rsidRPr="001337D6" w:rsidR="00A16C03">
        <w:rPr>
          <w:rStyle w:val="normaltextrun"/>
          <w:rFonts w:ascii="Arial" w:hAnsi="Arial" w:cs="Arial" w:eastAsiaTheme="majorEastAsia"/>
          <w:sz w:val="20"/>
          <w:szCs w:val="20"/>
        </w:rPr>
        <w:t>(“</w:t>
      </w:r>
      <w:r w:rsidRPr="001337D6" w:rsidR="00A16C03">
        <w:rPr>
          <w:rStyle w:val="normaltextrun"/>
          <w:rFonts w:ascii="Arial" w:hAnsi="Arial" w:cs="Arial" w:eastAsiaTheme="majorEastAsia"/>
          <w:b/>
          <w:sz w:val="20"/>
          <w:szCs w:val="20"/>
        </w:rPr>
        <w:t>RMSE</w:t>
      </w:r>
      <w:r w:rsidRPr="001337D6" w:rsidR="00A16C03">
        <w:rPr>
          <w:rStyle w:val="normaltextrun"/>
          <w:rFonts w:ascii="Arial" w:hAnsi="Arial" w:cs="Arial" w:eastAsiaTheme="majorEastAsia"/>
          <w:sz w:val="20"/>
          <w:szCs w:val="20"/>
        </w:rPr>
        <w:t xml:space="preserve">”) </w:t>
      </w:r>
      <w:r w:rsidRPr="001337D6" w:rsidR="00973793">
        <w:rPr>
          <w:rStyle w:val="normaltextrun"/>
          <w:rFonts w:ascii="Arial" w:hAnsi="Arial" w:cs="Arial" w:eastAsiaTheme="majorEastAsia"/>
          <w:sz w:val="20"/>
          <w:szCs w:val="20"/>
        </w:rPr>
        <w:t xml:space="preserve">and Renewable Resource </w:t>
      </w:r>
      <w:r w:rsidRPr="001337D6" w:rsidDel="00A16C03">
        <w:rPr>
          <w:rStyle w:val="normaltextrun"/>
          <w:rFonts w:ascii="Arial" w:hAnsi="Arial" w:cs="Arial" w:eastAsiaTheme="majorEastAsia"/>
          <w:sz w:val="20"/>
          <w:szCs w:val="20"/>
        </w:rPr>
        <w:t>RMSE</w:t>
      </w:r>
      <w:r w:rsidR="004D298D">
        <w:rPr>
          <w:rStyle w:val="normaltextrun"/>
          <w:rFonts w:ascii="Arial" w:hAnsi="Arial" w:cs="Arial" w:eastAsiaTheme="majorEastAsia"/>
          <w:sz w:val="20"/>
          <w:szCs w:val="20"/>
        </w:rPr>
        <w:t>)</w:t>
      </w:r>
      <w:r w:rsidRPr="001337D6" w:rsidDel="00A16C03">
        <w:rPr>
          <w:rStyle w:val="normaltextrun"/>
          <w:rFonts w:ascii="Arial" w:hAnsi="Arial" w:cs="Arial" w:eastAsiaTheme="majorEastAsia"/>
          <w:sz w:val="20"/>
          <w:szCs w:val="20"/>
        </w:rPr>
        <w:t xml:space="preserve"> </w:t>
      </w:r>
      <w:r w:rsidRPr="001337D6">
        <w:rPr>
          <w:rStyle w:val="normaltextrun"/>
          <w:rFonts w:ascii="Arial" w:hAnsi="Arial" w:cs="Arial" w:eastAsiaTheme="majorEastAsia"/>
          <w:sz w:val="20"/>
          <w:szCs w:val="20"/>
        </w:rPr>
        <w:t xml:space="preserve">for the Month must be less than or equal to 5. </w:t>
      </w:r>
      <w:r w:rsidRPr="00BE7DB7" w:rsidR="00BE7DB7">
        <w:rPr>
          <w:rFonts w:ascii="Arial" w:hAnsi="Arial" w:eastAsia="MS Gothic" w:cs="Arial"/>
          <w:sz w:val="20"/>
          <w:szCs w:val="20"/>
        </w:rPr>
        <w:t xml:space="preserve">Upon request of either Party, the Operating Committee may relax the RMSE requirement of 5 based on performance factors that affect the RMSE. The Operating Committee must: (i) agree to any adjustment, which agreement must not be unreasonably withheld, conditioned, or delayed; and (ii) document any adjustment in the Operating Procedures. </w:t>
      </w:r>
    </w:p>
    <w:p w:rsidRPr="00BE7DB7" w:rsidR="00BE7DB7" w:rsidP="00BE7DB7" w:rsidRDefault="00BE7DB7" w14:paraId="21D7B417" w14:textId="77777777">
      <w:pPr>
        <w:pStyle w:val="paragraph"/>
        <w:widowControl w:val="0"/>
        <w:spacing w:before="0" w:beforeAutospacing="0" w:after="0" w:afterAutospacing="0"/>
        <w:ind w:left="1152"/>
        <w:jc w:val="both"/>
        <w:textAlignment w:val="baseline"/>
        <w:rPr>
          <w:rFonts w:ascii="Arial" w:hAnsi="Arial" w:eastAsia="MS Gothic" w:cs="Arial"/>
          <w:sz w:val="20"/>
          <w:szCs w:val="20"/>
        </w:rPr>
      </w:pPr>
    </w:p>
    <w:p w:rsidRPr="001337D6" w:rsidR="0078675B" w:rsidP="00E3591A" w:rsidRDefault="00E3591A" w14:paraId="61995BFB" w14:textId="1CF77111">
      <w:pPr>
        <w:pStyle w:val="paragraph"/>
        <w:widowControl w:val="0"/>
        <w:spacing w:before="0" w:beforeAutospacing="0" w:after="0" w:afterAutospacing="0"/>
        <w:ind w:left="1152"/>
        <w:jc w:val="both"/>
        <w:textAlignment w:val="baseline"/>
        <w:rPr>
          <w:rStyle w:val="normaltextrun"/>
          <w:rFonts w:ascii="Arial" w:hAnsi="Arial" w:cs="Arial" w:eastAsiaTheme="majorEastAsia"/>
          <w:sz w:val="20"/>
          <w:szCs w:val="20"/>
        </w:rPr>
      </w:pPr>
      <w:r w:rsidRPr="001337D6">
        <w:rPr>
          <w:rStyle w:val="normaltextrun"/>
          <w:rFonts w:ascii="Arial" w:hAnsi="Arial" w:cs="Arial" w:eastAsiaTheme="majorEastAsia"/>
          <w:sz w:val="20"/>
          <w:szCs w:val="20"/>
        </w:rPr>
        <w:t xml:space="preserve">The </w:t>
      </w:r>
      <w:r w:rsidRPr="001337D6" w:rsidR="00A16C03">
        <w:rPr>
          <w:rStyle w:val="normaltextrun"/>
          <w:rFonts w:ascii="Arial" w:hAnsi="Arial" w:cs="Arial" w:eastAsiaTheme="majorEastAsia"/>
          <w:sz w:val="20"/>
          <w:szCs w:val="20"/>
        </w:rPr>
        <w:t xml:space="preserve">respective </w:t>
      </w:r>
      <w:r w:rsidRPr="001337D6">
        <w:rPr>
          <w:rStyle w:val="normaltextrun"/>
          <w:rFonts w:ascii="Arial" w:hAnsi="Arial" w:cs="Arial" w:eastAsiaTheme="majorEastAsia"/>
          <w:sz w:val="20"/>
          <w:szCs w:val="20"/>
        </w:rPr>
        <w:t>RMSE for each Month will be calculated as follows:</w:t>
      </w:r>
      <w:r w:rsidRPr="001337D6">
        <w:rPr>
          <w:rStyle w:val="eop"/>
          <w:rFonts w:ascii="Arial" w:hAnsi="Arial" w:cs="Arial" w:eastAsiaTheme="majorEastAsia"/>
          <w:sz w:val="20"/>
          <w:szCs w:val="20"/>
        </w:rPr>
        <w:t>  </w:t>
      </w:r>
      <w:r w:rsidRPr="001337D6">
        <w:rPr>
          <w:rStyle w:val="normaltextrun"/>
          <w:rFonts w:ascii="Arial" w:hAnsi="Arial" w:cs="Arial" w:eastAsiaTheme="majorEastAsia"/>
          <w:sz w:val="20"/>
          <w:szCs w:val="20"/>
        </w:rPr>
        <w:t> </w:t>
      </w:r>
    </w:p>
    <w:p w:rsidRPr="001337D6" w:rsidR="00E3591A" w:rsidP="00E3591A" w:rsidRDefault="00E3591A" w14:paraId="229C9924" w14:textId="27397063">
      <w:pPr>
        <w:pStyle w:val="paragraph"/>
        <w:widowControl w:val="0"/>
        <w:spacing w:before="0" w:beforeAutospacing="0" w:after="0" w:afterAutospacing="0"/>
        <w:ind w:left="1152"/>
        <w:jc w:val="both"/>
        <w:textAlignment w:val="baseline"/>
        <w:rPr>
          <w:rFonts w:ascii="Arial" w:hAnsi="Arial" w:cs="Arial"/>
          <w:sz w:val="20"/>
          <w:szCs w:val="20"/>
        </w:rPr>
      </w:pPr>
      <w:r w:rsidRPr="001337D6">
        <w:rPr>
          <w:rStyle w:val="eop"/>
          <w:rFonts w:ascii="Arial" w:hAnsi="Arial" w:cs="Arial" w:eastAsiaTheme="majorEastAsia"/>
          <w:sz w:val="20"/>
          <w:szCs w:val="20"/>
        </w:rPr>
        <w:t> </w:t>
      </w:r>
    </w:p>
    <w:p w:rsidRPr="001337D6" w:rsidR="00E3591A" w:rsidP="00E3591A" w:rsidRDefault="001C088B" w14:paraId="6CABC082" w14:textId="0A943E3E">
      <w:pPr>
        <w:pStyle w:val="paragraph"/>
        <w:widowControl w:val="0"/>
        <w:spacing w:before="0" w:beforeAutospacing="0" w:after="0" w:afterAutospacing="0"/>
        <w:ind w:left="1170"/>
        <w:jc w:val="both"/>
        <w:textAlignment w:val="baseline"/>
        <w:rPr>
          <w:rFonts w:ascii="Arial" w:hAnsi="Arial" w:cs="Arial"/>
          <w:iCs/>
          <w:sz w:val="20"/>
          <w:szCs w:val="20"/>
        </w:rPr>
      </w:pPr>
      <m:oMathPara>
        <m:oMathParaPr>
          <m:jc m:val="left"/>
        </m:oMathParaPr>
        <m:oMath>
          <m:r>
            <m:rPr>
              <m:sty m:val="b"/>
            </m:rPr>
            <w:rPr>
              <w:rFonts w:ascii="Cambria Math" w:hAnsi="Cambria Math" w:cs="Arial"/>
              <w:sz w:val="20"/>
              <w:szCs w:val="20"/>
            </w:rPr>
            <m:t>BESS RMSE</m:t>
          </m:r>
          <m:r>
            <m:rPr>
              <m:sty m:val="p"/>
            </m:rPr>
            <w:rPr>
              <w:rFonts w:ascii="Cambria Math" w:hAnsi="Cambria Math" w:cs="Arial"/>
              <w:sz w:val="20"/>
              <w:szCs w:val="20"/>
            </w:rPr>
            <m:t>= </m:t>
          </m:r>
          <m:rad>
            <m:radPr>
              <m:degHide m:val="1"/>
              <m:ctrlPr>
                <w:rPr>
                  <w:rFonts w:ascii="Cambria Math" w:hAnsi="Cambria Math" w:cs="Arial"/>
                  <w:iCs/>
                  <w:sz w:val="20"/>
                  <w:szCs w:val="20"/>
                </w:rPr>
              </m:ctrlPr>
            </m:radPr>
            <m:deg/>
            <m:e>
              <m:f>
                <m:fPr>
                  <m:ctrlPr>
                    <w:rPr>
                      <w:rFonts w:ascii="Cambria Math" w:hAnsi="Cambria Math" w:cs="Arial"/>
                      <w:i/>
                      <w:iCs/>
                      <w:sz w:val="20"/>
                      <w:szCs w:val="20"/>
                    </w:rPr>
                  </m:ctrlPr>
                </m:fPr>
                <m:num>
                  <m:nary>
                    <m:naryPr>
                      <m:chr m:val="∑"/>
                      <m:limLoc m:val="undOvr"/>
                      <m:ctrlPr>
                        <w:rPr>
                          <w:rFonts w:ascii="Cambria Math" w:hAnsi="Cambria Math" w:cs="Arial"/>
                          <w:i/>
                          <w:iCs/>
                          <w:sz w:val="20"/>
                          <w:szCs w:val="20"/>
                        </w:rPr>
                      </m:ctrlPr>
                    </m:naryPr>
                    <m:sub>
                      <m:r>
                        <w:rPr>
                          <w:rFonts w:ascii="Cambria Math" w:hAnsi="Cambria Math" w:cs="Arial"/>
                          <w:sz w:val="20"/>
                          <w:szCs w:val="20"/>
                        </w:rPr>
                        <m:t>i=1</m:t>
                      </m:r>
                    </m:sub>
                    <m:sup>
                      <m:r>
                        <w:rPr>
                          <w:rFonts w:ascii="Cambria Math" w:hAnsi="Cambria Math" w:cs="Arial"/>
                          <w:sz w:val="20"/>
                          <w:szCs w:val="20"/>
                        </w:rPr>
                        <m:t>n</m:t>
                      </m:r>
                    </m:sup>
                    <m:e>
                      <m:sSup>
                        <m:sSupPr>
                          <m:ctrlPr>
                            <w:rPr>
                              <w:rFonts w:ascii="Cambria Math" w:hAnsi="Cambria Math" w:cs="Arial"/>
                              <w:iCs/>
                              <w:sz w:val="20"/>
                              <w:szCs w:val="20"/>
                            </w:rPr>
                          </m:ctrlPr>
                        </m:sSupPr>
                        <m:e>
                          <m:d>
                            <m:dPr>
                              <m:ctrlPr>
                                <w:rPr>
                                  <w:rFonts w:ascii="Cambria Math" w:hAnsi="Cambria Math" w:cs="Arial"/>
                                  <w:iCs/>
                                  <w:sz w:val="20"/>
                                  <w:szCs w:val="20"/>
                                </w:rPr>
                              </m:ctrlPr>
                            </m:dPr>
                            <m:e>
                              <m:sSub>
                                <m:sSubPr>
                                  <m:ctrlPr>
                                    <w:rPr>
                                      <w:rFonts w:ascii="Cambria Math" w:hAnsi="Cambria Math" w:cs="Arial"/>
                                      <w:sz w:val="20"/>
                                      <w:szCs w:val="20"/>
                                    </w:rPr>
                                  </m:ctrlPr>
                                </m:sSubPr>
                                <m:e>
                                  <m:r>
                                    <m:rPr>
                                      <m:sty m:val="p"/>
                                    </m:rPr>
                                    <w:rPr>
                                      <w:rFonts w:ascii="Cambria Math" w:hAnsi="Cambria Math" w:cs="Arial"/>
                                      <w:sz w:val="20"/>
                                      <w:szCs w:val="20"/>
                                    </w:rPr>
                                    <m:t>AGC Setpoint</m:t>
                                  </m:r>
                                </m:e>
                                <m:sub>
                                  <m:r>
                                    <w:rPr>
                                      <w:rFonts w:ascii="Cambria Math" w:hAnsi="Cambria Math" w:cs="Arial"/>
                                      <w:sz w:val="20"/>
                                      <w:szCs w:val="20"/>
                                    </w:rPr>
                                    <m:t>i</m:t>
                                  </m:r>
                                </m:sub>
                              </m:sSub>
                              <m:r>
                                <m:rPr>
                                  <m:sty m:val="p"/>
                                </m:rPr>
                                <w:rPr>
                                  <w:rFonts w:ascii="Cambria Math" w:hAnsi="Cambria Math" w:cs="Arial"/>
                                  <w:sz w:val="20"/>
                                  <w:szCs w:val="20"/>
                                </w:rPr>
                                <m:t xml:space="preserve">- (BESS </m:t>
                              </m:r>
                              <m:sSub>
                                <m:sSubPr>
                                  <m:ctrlPr>
                                    <w:rPr>
                                      <w:rFonts w:ascii="Cambria Math" w:hAnsi="Cambria Math" w:cs="Arial"/>
                                      <w:sz w:val="20"/>
                                      <w:szCs w:val="20"/>
                                    </w:rPr>
                                  </m:ctrlPr>
                                </m:sSubPr>
                                <m:e>
                                  <m:r>
                                    <m:rPr>
                                      <m:sty m:val="p"/>
                                    </m:rPr>
                                    <w:rPr>
                                      <w:rFonts w:ascii="Cambria Math" w:hAnsi="Cambria Math" w:cs="Arial"/>
                                      <w:sz w:val="20"/>
                                      <w:szCs w:val="20"/>
                                    </w:rPr>
                                    <m:t>Input/Output)</m:t>
                                  </m:r>
                                </m:e>
                                <m:sub>
                                  <m:r>
                                    <w:rPr>
                                      <w:rFonts w:ascii="Cambria Math" w:hAnsi="Cambria Math" w:cs="Arial"/>
                                      <w:sz w:val="20"/>
                                      <w:szCs w:val="20"/>
                                    </w:rPr>
                                    <m:t>i</m:t>
                                  </m:r>
                                </m:sub>
                              </m:sSub>
                            </m:e>
                          </m:d>
                        </m:e>
                        <m:sup>
                          <m:r>
                            <m:rPr>
                              <m:sty m:val="p"/>
                            </m:rPr>
                            <w:rPr>
                              <w:rFonts w:ascii="Cambria Math" w:hAnsi="Cambria Math" w:cs="Arial"/>
                              <w:sz w:val="20"/>
                              <w:szCs w:val="20"/>
                            </w:rPr>
                            <m:t>2</m:t>
                          </m:r>
                        </m:sup>
                      </m:sSup>
                    </m:e>
                  </m:nary>
                </m:num>
                <m:den>
                  <m:r>
                    <w:rPr>
                      <w:rFonts w:ascii="Cambria Math" w:hAnsi="Cambria Math" w:cs="Arial"/>
                      <w:sz w:val="20"/>
                      <w:szCs w:val="20"/>
                    </w:rPr>
                    <m:t>n</m:t>
                  </m:r>
                </m:den>
              </m:f>
            </m:e>
          </m:rad>
        </m:oMath>
      </m:oMathPara>
    </w:p>
    <w:p w:rsidRPr="001337D6" w:rsidR="00E3591A" w:rsidP="00E3591A" w:rsidRDefault="00E3591A" w14:paraId="1405318B" w14:textId="77777777">
      <w:pPr>
        <w:pStyle w:val="paragraph"/>
        <w:widowControl w:val="0"/>
        <w:spacing w:before="0" w:beforeAutospacing="0" w:after="0" w:afterAutospacing="0"/>
        <w:ind w:left="1170"/>
        <w:jc w:val="both"/>
        <w:textAlignment w:val="baseline"/>
        <w:rPr>
          <w:rStyle w:val="normaltextrun"/>
          <w:rFonts w:ascii="Arial" w:hAnsi="Arial" w:cs="Arial" w:eastAsiaTheme="majorEastAsia"/>
          <w:sz w:val="20"/>
          <w:szCs w:val="20"/>
        </w:rPr>
      </w:pPr>
    </w:p>
    <w:p w:rsidRPr="001337D6" w:rsidR="00C12D74" w:rsidP="00C12D74" w:rsidRDefault="001C088B" w14:paraId="724EC87F" w14:textId="6E799B31">
      <w:pPr>
        <w:pStyle w:val="paragraph"/>
        <w:widowControl w:val="0"/>
        <w:spacing w:before="0" w:beforeAutospacing="0" w:after="0" w:afterAutospacing="0"/>
        <w:ind w:left="1170"/>
        <w:jc w:val="both"/>
        <w:textAlignment w:val="baseline"/>
        <w:rPr>
          <w:rFonts w:ascii="Arial" w:hAnsi="Arial" w:cs="Arial"/>
          <w:iCs/>
          <w:sz w:val="20"/>
          <w:szCs w:val="20"/>
        </w:rPr>
      </w:pPr>
      <m:oMathPara>
        <m:oMathParaPr>
          <m:jc m:val="left"/>
        </m:oMathParaPr>
        <m:oMath>
          <m:r>
            <m:rPr>
              <m:sty m:val="b"/>
            </m:rPr>
            <w:rPr>
              <w:rFonts w:ascii="Cambria Math" w:hAnsi="Cambria Math" w:cs="Arial"/>
              <w:sz w:val="20"/>
              <w:szCs w:val="20"/>
            </w:rPr>
            <m:t>Renewable Resource RMSE</m:t>
          </m:r>
          <m:r>
            <m:rPr>
              <m:sty m:val="p"/>
            </m:rPr>
            <w:rPr>
              <w:rFonts w:ascii="Cambria Math" w:hAnsi="Cambria Math" w:cs="Arial"/>
              <w:sz w:val="20"/>
              <w:szCs w:val="20"/>
            </w:rPr>
            <m:t>= </m:t>
          </m:r>
          <m:rad>
            <m:radPr>
              <m:degHide m:val="1"/>
              <m:ctrlPr>
                <w:rPr>
                  <w:rFonts w:ascii="Cambria Math" w:hAnsi="Cambria Math" w:cs="Arial"/>
                  <w:iCs/>
                  <w:sz w:val="20"/>
                  <w:szCs w:val="20"/>
                </w:rPr>
              </m:ctrlPr>
            </m:radPr>
            <m:deg/>
            <m:e>
              <m:f>
                <m:fPr>
                  <m:ctrlPr>
                    <w:rPr>
                      <w:rFonts w:ascii="Cambria Math" w:hAnsi="Cambria Math" w:cs="Arial"/>
                      <w:i/>
                      <w:iCs/>
                      <w:sz w:val="20"/>
                      <w:szCs w:val="20"/>
                    </w:rPr>
                  </m:ctrlPr>
                </m:fPr>
                <m:num>
                  <m:nary>
                    <m:naryPr>
                      <m:chr m:val="∑"/>
                      <m:limLoc m:val="undOvr"/>
                      <m:ctrlPr>
                        <w:rPr>
                          <w:rFonts w:ascii="Cambria Math" w:hAnsi="Cambria Math" w:cs="Arial"/>
                          <w:i/>
                          <w:iCs/>
                          <w:sz w:val="20"/>
                          <w:szCs w:val="20"/>
                        </w:rPr>
                      </m:ctrlPr>
                    </m:naryPr>
                    <m:sub>
                      <m:r>
                        <w:rPr>
                          <w:rFonts w:ascii="Cambria Math" w:hAnsi="Cambria Math" w:cs="Arial"/>
                          <w:sz w:val="20"/>
                          <w:szCs w:val="20"/>
                        </w:rPr>
                        <m:t>i=1</m:t>
                      </m:r>
                    </m:sub>
                    <m:sup>
                      <m:r>
                        <w:rPr>
                          <w:rFonts w:ascii="Cambria Math" w:hAnsi="Cambria Math" w:cs="Arial"/>
                          <w:sz w:val="20"/>
                          <w:szCs w:val="20"/>
                        </w:rPr>
                        <m:t>n</m:t>
                      </m:r>
                    </m:sup>
                    <m:e>
                      <m:sSup>
                        <m:sSupPr>
                          <m:ctrlPr>
                            <w:rPr>
                              <w:rFonts w:ascii="Cambria Math" w:hAnsi="Cambria Math" w:cs="Arial"/>
                              <w:iCs/>
                              <w:sz w:val="20"/>
                              <w:szCs w:val="20"/>
                            </w:rPr>
                          </m:ctrlPr>
                        </m:sSupPr>
                        <m:e>
                          <m:d>
                            <m:dPr>
                              <m:ctrlPr>
                                <w:rPr>
                                  <w:rFonts w:ascii="Cambria Math" w:hAnsi="Cambria Math" w:cs="Arial"/>
                                  <w:iCs/>
                                  <w:sz w:val="20"/>
                                  <w:szCs w:val="20"/>
                                </w:rPr>
                              </m:ctrlPr>
                            </m:dPr>
                            <m:e>
                              <m:sSub>
                                <m:sSubPr>
                                  <m:ctrlPr>
                                    <w:rPr>
                                      <w:rFonts w:ascii="Cambria Math" w:hAnsi="Cambria Math" w:cs="Arial"/>
                                      <w:sz w:val="20"/>
                                      <w:szCs w:val="20"/>
                                    </w:rPr>
                                  </m:ctrlPr>
                                </m:sSubPr>
                                <m:e>
                                  <m:r>
                                    <m:rPr>
                                      <m:sty m:val="p"/>
                                    </m:rPr>
                                    <w:rPr>
                                      <w:rFonts w:ascii="Cambria Math" w:hAnsi="Cambria Math" w:cs="Arial"/>
                                      <w:sz w:val="20"/>
                                      <w:szCs w:val="20"/>
                                    </w:rPr>
                                    <m:t>AGC Setpoint</m:t>
                                  </m:r>
                                </m:e>
                                <m:sub>
                                  <m:r>
                                    <w:rPr>
                                      <w:rFonts w:ascii="Cambria Math" w:hAnsi="Cambria Math" w:cs="Arial"/>
                                      <w:sz w:val="20"/>
                                      <w:szCs w:val="20"/>
                                    </w:rPr>
                                    <m:t>i</m:t>
                                  </m:r>
                                </m:sub>
                              </m:sSub>
                              <m:r>
                                <m:rPr>
                                  <m:sty m:val="p"/>
                                </m:rPr>
                                <w:rPr>
                                  <w:rFonts w:ascii="Cambria Math" w:hAnsi="Cambria Math" w:cs="Arial"/>
                                  <w:sz w:val="20"/>
                                  <w:szCs w:val="20"/>
                                </w:rPr>
                                <m:t xml:space="preserve">- (Renewable Resource </m:t>
                              </m:r>
                              <m:sSub>
                                <m:sSubPr>
                                  <m:ctrlPr>
                                    <w:rPr>
                                      <w:rFonts w:ascii="Cambria Math" w:hAnsi="Cambria Math" w:cs="Arial"/>
                                      <w:sz w:val="20"/>
                                      <w:szCs w:val="20"/>
                                    </w:rPr>
                                  </m:ctrlPr>
                                </m:sSubPr>
                                <m:e>
                                  <m:r>
                                    <m:rPr>
                                      <m:sty m:val="p"/>
                                    </m:rPr>
                                    <w:rPr>
                                      <w:rFonts w:ascii="Cambria Math" w:hAnsi="Cambria Math" w:cs="Arial"/>
                                      <w:sz w:val="20"/>
                                      <w:szCs w:val="20"/>
                                    </w:rPr>
                                    <m:t>Output)</m:t>
                                  </m:r>
                                </m:e>
                                <m:sub>
                                  <m:r>
                                    <w:rPr>
                                      <w:rFonts w:ascii="Cambria Math" w:hAnsi="Cambria Math" w:cs="Arial"/>
                                      <w:sz w:val="20"/>
                                      <w:szCs w:val="20"/>
                                    </w:rPr>
                                    <m:t>i</m:t>
                                  </m:r>
                                </m:sub>
                              </m:sSub>
                            </m:e>
                          </m:d>
                        </m:e>
                        <m:sup>
                          <m:r>
                            <m:rPr>
                              <m:sty m:val="p"/>
                            </m:rPr>
                            <w:rPr>
                              <w:rFonts w:ascii="Cambria Math" w:hAnsi="Cambria Math" w:cs="Arial"/>
                              <w:sz w:val="20"/>
                              <w:szCs w:val="20"/>
                            </w:rPr>
                            <m:t>2</m:t>
                          </m:r>
                        </m:sup>
                      </m:sSup>
                    </m:e>
                  </m:nary>
                </m:num>
                <m:den>
                  <m:r>
                    <w:rPr>
                      <w:rFonts w:ascii="Cambria Math" w:hAnsi="Cambria Math" w:cs="Arial"/>
                      <w:sz w:val="20"/>
                      <w:szCs w:val="20"/>
                    </w:rPr>
                    <m:t>n</m:t>
                  </m:r>
                </m:den>
              </m:f>
            </m:e>
          </m:rad>
        </m:oMath>
      </m:oMathPara>
    </w:p>
    <w:p w:rsidRPr="001337D6" w:rsidR="00C12D74" w:rsidP="00E3591A" w:rsidRDefault="00C12D74" w14:paraId="2B45E7EE" w14:textId="77777777">
      <w:pPr>
        <w:pStyle w:val="paragraph"/>
        <w:widowControl w:val="0"/>
        <w:spacing w:before="0" w:beforeAutospacing="0" w:after="0" w:afterAutospacing="0"/>
        <w:ind w:left="1170"/>
        <w:jc w:val="both"/>
        <w:textAlignment w:val="baseline"/>
        <w:rPr>
          <w:rStyle w:val="normaltextrun"/>
          <w:rFonts w:ascii="Arial" w:hAnsi="Arial" w:cs="Arial" w:eastAsiaTheme="majorEastAsia"/>
          <w:sz w:val="20"/>
          <w:szCs w:val="20"/>
        </w:rPr>
      </w:pPr>
    </w:p>
    <w:p w:rsidRPr="001337D6" w:rsidR="00E3591A" w:rsidP="00E72FEC" w:rsidRDefault="00E3591A" w14:paraId="264A4DC8" w14:textId="77777777">
      <w:pPr>
        <w:pStyle w:val="paragraph"/>
        <w:widowControl w:val="0"/>
        <w:spacing w:before="0" w:beforeAutospacing="0" w:after="0" w:afterAutospacing="0"/>
        <w:ind w:left="1260"/>
        <w:jc w:val="both"/>
        <w:textAlignment w:val="baseline"/>
        <w:rPr>
          <w:rStyle w:val="eop"/>
          <w:rFonts w:ascii="Arial" w:hAnsi="Arial" w:cs="Arial" w:eastAsiaTheme="majorEastAsia"/>
          <w:sz w:val="20"/>
          <w:szCs w:val="20"/>
        </w:rPr>
      </w:pPr>
      <w:r w:rsidRPr="001337D6">
        <w:rPr>
          <w:rStyle w:val="normaltextrun"/>
          <w:rFonts w:ascii="Arial" w:hAnsi="Arial" w:cs="Arial" w:eastAsiaTheme="majorEastAsia"/>
          <w:sz w:val="20"/>
          <w:szCs w:val="20"/>
        </w:rPr>
        <w:t>Where:</w:t>
      </w:r>
      <w:r w:rsidRPr="001337D6">
        <w:rPr>
          <w:rStyle w:val="eop"/>
          <w:rFonts w:ascii="Arial" w:hAnsi="Arial" w:cs="Arial" w:eastAsiaTheme="majorEastAsia"/>
          <w:sz w:val="20"/>
          <w:szCs w:val="20"/>
        </w:rPr>
        <w:t> </w:t>
      </w:r>
    </w:p>
    <w:p w:rsidRPr="001337D6" w:rsidR="00E3591A" w:rsidP="00E72FEC" w:rsidRDefault="00E3591A" w14:paraId="0B96B28C" w14:textId="77777777">
      <w:pPr>
        <w:pStyle w:val="paragraph"/>
        <w:widowControl w:val="0"/>
        <w:spacing w:before="0" w:beforeAutospacing="0" w:after="0" w:afterAutospacing="0"/>
        <w:ind w:left="1260"/>
        <w:jc w:val="both"/>
        <w:textAlignment w:val="baseline"/>
        <w:rPr>
          <w:rFonts w:ascii="Arial" w:hAnsi="Arial" w:cs="Arial"/>
          <w:sz w:val="20"/>
          <w:szCs w:val="20"/>
        </w:rPr>
      </w:pPr>
    </w:p>
    <w:p w:rsidRPr="001337D6" w:rsidR="00E3591A" w:rsidP="00E72FEC" w:rsidRDefault="00E3591A" w14:paraId="2F4C63E0" w14:textId="74247DDA">
      <w:pPr>
        <w:pStyle w:val="paragraph"/>
        <w:widowControl w:val="0"/>
        <w:spacing w:before="0" w:beforeAutospacing="0" w:after="0" w:afterAutospacing="0"/>
        <w:ind w:left="1260"/>
        <w:jc w:val="both"/>
        <w:textAlignment w:val="baseline"/>
        <w:rPr>
          <w:rStyle w:val="normaltextrun"/>
          <w:rFonts w:ascii="Arial" w:hAnsi="Arial" w:cs="Arial" w:eastAsiaTheme="majorEastAsia"/>
          <w:sz w:val="20"/>
          <w:szCs w:val="20"/>
        </w:rPr>
      </w:pPr>
      <w:r w:rsidRPr="001337D6">
        <w:rPr>
          <w:rStyle w:val="normaltextrun"/>
          <w:rFonts w:ascii="Arial" w:hAnsi="Arial" w:cs="Arial" w:eastAsiaTheme="majorEastAsia"/>
          <w:sz w:val="20"/>
          <w:szCs w:val="20"/>
        </w:rPr>
        <w:t xml:space="preserve">n = For </w:t>
      </w:r>
      <w:r w:rsidR="00F90220">
        <w:rPr>
          <w:rStyle w:val="normaltextrun"/>
          <w:rFonts w:ascii="Arial" w:hAnsi="Arial" w:cs="Arial" w:eastAsiaTheme="majorEastAsia"/>
          <w:sz w:val="20"/>
          <w:szCs w:val="20"/>
        </w:rPr>
        <w:t>B</w:t>
      </w:r>
      <w:r w:rsidRPr="001337D6">
        <w:rPr>
          <w:rStyle w:val="normaltextrun"/>
          <w:rFonts w:ascii="Arial" w:hAnsi="Arial" w:cs="Arial" w:eastAsiaTheme="majorEastAsia"/>
          <w:sz w:val="20"/>
          <w:szCs w:val="20"/>
        </w:rPr>
        <w:t xml:space="preserve">ESS, total 6-second AGC periods in the Month for which there is a non-zero AGC </w:t>
      </w:r>
      <w:r w:rsidRPr="001337D6" w:rsidR="00F25574">
        <w:rPr>
          <w:rStyle w:val="normaltextrun"/>
          <w:rFonts w:ascii="Arial" w:hAnsi="Arial" w:cs="Arial" w:eastAsiaTheme="majorEastAsia"/>
          <w:sz w:val="20"/>
          <w:szCs w:val="20"/>
        </w:rPr>
        <w:t xml:space="preserve">Setpoint </w:t>
      </w:r>
      <w:r w:rsidRPr="001337D6">
        <w:rPr>
          <w:rStyle w:val="normaltextrun"/>
          <w:rFonts w:ascii="Arial" w:hAnsi="Arial" w:cs="Arial" w:eastAsiaTheme="majorEastAsia"/>
          <w:sz w:val="20"/>
          <w:szCs w:val="20"/>
        </w:rPr>
        <w:t>signal; for the Renewable Resource, total 6-second AGC periods in the Month for which there was a Curtailment implemented by AGC for a Renewable Resource;</w:t>
      </w:r>
    </w:p>
    <w:p w:rsidRPr="001337D6" w:rsidR="00E3591A" w:rsidP="00E72FEC" w:rsidRDefault="00E3591A" w14:paraId="20A05900" w14:textId="77777777">
      <w:pPr>
        <w:pStyle w:val="paragraph"/>
        <w:widowControl w:val="0"/>
        <w:spacing w:before="0" w:beforeAutospacing="0" w:after="0" w:afterAutospacing="0"/>
        <w:ind w:left="1260"/>
        <w:jc w:val="both"/>
        <w:textAlignment w:val="baseline"/>
        <w:rPr>
          <w:rStyle w:val="eop"/>
          <w:rFonts w:ascii="Arial" w:hAnsi="Arial" w:cs="Arial" w:eastAsiaTheme="majorEastAsia"/>
          <w:sz w:val="20"/>
          <w:szCs w:val="20"/>
        </w:rPr>
      </w:pPr>
      <w:r w:rsidRPr="001337D6">
        <w:rPr>
          <w:rStyle w:val="normaltextrun"/>
          <w:rFonts w:ascii="Arial" w:hAnsi="Arial" w:cs="Arial" w:eastAsiaTheme="majorEastAsia"/>
          <w:sz w:val="20"/>
          <w:szCs w:val="20"/>
        </w:rPr>
        <w:t> </w:t>
      </w:r>
      <w:r w:rsidRPr="001337D6">
        <w:rPr>
          <w:rStyle w:val="eop"/>
          <w:rFonts w:ascii="Arial" w:hAnsi="Arial" w:cs="Arial" w:eastAsiaTheme="majorEastAsia"/>
          <w:sz w:val="20"/>
          <w:szCs w:val="20"/>
        </w:rPr>
        <w:t> </w:t>
      </w:r>
    </w:p>
    <w:p w:rsidRPr="001337D6" w:rsidR="00E3591A" w:rsidP="00E72FEC" w:rsidRDefault="00E3591A" w14:paraId="4283198F" w14:textId="77777777">
      <w:pPr>
        <w:pStyle w:val="paragraph"/>
        <w:widowControl w:val="0"/>
        <w:spacing w:before="0" w:beforeAutospacing="0" w:after="0" w:afterAutospacing="0"/>
        <w:ind w:left="1260"/>
        <w:jc w:val="both"/>
        <w:textAlignment w:val="baseline"/>
        <w:rPr>
          <w:rStyle w:val="eop"/>
          <w:rFonts w:ascii="Arial" w:hAnsi="Arial" w:cs="Arial" w:eastAsiaTheme="majorEastAsia"/>
          <w:sz w:val="20"/>
          <w:szCs w:val="20"/>
        </w:rPr>
      </w:pPr>
      <w:r w:rsidRPr="001337D6">
        <w:rPr>
          <w:rStyle w:val="normaltextrun"/>
          <w:rFonts w:ascii="Arial" w:hAnsi="Arial" w:cs="Arial" w:eastAsiaTheme="majorEastAsia"/>
          <w:sz w:val="20"/>
          <w:szCs w:val="20"/>
        </w:rPr>
        <w:t>i = 6-second data point; and</w:t>
      </w:r>
      <w:r w:rsidRPr="001337D6">
        <w:rPr>
          <w:rStyle w:val="eop"/>
          <w:rFonts w:ascii="Arial" w:hAnsi="Arial" w:cs="Arial" w:eastAsiaTheme="majorEastAsia"/>
          <w:sz w:val="20"/>
          <w:szCs w:val="20"/>
        </w:rPr>
        <w:t>,</w:t>
      </w:r>
    </w:p>
    <w:p w:rsidRPr="001337D6" w:rsidR="00E3591A" w:rsidP="00E72FEC" w:rsidRDefault="00E3591A" w14:paraId="3A786482" w14:textId="77777777">
      <w:pPr>
        <w:pStyle w:val="paragraph"/>
        <w:widowControl w:val="0"/>
        <w:spacing w:before="0" w:beforeAutospacing="0" w:after="0" w:afterAutospacing="0"/>
        <w:ind w:left="1260"/>
        <w:jc w:val="both"/>
        <w:textAlignment w:val="baseline"/>
        <w:rPr>
          <w:rFonts w:ascii="Arial" w:hAnsi="Arial" w:cs="Arial"/>
          <w:sz w:val="20"/>
          <w:szCs w:val="20"/>
        </w:rPr>
      </w:pPr>
    </w:p>
    <w:p w:rsidRPr="001337D6" w:rsidR="00E3591A" w:rsidP="00E72FEC" w:rsidRDefault="00E3591A" w14:paraId="37B495BC" w14:textId="31FBCCB9">
      <w:pPr>
        <w:pStyle w:val="paragraph"/>
        <w:widowControl w:val="0"/>
        <w:spacing w:before="0" w:beforeAutospacing="0" w:after="0" w:afterAutospacing="0"/>
        <w:ind w:left="1260"/>
        <w:jc w:val="both"/>
        <w:textAlignment w:val="baseline"/>
        <w:rPr>
          <w:rFonts w:ascii="Arial" w:hAnsi="Arial" w:cs="Arial"/>
          <w:sz w:val="20"/>
          <w:szCs w:val="20"/>
        </w:rPr>
      </w:pPr>
      <w:r w:rsidRPr="001337D6">
        <w:rPr>
          <w:rStyle w:val="normaltextrun"/>
          <w:rFonts w:ascii="Arial" w:hAnsi="Arial" w:cs="Arial" w:eastAsiaTheme="majorEastAsia"/>
          <w:bCs/>
          <w:sz w:val="20"/>
          <w:szCs w:val="20"/>
          <w:u w:val="single"/>
        </w:rPr>
        <w:t>AGC Setpoint</w:t>
      </w:r>
      <w:r w:rsidRPr="001337D6">
        <w:rPr>
          <w:rStyle w:val="normaltextrun"/>
          <w:rFonts w:ascii="Arial" w:hAnsi="Arial" w:cs="Arial" w:eastAsiaTheme="majorEastAsia"/>
          <w:sz w:val="20"/>
          <w:szCs w:val="20"/>
        </w:rPr>
        <w:t xml:space="preserve"> = AGC Setpoint value (MW) for the 6-second AGC period</w:t>
      </w:r>
      <w:r w:rsidRPr="001337D6" w:rsidR="007A3D1B">
        <w:rPr>
          <w:rStyle w:val="normaltextrun"/>
          <w:rFonts w:ascii="Arial" w:hAnsi="Arial" w:cs="Arial" w:eastAsiaTheme="majorEastAsia"/>
          <w:sz w:val="20"/>
          <w:szCs w:val="20"/>
        </w:rPr>
        <w:t xml:space="preserve"> for the applicable resource</w:t>
      </w:r>
      <w:r w:rsidRPr="001337D6">
        <w:rPr>
          <w:rStyle w:val="normaltextrun"/>
          <w:rFonts w:ascii="Arial" w:hAnsi="Arial" w:cs="Arial" w:eastAsiaTheme="majorEastAsia"/>
          <w:sz w:val="20"/>
          <w:szCs w:val="20"/>
        </w:rPr>
        <w:t>;</w:t>
      </w:r>
      <w:r w:rsidRPr="001337D6">
        <w:rPr>
          <w:rStyle w:val="eop"/>
          <w:rFonts w:ascii="Arial" w:hAnsi="Arial" w:cs="Arial" w:eastAsiaTheme="majorEastAsia"/>
          <w:sz w:val="20"/>
          <w:szCs w:val="20"/>
        </w:rPr>
        <w:t> </w:t>
      </w:r>
    </w:p>
    <w:p w:rsidRPr="001337D6" w:rsidR="00E3591A" w:rsidP="00E72FEC" w:rsidRDefault="00F90220" w14:paraId="25E12437" w14:textId="03BB1672">
      <w:pPr>
        <w:pStyle w:val="paragraph"/>
        <w:widowControl w:val="0"/>
        <w:spacing w:before="0" w:beforeAutospacing="0" w:after="0" w:afterAutospacing="0"/>
        <w:ind w:left="1260"/>
        <w:jc w:val="both"/>
        <w:textAlignment w:val="baseline"/>
        <w:rPr>
          <w:rStyle w:val="normaltextrun"/>
          <w:rFonts w:ascii="Arial" w:hAnsi="Arial" w:cs="Arial" w:eastAsiaTheme="majorEastAsia"/>
          <w:sz w:val="20"/>
          <w:szCs w:val="20"/>
        </w:rPr>
      </w:pPr>
      <w:r>
        <w:rPr>
          <w:rStyle w:val="normaltextrun"/>
          <w:rFonts w:ascii="Arial" w:hAnsi="Arial" w:cs="Arial" w:eastAsiaTheme="majorEastAsia"/>
          <w:sz w:val="20"/>
          <w:szCs w:val="20"/>
          <w:u w:val="single"/>
        </w:rPr>
        <w:t>B</w:t>
      </w:r>
      <w:r w:rsidRPr="001337D6" w:rsidR="00E3591A">
        <w:rPr>
          <w:rStyle w:val="normaltextrun"/>
          <w:rFonts w:ascii="Arial" w:hAnsi="Arial" w:cs="Arial" w:eastAsiaTheme="majorEastAsia"/>
          <w:sz w:val="20"/>
          <w:szCs w:val="20"/>
          <w:u w:val="single"/>
        </w:rPr>
        <w:t>ESS Input/Output</w:t>
      </w:r>
      <w:r w:rsidRPr="001337D6" w:rsidR="00E3591A">
        <w:rPr>
          <w:rStyle w:val="normaltextrun"/>
          <w:rFonts w:ascii="Arial" w:hAnsi="Arial" w:cs="Arial" w:eastAsiaTheme="majorEastAsia"/>
          <w:sz w:val="20"/>
          <w:szCs w:val="20"/>
        </w:rPr>
        <w:t xml:space="preserve"> =  For </w:t>
      </w:r>
      <w:r>
        <w:rPr>
          <w:rStyle w:val="normaltextrun"/>
          <w:rFonts w:ascii="Arial" w:hAnsi="Arial" w:cs="Arial" w:eastAsiaTheme="majorEastAsia"/>
          <w:sz w:val="20"/>
          <w:szCs w:val="20"/>
        </w:rPr>
        <w:t>B</w:t>
      </w:r>
      <w:r w:rsidRPr="001337D6" w:rsidR="00E3591A">
        <w:rPr>
          <w:rStyle w:val="normaltextrun"/>
          <w:rFonts w:ascii="Arial" w:hAnsi="Arial" w:cs="Arial" w:eastAsiaTheme="majorEastAsia"/>
          <w:sz w:val="20"/>
          <w:szCs w:val="20"/>
        </w:rPr>
        <w:t xml:space="preserve">ESS, the energy (MW) either delivered from the </w:t>
      </w:r>
      <w:r>
        <w:rPr>
          <w:rStyle w:val="normaltextrun"/>
          <w:rFonts w:ascii="Arial" w:hAnsi="Arial" w:cs="Arial" w:eastAsiaTheme="majorEastAsia"/>
          <w:sz w:val="20"/>
          <w:szCs w:val="20"/>
        </w:rPr>
        <w:t>B</w:t>
      </w:r>
      <w:r w:rsidRPr="001337D6" w:rsidR="00E3591A">
        <w:rPr>
          <w:rStyle w:val="normaltextrun"/>
          <w:rFonts w:ascii="Arial" w:hAnsi="Arial" w:cs="Arial" w:eastAsiaTheme="majorEastAsia"/>
          <w:sz w:val="20"/>
          <w:szCs w:val="20"/>
        </w:rPr>
        <w:t xml:space="preserve">ESS or to the </w:t>
      </w:r>
      <w:r>
        <w:rPr>
          <w:rStyle w:val="normaltextrun"/>
          <w:rFonts w:ascii="Arial" w:hAnsi="Arial" w:cs="Arial" w:eastAsiaTheme="majorEastAsia"/>
          <w:sz w:val="20"/>
          <w:szCs w:val="20"/>
        </w:rPr>
        <w:t>B</w:t>
      </w:r>
      <w:r w:rsidRPr="001337D6" w:rsidR="00E3591A">
        <w:rPr>
          <w:rStyle w:val="normaltextrun"/>
          <w:rFonts w:ascii="Arial" w:hAnsi="Arial" w:cs="Arial" w:eastAsiaTheme="majorEastAsia"/>
          <w:sz w:val="20"/>
          <w:szCs w:val="20"/>
        </w:rPr>
        <w:t>ESS for the 6-second AGC period;</w:t>
      </w:r>
    </w:p>
    <w:p w:rsidRPr="001337D6" w:rsidR="00C77CE4" w:rsidP="00C77CE4" w:rsidRDefault="00E3591A" w14:paraId="4937206E" w14:textId="5121A6AA">
      <w:pPr>
        <w:pStyle w:val="paragraph"/>
        <w:widowControl w:val="0"/>
        <w:spacing w:before="0" w:beforeAutospacing="0" w:after="0" w:afterAutospacing="0"/>
        <w:ind w:left="1260"/>
        <w:jc w:val="both"/>
        <w:textAlignment w:val="baseline"/>
        <w:rPr>
          <w:rStyle w:val="eop"/>
          <w:rFonts w:ascii="Arial" w:hAnsi="Arial" w:cs="Arial" w:eastAsiaTheme="majorEastAsia"/>
          <w:sz w:val="20"/>
          <w:szCs w:val="20"/>
        </w:rPr>
      </w:pPr>
      <w:r w:rsidRPr="001337D6">
        <w:rPr>
          <w:rStyle w:val="normaltextrun"/>
          <w:rFonts w:ascii="Arial" w:hAnsi="Arial" w:cs="Arial" w:eastAsiaTheme="majorEastAsia"/>
          <w:sz w:val="20"/>
          <w:szCs w:val="20"/>
          <w:u w:val="single"/>
        </w:rPr>
        <w:t>Resource Energy Output</w:t>
      </w:r>
      <w:r w:rsidRPr="001337D6">
        <w:rPr>
          <w:rStyle w:val="normaltextrun"/>
          <w:rFonts w:ascii="Arial" w:hAnsi="Arial" w:cs="Arial" w:eastAsiaTheme="majorEastAsia"/>
          <w:sz w:val="20"/>
          <w:szCs w:val="20"/>
        </w:rPr>
        <w:t xml:space="preserve"> = For Renewable Resource, the energy (MW) output from the Renewable Resource at the POI for the 6-second AGC period;</w:t>
      </w:r>
      <w:r w:rsidRPr="001337D6">
        <w:rPr>
          <w:rStyle w:val="eop"/>
          <w:rFonts w:ascii="Arial" w:hAnsi="Arial" w:cs="Arial" w:eastAsiaTheme="majorEastAsia"/>
          <w:sz w:val="20"/>
          <w:szCs w:val="20"/>
        </w:rPr>
        <w:t> </w:t>
      </w:r>
    </w:p>
    <w:p w:rsidRPr="001337D6" w:rsidR="00C77CE4" w:rsidP="00C77CE4" w:rsidRDefault="00C77CE4" w14:paraId="44A4AA27" w14:textId="77777777">
      <w:pPr>
        <w:pStyle w:val="paragraph"/>
        <w:widowControl w:val="0"/>
        <w:spacing w:before="0" w:beforeAutospacing="0" w:after="0" w:afterAutospacing="0"/>
        <w:ind w:left="1260"/>
        <w:jc w:val="both"/>
        <w:textAlignment w:val="baseline"/>
        <w:rPr>
          <w:rStyle w:val="eop"/>
          <w:rFonts w:ascii="Arial" w:hAnsi="Arial" w:cs="Arial" w:eastAsiaTheme="majorEastAsia"/>
          <w:sz w:val="20"/>
          <w:szCs w:val="20"/>
        </w:rPr>
      </w:pPr>
    </w:p>
    <w:p w:rsidR="00E549B8" w:rsidP="001D7DC3" w:rsidRDefault="00A47A58" w14:paraId="2417CEFC" w14:textId="3B58BAAD">
      <w:pPr>
        <w:pStyle w:val="zGNormal"/>
        <w:ind w:left="720"/>
        <w:rPr>
          <w:rStyle w:val="zGNormalChar"/>
        </w:rPr>
      </w:pPr>
      <w:r w:rsidRPr="001337D6">
        <w:rPr>
          <w:rStyle w:val="zGNormalChar"/>
        </w:rPr>
        <w:t xml:space="preserve">Any </w:t>
      </w:r>
      <w:r w:rsidRPr="001337D6" w:rsidR="00E3591A">
        <w:rPr>
          <w:rStyle w:val="zGNormalChar"/>
        </w:rPr>
        <w:t xml:space="preserve">6-second period </w:t>
      </w:r>
      <w:r w:rsidRPr="001337D6" w:rsidR="00CC1526">
        <w:rPr>
          <w:rStyle w:val="zGNormalChar"/>
        </w:rPr>
        <w:t xml:space="preserve">during </w:t>
      </w:r>
      <w:r w:rsidRPr="001337D6" w:rsidR="00E3591A">
        <w:rPr>
          <w:rStyle w:val="zGNormalChar"/>
        </w:rPr>
        <w:t xml:space="preserve">which there is no Curtailment implemented by AGC will be excluded from the calculation of Renewable Resource RMSE and </w:t>
      </w:r>
      <w:r w:rsidRPr="001337D6" w:rsidR="00EC4D15">
        <w:rPr>
          <w:rStyle w:val="zGNormalChar"/>
        </w:rPr>
        <w:t xml:space="preserve">any </w:t>
      </w:r>
      <w:r w:rsidRPr="001337D6" w:rsidR="00E3591A">
        <w:rPr>
          <w:rStyle w:val="zGNormalChar"/>
        </w:rPr>
        <w:t xml:space="preserve">6-second </w:t>
      </w:r>
      <w:r w:rsidRPr="001337D6" w:rsidR="00993A46">
        <w:rPr>
          <w:rStyle w:val="zGNormalChar"/>
        </w:rPr>
        <w:t>during</w:t>
      </w:r>
      <w:r w:rsidRPr="001337D6" w:rsidR="00E3591A">
        <w:rPr>
          <w:rStyle w:val="zGNormalChar"/>
        </w:rPr>
        <w:t xml:space="preserve"> which </w:t>
      </w:r>
      <w:r w:rsidRPr="001337D6" w:rsidR="00722B03">
        <w:rPr>
          <w:rStyle w:val="zGNormalChar"/>
        </w:rPr>
        <w:t xml:space="preserve">the </w:t>
      </w:r>
      <w:r w:rsidRPr="001337D6" w:rsidR="00E3591A">
        <w:rPr>
          <w:rStyle w:val="zGNormalChar"/>
        </w:rPr>
        <w:t xml:space="preserve">AGC </w:t>
      </w:r>
      <w:r w:rsidRPr="001337D6" w:rsidR="00F25574">
        <w:rPr>
          <w:rStyle w:val="zGNormalChar"/>
        </w:rPr>
        <w:t>Setpoint</w:t>
      </w:r>
      <w:r w:rsidRPr="001337D6" w:rsidR="00E3591A">
        <w:rPr>
          <w:rStyle w:val="zGNormalChar"/>
        </w:rPr>
        <w:t xml:space="preserve"> signal = 0 will be excluded from the calculation of </w:t>
      </w:r>
      <w:r w:rsidR="00F90220">
        <w:rPr>
          <w:rStyle w:val="zGNormalChar"/>
        </w:rPr>
        <w:t>B</w:t>
      </w:r>
      <w:r w:rsidRPr="001337D6" w:rsidR="00E3591A">
        <w:rPr>
          <w:rStyle w:val="zGNormalChar"/>
        </w:rPr>
        <w:t>ESS RMSE</w:t>
      </w:r>
      <w:r w:rsidRPr="001337D6" w:rsidDel="007E1E4C" w:rsidR="00E3591A">
        <w:rPr>
          <w:rStyle w:val="zGNormalChar"/>
        </w:rPr>
        <w:t>.</w:t>
      </w:r>
    </w:p>
    <w:p w:rsidR="00C97442" w:rsidRDefault="00C97442" w14:paraId="7F6498B0" w14:textId="77777777">
      <w:pPr>
        <w:rPr>
          <w:rStyle w:val="zGNormalChar"/>
        </w:rPr>
        <w:sectPr w:rsidR="00C97442" w:rsidSect="003B614F">
          <w:pgSz w:w="12240" w:h="15840" w:code="1"/>
          <w:pgMar w:top="1440" w:right="1440" w:bottom="1440" w:left="1440" w:header="720" w:footer="720" w:gutter="0"/>
          <w:paperSrc w:first="15" w:other="15"/>
          <w:cols w:space="1440"/>
        </w:sectPr>
      </w:pPr>
      <w:r>
        <w:rPr>
          <w:rStyle w:val="zGNormalChar"/>
        </w:rPr>
        <w:br w:type="page"/>
      </w:r>
    </w:p>
    <w:p w:rsidR="005561D1" w:rsidP="00E549B8" w:rsidRDefault="005561D1" w14:paraId="2D8E7E41" w14:textId="77777777">
      <w:pPr>
        <w:pStyle w:val="zGNormal"/>
        <w:rPr>
          <w:rStyle w:val="zGNormalChar"/>
        </w:rPr>
      </w:pPr>
    </w:p>
    <w:p w:rsidRPr="00AA4870" w:rsidR="007F6CAE" w:rsidP="00261D38" w:rsidRDefault="007F6CAE" w14:paraId="2B3805BF" w14:textId="062286CD">
      <w:pPr>
        <w:pStyle w:val="zGTitleExhibit"/>
        <w:rPr>
          <w:rFonts w:cs="Arial"/>
          <w:sz w:val="20"/>
          <w:szCs w:val="20"/>
        </w:rPr>
      </w:pPr>
      <w:bookmarkStart w:name="_Toc169778719" w:id="1090"/>
      <w:bookmarkStart w:name="_Toc227451484" w:id="1091"/>
      <w:r w:rsidRPr="002D2A8F">
        <w:t>Exhibit d – annual renewable energy forecast</w:t>
      </w:r>
      <w:bookmarkEnd w:id="1090"/>
      <w:bookmarkEnd w:id="1091"/>
      <w:r w:rsidRPr="002D2A8F">
        <w:t xml:space="preserve"> </w:t>
      </w:r>
    </w:p>
    <w:p w:rsidRPr="002D2A8F" w:rsidR="008F35E6" w:rsidP="008F35E6" w:rsidRDefault="008F35E6" w14:paraId="24867B5C" w14:textId="77777777">
      <w:pPr>
        <w:pStyle w:val="ListParagraph"/>
        <w:widowControl w:val="0"/>
        <w:ind w:left="630"/>
        <w:rPr>
          <w:rFonts w:ascii="Arial" w:hAnsi="Arial" w:cs="Arial"/>
          <w:b/>
          <w:bCs/>
          <w:sz w:val="20"/>
          <w:szCs w:val="20"/>
        </w:rPr>
      </w:pPr>
    </w:p>
    <w:tbl>
      <w:tblPr>
        <w:tblStyle w:val="TableGrid"/>
        <w:tblW w:w="0" w:type="auto"/>
        <w:tblInd w:w="214" w:type="dxa"/>
        <w:tblLook w:val="04A0" w:firstRow="1" w:lastRow="0" w:firstColumn="1" w:lastColumn="0" w:noHBand="0" w:noVBand="1"/>
      </w:tblPr>
      <w:tblGrid>
        <w:gridCol w:w="4568"/>
        <w:gridCol w:w="4568"/>
      </w:tblGrid>
      <w:tr w:rsidRPr="002D2A8F" w:rsidR="007F6CAE" w14:paraId="1F238DFE" w14:textId="77777777">
        <w:tc>
          <w:tcPr>
            <w:tcW w:w="9136" w:type="dxa"/>
            <w:gridSpan w:val="2"/>
            <w:shd w:val="clear" w:color="auto" w:fill="D9D9D9" w:themeFill="background1" w:themeFillShade="D9"/>
          </w:tcPr>
          <w:p w:rsidRPr="002D2A8F" w:rsidR="007F6CAE" w:rsidRDefault="007F6CAE" w14:paraId="2636CB57" w14:textId="77777777">
            <w:pPr>
              <w:pStyle w:val="Para2"/>
              <w:spacing w:line="240" w:lineRule="auto"/>
              <w:ind w:left="-113" w:firstLine="0"/>
              <w:jc w:val="center"/>
              <w:rPr>
                <w:rFonts w:ascii="Arial" w:hAnsi="Arial" w:cs="Arial"/>
                <w:b/>
                <w:sz w:val="20"/>
              </w:rPr>
            </w:pPr>
            <w:r w:rsidRPr="002D2A8F">
              <w:rPr>
                <w:rFonts w:ascii="Arial" w:hAnsi="Arial" w:cs="Arial"/>
                <w:b/>
                <w:sz w:val="20"/>
              </w:rPr>
              <w:t>Table D-1</w:t>
            </w:r>
          </w:p>
        </w:tc>
      </w:tr>
      <w:tr w:rsidRPr="002D2A8F" w:rsidR="007F6CAE" w14:paraId="005CF07A" w14:textId="77777777">
        <w:tc>
          <w:tcPr>
            <w:tcW w:w="4568" w:type="dxa"/>
          </w:tcPr>
          <w:p w:rsidRPr="002D2A8F" w:rsidR="007F6CAE" w:rsidRDefault="007F6CAE" w14:paraId="320B0465" w14:textId="77777777">
            <w:pPr>
              <w:pStyle w:val="Para2"/>
              <w:spacing w:line="240" w:lineRule="auto"/>
              <w:ind w:left="-113" w:firstLine="0"/>
              <w:jc w:val="center"/>
              <w:rPr>
                <w:rFonts w:ascii="Arial" w:hAnsi="Arial" w:cs="Arial"/>
                <w:b/>
                <w:sz w:val="20"/>
              </w:rPr>
            </w:pPr>
            <w:r w:rsidRPr="002D2A8F">
              <w:rPr>
                <w:rFonts w:ascii="Arial" w:hAnsi="Arial" w:cs="Arial"/>
                <w:b/>
                <w:sz w:val="20"/>
              </w:rPr>
              <w:t>Contract Year</w:t>
            </w:r>
          </w:p>
        </w:tc>
        <w:tc>
          <w:tcPr>
            <w:tcW w:w="4568" w:type="dxa"/>
          </w:tcPr>
          <w:p w:rsidRPr="002D2A8F" w:rsidR="007F6CAE" w:rsidRDefault="007F6CAE" w14:paraId="6BB4563A" w14:textId="77777777">
            <w:pPr>
              <w:pStyle w:val="Para2"/>
              <w:spacing w:line="240" w:lineRule="auto"/>
              <w:ind w:left="-113" w:firstLine="0"/>
              <w:jc w:val="center"/>
              <w:rPr>
                <w:rFonts w:ascii="Arial" w:hAnsi="Arial" w:cs="Arial"/>
                <w:b/>
                <w:sz w:val="20"/>
              </w:rPr>
            </w:pPr>
            <w:r w:rsidRPr="002D2A8F">
              <w:rPr>
                <w:rFonts w:ascii="Arial" w:hAnsi="Arial" w:cs="Arial"/>
                <w:b/>
                <w:sz w:val="20"/>
              </w:rPr>
              <w:t>Annual Energy Forecast (MWh)</w:t>
            </w:r>
          </w:p>
        </w:tc>
      </w:tr>
      <w:tr w:rsidRPr="002D2A8F" w:rsidR="007F6CAE" w14:paraId="14AA137B" w14:textId="77777777">
        <w:tc>
          <w:tcPr>
            <w:tcW w:w="4568" w:type="dxa"/>
          </w:tcPr>
          <w:p w:rsidRPr="002D2A8F" w:rsidR="007F6CAE" w:rsidRDefault="007F6CAE" w14:paraId="0882201C" w14:textId="77777777">
            <w:pPr>
              <w:pStyle w:val="Para2"/>
              <w:spacing w:line="240" w:lineRule="auto"/>
              <w:ind w:left="-113" w:firstLine="0"/>
              <w:jc w:val="center"/>
              <w:rPr>
                <w:rFonts w:ascii="Arial" w:hAnsi="Arial" w:cs="Arial"/>
                <w:sz w:val="20"/>
              </w:rPr>
            </w:pPr>
            <w:r w:rsidRPr="002D2A8F">
              <w:rPr>
                <w:rFonts w:ascii="Arial" w:hAnsi="Arial" w:cs="Arial"/>
                <w:sz w:val="20"/>
              </w:rPr>
              <w:t>1</w:t>
            </w:r>
          </w:p>
        </w:tc>
        <w:tc>
          <w:tcPr>
            <w:tcW w:w="4568" w:type="dxa"/>
          </w:tcPr>
          <w:p w:rsidRPr="002D2A8F" w:rsidR="007F6CAE" w:rsidRDefault="007F6CAE" w14:paraId="031696F6" w14:textId="77777777">
            <w:pPr>
              <w:pStyle w:val="Para2"/>
              <w:spacing w:line="240" w:lineRule="auto"/>
              <w:ind w:left="-113" w:firstLine="0"/>
              <w:jc w:val="center"/>
              <w:rPr>
                <w:rFonts w:ascii="Arial" w:hAnsi="Arial" w:cs="Arial"/>
                <w:sz w:val="20"/>
              </w:rPr>
            </w:pPr>
          </w:p>
        </w:tc>
      </w:tr>
      <w:tr w:rsidRPr="002D2A8F" w:rsidR="007F6CAE" w14:paraId="74A444B2" w14:textId="77777777">
        <w:tc>
          <w:tcPr>
            <w:tcW w:w="4568" w:type="dxa"/>
          </w:tcPr>
          <w:p w:rsidRPr="002D2A8F" w:rsidR="007F6CAE" w:rsidRDefault="007F6CAE" w14:paraId="5BBA2224" w14:textId="77777777">
            <w:pPr>
              <w:pStyle w:val="Para2"/>
              <w:spacing w:line="240" w:lineRule="auto"/>
              <w:ind w:left="-113" w:firstLine="0"/>
              <w:jc w:val="center"/>
              <w:rPr>
                <w:rFonts w:ascii="Arial" w:hAnsi="Arial" w:cs="Arial"/>
                <w:sz w:val="20"/>
              </w:rPr>
            </w:pPr>
            <w:r w:rsidRPr="002D2A8F">
              <w:rPr>
                <w:rFonts w:ascii="Arial" w:hAnsi="Arial" w:cs="Arial"/>
                <w:sz w:val="20"/>
              </w:rPr>
              <w:t>2</w:t>
            </w:r>
          </w:p>
        </w:tc>
        <w:tc>
          <w:tcPr>
            <w:tcW w:w="4568" w:type="dxa"/>
          </w:tcPr>
          <w:p w:rsidRPr="002D2A8F" w:rsidR="007F6CAE" w:rsidRDefault="007F6CAE" w14:paraId="0EBC9B73" w14:textId="77777777">
            <w:pPr>
              <w:pStyle w:val="Para2"/>
              <w:spacing w:line="240" w:lineRule="auto"/>
              <w:ind w:left="-113" w:firstLine="0"/>
              <w:jc w:val="center"/>
              <w:rPr>
                <w:rFonts w:ascii="Arial" w:hAnsi="Arial" w:cs="Arial"/>
                <w:sz w:val="20"/>
              </w:rPr>
            </w:pPr>
          </w:p>
        </w:tc>
      </w:tr>
      <w:tr w:rsidRPr="002D2A8F" w:rsidR="007F6CAE" w14:paraId="653B2C4E" w14:textId="77777777">
        <w:tc>
          <w:tcPr>
            <w:tcW w:w="4568" w:type="dxa"/>
          </w:tcPr>
          <w:p w:rsidRPr="002D2A8F" w:rsidR="007F6CAE" w:rsidRDefault="007F6CAE" w14:paraId="5CEC4A29" w14:textId="77777777">
            <w:pPr>
              <w:pStyle w:val="Para2"/>
              <w:spacing w:line="240" w:lineRule="auto"/>
              <w:ind w:left="-113" w:firstLine="0"/>
              <w:jc w:val="center"/>
              <w:rPr>
                <w:rFonts w:ascii="Arial" w:hAnsi="Arial" w:cs="Arial"/>
                <w:sz w:val="20"/>
              </w:rPr>
            </w:pPr>
            <w:r w:rsidRPr="002D2A8F">
              <w:rPr>
                <w:rFonts w:ascii="Arial" w:hAnsi="Arial" w:cs="Arial"/>
                <w:sz w:val="20"/>
              </w:rPr>
              <w:t>3</w:t>
            </w:r>
          </w:p>
        </w:tc>
        <w:tc>
          <w:tcPr>
            <w:tcW w:w="4568" w:type="dxa"/>
          </w:tcPr>
          <w:p w:rsidRPr="002D2A8F" w:rsidR="007F6CAE" w:rsidRDefault="007F6CAE" w14:paraId="6FE5FD81" w14:textId="77777777">
            <w:pPr>
              <w:pStyle w:val="Para2"/>
              <w:spacing w:line="240" w:lineRule="auto"/>
              <w:ind w:left="-113" w:firstLine="0"/>
              <w:jc w:val="center"/>
              <w:rPr>
                <w:rFonts w:ascii="Arial" w:hAnsi="Arial" w:cs="Arial"/>
                <w:sz w:val="20"/>
              </w:rPr>
            </w:pPr>
          </w:p>
        </w:tc>
      </w:tr>
      <w:tr w:rsidRPr="002D2A8F" w:rsidR="007F6CAE" w14:paraId="5BBC4DA8" w14:textId="77777777">
        <w:tc>
          <w:tcPr>
            <w:tcW w:w="4568" w:type="dxa"/>
          </w:tcPr>
          <w:p w:rsidRPr="002D2A8F" w:rsidR="007F6CAE" w:rsidRDefault="007F6CAE" w14:paraId="2A1FA2A6" w14:textId="77777777">
            <w:pPr>
              <w:pStyle w:val="Para2"/>
              <w:spacing w:line="240" w:lineRule="auto"/>
              <w:ind w:left="-113" w:firstLine="0"/>
              <w:jc w:val="center"/>
              <w:rPr>
                <w:rFonts w:ascii="Arial" w:hAnsi="Arial" w:cs="Arial"/>
                <w:sz w:val="20"/>
              </w:rPr>
            </w:pPr>
            <w:r w:rsidRPr="002D2A8F">
              <w:rPr>
                <w:rFonts w:ascii="Arial" w:hAnsi="Arial" w:cs="Arial"/>
                <w:sz w:val="20"/>
              </w:rPr>
              <w:t>4</w:t>
            </w:r>
          </w:p>
        </w:tc>
        <w:tc>
          <w:tcPr>
            <w:tcW w:w="4568" w:type="dxa"/>
          </w:tcPr>
          <w:p w:rsidRPr="002D2A8F" w:rsidR="007F6CAE" w:rsidRDefault="007F6CAE" w14:paraId="1AAF8CE1" w14:textId="77777777">
            <w:pPr>
              <w:pStyle w:val="Para2"/>
              <w:spacing w:line="240" w:lineRule="auto"/>
              <w:ind w:left="-113" w:firstLine="0"/>
              <w:jc w:val="center"/>
              <w:rPr>
                <w:rFonts w:ascii="Arial" w:hAnsi="Arial" w:cs="Arial"/>
                <w:sz w:val="20"/>
              </w:rPr>
            </w:pPr>
          </w:p>
        </w:tc>
      </w:tr>
      <w:tr w:rsidRPr="002D2A8F" w:rsidR="007F6CAE" w14:paraId="1A75891D" w14:textId="77777777">
        <w:tc>
          <w:tcPr>
            <w:tcW w:w="4568" w:type="dxa"/>
          </w:tcPr>
          <w:p w:rsidRPr="002D2A8F" w:rsidR="007F6CAE" w:rsidRDefault="007F6CAE" w14:paraId="61FC0F87" w14:textId="77777777">
            <w:pPr>
              <w:pStyle w:val="Para2"/>
              <w:spacing w:line="240" w:lineRule="auto"/>
              <w:ind w:left="-113" w:firstLine="0"/>
              <w:jc w:val="center"/>
              <w:rPr>
                <w:rFonts w:ascii="Arial" w:hAnsi="Arial" w:cs="Arial"/>
                <w:sz w:val="20"/>
              </w:rPr>
            </w:pPr>
            <w:r w:rsidRPr="002D2A8F">
              <w:rPr>
                <w:rFonts w:ascii="Arial" w:hAnsi="Arial" w:cs="Arial"/>
                <w:sz w:val="20"/>
              </w:rPr>
              <w:t>5</w:t>
            </w:r>
          </w:p>
        </w:tc>
        <w:tc>
          <w:tcPr>
            <w:tcW w:w="4568" w:type="dxa"/>
          </w:tcPr>
          <w:p w:rsidRPr="002D2A8F" w:rsidR="007F6CAE" w:rsidRDefault="007F6CAE" w14:paraId="1DECA4A8" w14:textId="77777777">
            <w:pPr>
              <w:pStyle w:val="Para2"/>
              <w:spacing w:line="240" w:lineRule="auto"/>
              <w:ind w:left="-113" w:firstLine="0"/>
              <w:jc w:val="center"/>
              <w:rPr>
                <w:rFonts w:ascii="Arial" w:hAnsi="Arial" w:cs="Arial"/>
                <w:sz w:val="20"/>
              </w:rPr>
            </w:pPr>
          </w:p>
        </w:tc>
      </w:tr>
      <w:tr w:rsidRPr="002D2A8F" w:rsidR="007F6CAE" w14:paraId="479E39E6" w14:textId="77777777">
        <w:tc>
          <w:tcPr>
            <w:tcW w:w="4568" w:type="dxa"/>
          </w:tcPr>
          <w:p w:rsidRPr="002D2A8F" w:rsidR="007F6CAE" w:rsidRDefault="007F6CAE" w14:paraId="2A19ED56" w14:textId="77777777">
            <w:pPr>
              <w:pStyle w:val="Para2"/>
              <w:spacing w:line="240" w:lineRule="auto"/>
              <w:ind w:left="-113" w:firstLine="0"/>
              <w:jc w:val="center"/>
              <w:rPr>
                <w:rFonts w:ascii="Arial" w:hAnsi="Arial" w:cs="Arial"/>
                <w:sz w:val="20"/>
              </w:rPr>
            </w:pPr>
            <w:r w:rsidRPr="002D2A8F">
              <w:rPr>
                <w:rFonts w:ascii="Arial" w:hAnsi="Arial" w:cs="Arial"/>
                <w:sz w:val="20"/>
              </w:rPr>
              <w:t>6</w:t>
            </w:r>
          </w:p>
        </w:tc>
        <w:tc>
          <w:tcPr>
            <w:tcW w:w="4568" w:type="dxa"/>
          </w:tcPr>
          <w:p w:rsidRPr="002D2A8F" w:rsidR="007F6CAE" w:rsidRDefault="007F6CAE" w14:paraId="3FB2C0E0" w14:textId="77777777">
            <w:pPr>
              <w:pStyle w:val="Para2"/>
              <w:spacing w:line="240" w:lineRule="auto"/>
              <w:ind w:left="-113" w:firstLine="0"/>
              <w:jc w:val="center"/>
              <w:rPr>
                <w:rFonts w:ascii="Arial" w:hAnsi="Arial" w:cs="Arial"/>
                <w:sz w:val="20"/>
              </w:rPr>
            </w:pPr>
          </w:p>
        </w:tc>
      </w:tr>
      <w:tr w:rsidRPr="002D2A8F" w:rsidR="007F6CAE" w14:paraId="06C9736C" w14:textId="77777777">
        <w:tc>
          <w:tcPr>
            <w:tcW w:w="4568" w:type="dxa"/>
          </w:tcPr>
          <w:p w:rsidRPr="002D2A8F" w:rsidR="007F6CAE" w:rsidRDefault="007F6CAE" w14:paraId="1C20154F" w14:textId="77777777">
            <w:pPr>
              <w:pStyle w:val="Para2"/>
              <w:spacing w:line="240" w:lineRule="auto"/>
              <w:ind w:left="-113" w:firstLine="0"/>
              <w:jc w:val="center"/>
              <w:rPr>
                <w:rFonts w:ascii="Arial" w:hAnsi="Arial" w:cs="Arial"/>
                <w:sz w:val="20"/>
              </w:rPr>
            </w:pPr>
            <w:r w:rsidRPr="002D2A8F">
              <w:rPr>
                <w:rFonts w:ascii="Arial" w:hAnsi="Arial" w:cs="Arial"/>
                <w:sz w:val="20"/>
              </w:rPr>
              <w:t>7</w:t>
            </w:r>
          </w:p>
        </w:tc>
        <w:tc>
          <w:tcPr>
            <w:tcW w:w="4568" w:type="dxa"/>
          </w:tcPr>
          <w:p w:rsidRPr="002D2A8F" w:rsidR="007F6CAE" w:rsidRDefault="007F6CAE" w14:paraId="15DE28A1" w14:textId="77777777">
            <w:pPr>
              <w:pStyle w:val="Para2"/>
              <w:spacing w:line="240" w:lineRule="auto"/>
              <w:ind w:left="-113" w:firstLine="0"/>
              <w:jc w:val="center"/>
              <w:rPr>
                <w:rFonts w:ascii="Arial" w:hAnsi="Arial" w:cs="Arial"/>
                <w:sz w:val="20"/>
              </w:rPr>
            </w:pPr>
          </w:p>
        </w:tc>
      </w:tr>
      <w:tr w:rsidRPr="002D2A8F" w:rsidR="007F6CAE" w14:paraId="30D80F0B" w14:textId="77777777">
        <w:tc>
          <w:tcPr>
            <w:tcW w:w="4568" w:type="dxa"/>
          </w:tcPr>
          <w:p w:rsidRPr="002D2A8F" w:rsidR="007F6CAE" w:rsidRDefault="007F6CAE" w14:paraId="795D9BEC" w14:textId="77777777">
            <w:pPr>
              <w:pStyle w:val="Para2"/>
              <w:spacing w:line="240" w:lineRule="auto"/>
              <w:ind w:left="-113" w:firstLine="0"/>
              <w:jc w:val="center"/>
              <w:rPr>
                <w:rFonts w:ascii="Arial" w:hAnsi="Arial" w:cs="Arial"/>
                <w:sz w:val="20"/>
              </w:rPr>
            </w:pPr>
            <w:r w:rsidRPr="002D2A8F">
              <w:rPr>
                <w:rFonts w:ascii="Arial" w:hAnsi="Arial" w:cs="Arial"/>
                <w:sz w:val="20"/>
              </w:rPr>
              <w:t>8</w:t>
            </w:r>
          </w:p>
        </w:tc>
        <w:tc>
          <w:tcPr>
            <w:tcW w:w="4568" w:type="dxa"/>
          </w:tcPr>
          <w:p w:rsidRPr="002D2A8F" w:rsidR="007F6CAE" w:rsidRDefault="007F6CAE" w14:paraId="17339496" w14:textId="77777777">
            <w:pPr>
              <w:pStyle w:val="Para2"/>
              <w:spacing w:line="240" w:lineRule="auto"/>
              <w:ind w:left="-113" w:firstLine="0"/>
              <w:jc w:val="center"/>
              <w:rPr>
                <w:rFonts w:ascii="Arial" w:hAnsi="Arial" w:cs="Arial"/>
                <w:sz w:val="20"/>
              </w:rPr>
            </w:pPr>
          </w:p>
        </w:tc>
      </w:tr>
      <w:tr w:rsidRPr="002D2A8F" w:rsidR="007F6CAE" w14:paraId="0E804432" w14:textId="77777777">
        <w:tc>
          <w:tcPr>
            <w:tcW w:w="4568" w:type="dxa"/>
          </w:tcPr>
          <w:p w:rsidRPr="002D2A8F" w:rsidR="007F6CAE" w:rsidRDefault="007F6CAE" w14:paraId="6BC5D696" w14:textId="77777777">
            <w:pPr>
              <w:pStyle w:val="Para2"/>
              <w:spacing w:line="240" w:lineRule="auto"/>
              <w:ind w:left="-113" w:firstLine="0"/>
              <w:jc w:val="center"/>
              <w:rPr>
                <w:rFonts w:ascii="Arial" w:hAnsi="Arial" w:cs="Arial"/>
                <w:sz w:val="20"/>
              </w:rPr>
            </w:pPr>
            <w:r w:rsidRPr="002D2A8F">
              <w:rPr>
                <w:rFonts w:ascii="Arial" w:hAnsi="Arial" w:cs="Arial"/>
                <w:sz w:val="20"/>
              </w:rPr>
              <w:t>9</w:t>
            </w:r>
          </w:p>
        </w:tc>
        <w:tc>
          <w:tcPr>
            <w:tcW w:w="4568" w:type="dxa"/>
          </w:tcPr>
          <w:p w:rsidRPr="002D2A8F" w:rsidR="007F6CAE" w:rsidRDefault="007F6CAE" w14:paraId="1FC61E2C" w14:textId="77777777">
            <w:pPr>
              <w:pStyle w:val="Para2"/>
              <w:spacing w:line="240" w:lineRule="auto"/>
              <w:ind w:left="-113" w:firstLine="0"/>
              <w:jc w:val="center"/>
              <w:rPr>
                <w:rFonts w:ascii="Arial" w:hAnsi="Arial" w:cs="Arial"/>
                <w:sz w:val="20"/>
              </w:rPr>
            </w:pPr>
          </w:p>
        </w:tc>
      </w:tr>
      <w:tr w:rsidRPr="002D2A8F" w:rsidR="007F6CAE" w14:paraId="4A1AB599" w14:textId="77777777">
        <w:tc>
          <w:tcPr>
            <w:tcW w:w="4568" w:type="dxa"/>
          </w:tcPr>
          <w:p w:rsidRPr="002D2A8F" w:rsidR="007F6CAE" w:rsidRDefault="007F6CAE" w14:paraId="69C4ED35" w14:textId="77777777">
            <w:pPr>
              <w:pStyle w:val="Para2"/>
              <w:spacing w:line="240" w:lineRule="auto"/>
              <w:ind w:left="-113" w:firstLine="0"/>
              <w:jc w:val="center"/>
              <w:rPr>
                <w:rFonts w:ascii="Arial" w:hAnsi="Arial" w:cs="Arial"/>
                <w:sz w:val="20"/>
              </w:rPr>
            </w:pPr>
            <w:r w:rsidRPr="002D2A8F">
              <w:rPr>
                <w:rFonts w:ascii="Arial" w:hAnsi="Arial" w:cs="Arial"/>
                <w:sz w:val="20"/>
              </w:rPr>
              <w:t>10</w:t>
            </w:r>
          </w:p>
        </w:tc>
        <w:tc>
          <w:tcPr>
            <w:tcW w:w="4568" w:type="dxa"/>
          </w:tcPr>
          <w:p w:rsidRPr="002D2A8F" w:rsidR="007F6CAE" w:rsidRDefault="007F6CAE" w14:paraId="42CCE930" w14:textId="77777777">
            <w:pPr>
              <w:pStyle w:val="Para2"/>
              <w:spacing w:line="240" w:lineRule="auto"/>
              <w:ind w:left="-113" w:firstLine="0"/>
              <w:jc w:val="center"/>
              <w:rPr>
                <w:rFonts w:ascii="Arial" w:hAnsi="Arial" w:cs="Arial"/>
                <w:sz w:val="20"/>
              </w:rPr>
            </w:pPr>
            <w:r w:rsidRPr="002D2A8F">
              <w:rPr>
                <w:rFonts w:ascii="Arial" w:hAnsi="Arial" w:cs="Arial"/>
                <w:color w:val="FF0000"/>
                <w:sz w:val="20"/>
              </w:rPr>
              <w:t>Add rows as needed</w:t>
            </w:r>
          </w:p>
        </w:tc>
      </w:tr>
    </w:tbl>
    <w:p w:rsidRPr="002D2A8F" w:rsidR="007F6CAE" w:rsidP="007F6CAE" w:rsidRDefault="007F6CAE" w14:paraId="7DB57C47" w14:textId="77777777">
      <w:pPr>
        <w:pStyle w:val="paragraph"/>
        <w:widowControl w:val="0"/>
        <w:spacing w:before="0" w:beforeAutospacing="0" w:after="0" w:afterAutospacing="0"/>
        <w:jc w:val="both"/>
        <w:textAlignment w:val="baseline"/>
        <w:rPr>
          <w:rStyle w:val="normaltextrun"/>
          <w:rFonts w:ascii="Arial" w:hAnsi="Arial" w:cs="Arial" w:eastAsiaTheme="majorEastAsia"/>
        </w:rPr>
      </w:pPr>
    </w:p>
    <w:p w:rsidRPr="002D2A8F" w:rsidR="007F6CAE" w:rsidP="00143C01" w:rsidRDefault="007F6CAE" w14:paraId="366DBDDC" w14:textId="25A83D23">
      <w:pPr>
        <w:pStyle w:val="paragraph"/>
        <w:widowControl w:val="0"/>
        <w:spacing w:before="0" w:beforeAutospacing="0" w:after="0" w:afterAutospacing="0"/>
        <w:ind w:left="270"/>
        <w:jc w:val="both"/>
        <w:textAlignment w:val="baseline"/>
        <w:rPr>
          <w:rStyle w:val="normaltextrun"/>
          <w:rFonts w:ascii="Arial" w:hAnsi="Arial" w:cs="Arial" w:eastAsiaTheme="majorEastAsia"/>
          <w:sz w:val="20"/>
          <w:szCs w:val="20"/>
        </w:rPr>
      </w:pPr>
      <w:r w:rsidRPr="002D2A8F">
        <w:rPr>
          <w:rStyle w:val="normaltextrun"/>
          <w:rFonts w:ascii="Arial" w:hAnsi="Arial" w:cs="Arial" w:eastAsiaTheme="majorEastAsia"/>
          <w:sz w:val="20"/>
          <w:szCs w:val="20"/>
        </w:rPr>
        <w:t xml:space="preserve">This data will constitute Seller’s binding forecast of energy that must be produced by the Renewable Resource and will be used to calculate the Annual Energy Performance True-up. </w:t>
      </w:r>
      <w:r w:rsidRPr="004A7BE4">
        <w:rPr>
          <w:rStyle w:val="normaltextrun"/>
          <w:rFonts w:ascii="Arial" w:hAnsi="Arial" w:cs="Arial" w:eastAsiaTheme="majorEastAsia"/>
          <w:b/>
          <w:bCs/>
          <w:sz w:val="20"/>
          <w:szCs w:val="20"/>
          <w:highlight w:val="cyan"/>
        </w:rPr>
        <w:t>[</w:t>
      </w:r>
      <w:r w:rsidRPr="004A7BE4">
        <w:rPr>
          <w:rStyle w:val="normaltextrun"/>
          <w:rFonts w:ascii="Arial" w:hAnsi="Arial" w:cs="Arial" w:eastAsiaTheme="majorEastAsia"/>
          <w:b/>
          <w:bCs/>
          <w:i/>
          <w:iCs/>
          <w:sz w:val="20"/>
          <w:szCs w:val="20"/>
          <w:highlight w:val="cyan"/>
          <w:u w:val="single"/>
        </w:rPr>
        <w:t>Note to Bidder</w:t>
      </w:r>
      <w:r w:rsidRPr="004A7BE4" w:rsidR="004A7BE4">
        <w:rPr>
          <w:rStyle w:val="normaltextrun"/>
          <w:rFonts w:ascii="Arial" w:hAnsi="Arial" w:cs="Arial" w:eastAsiaTheme="majorEastAsia"/>
          <w:b/>
          <w:bCs/>
          <w:i/>
          <w:iCs/>
          <w:sz w:val="20"/>
          <w:szCs w:val="20"/>
          <w:highlight w:val="cyan"/>
          <w:u w:val="single"/>
        </w:rPr>
        <w:t>s</w:t>
      </w:r>
      <w:r w:rsidRPr="004A7BE4">
        <w:rPr>
          <w:rStyle w:val="normaltextrun"/>
          <w:rFonts w:ascii="Arial" w:hAnsi="Arial" w:cs="Arial" w:eastAsiaTheme="majorEastAsia"/>
          <w:b/>
          <w:bCs/>
          <w:i/>
          <w:iCs/>
          <w:sz w:val="20"/>
          <w:szCs w:val="20"/>
          <w:highlight w:val="cyan"/>
        </w:rPr>
        <w:t>: As part of its Bid, Bidder must provide details on the modeling used to develop this forecast.</w:t>
      </w:r>
      <w:r w:rsidRPr="004A7BE4">
        <w:rPr>
          <w:rStyle w:val="normaltextrun"/>
          <w:rFonts w:ascii="Arial" w:hAnsi="Arial" w:cs="Arial" w:eastAsiaTheme="majorEastAsia"/>
          <w:b/>
          <w:bCs/>
          <w:sz w:val="20"/>
          <w:szCs w:val="20"/>
          <w:highlight w:val="cyan"/>
        </w:rPr>
        <w:t>]</w:t>
      </w:r>
    </w:p>
    <w:p w:rsidR="00704E3A" w:rsidRDefault="00143C01" w14:paraId="298B2381" w14:textId="77777777">
      <w:pPr>
        <w:rPr>
          <w:rFonts w:ascii="Arial" w:hAnsi="Arial" w:cs="Arial"/>
        </w:rPr>
        <w:sectPr w:rsidR="00704E3A" w:rsidSect="003B614F">
          <w:pgSz w:w="12240" w:h="15840" w:code="1"/>
          <w:pgMar w:top="1440" w:right="1440" w:bottom="1440" w:left="1440" w:header="720" w:footer="720" w:gutter="0"/>
          <w:paperSrc w:first="15" w:other="15"/>
          <w:cols w:space="1440"/>
        </w:sectPr>
      </w:pPr>
      <w:r w:rsidRPr="002D2A8F">
        <w:rPr>
          <w:rFonts w:ascii="Arial" w:hAnsi="Arial" w:cs="Arial"/>
        </w:rPr>
        <w:br w:type="page"/>
      </w:r>
    </w:p>
    <w:p w:rsidRPr="002D2A8F" w:rsidR="002D54C4" w:rsidP="007F6CAE" w:rsidRDefault="002D54C4" w14:paraId="27DBA8B1" w14:textId="77777777">
      <w:pPr>
        <w:pStyle w:val="zGNormal"/>
        <w:ind w:left="1170"/>
      </w:pPr>
    </w:p>
    <w:p w:rsidRPr="002D2A8F" w:rsidR="002D54C4" w:rsidP="002D54C4" w:rsidRDefault="002D54C4" w14:paraId="149839BA" w14:textId="77777777">
      <w:pPr>
        <w:pStyle w:val="zGTitleExhibit"/>
        <w:rPr>
          <w:rFonts w:cs="Arial"/>
        </w:rPr>
      </w:pPr>
      <w:bookmarkStart w:name="_Toc169778720" w:id="1092"/>
      <w:bookmarkStart w:name="_Toc227451485" w:id="1093"/>
      <w:r w:rsidRPr="002D2A8F">
        <w:rPr>
          <w:rFonts w:cs="Arial"/>
        </w:rPr>
        <w:t>Exhibit e – Performance Testing Procedures</w:t>
      </w:r>
      <w:bookmarkEnd w:id="1092"/>
      <w:bookmarkEnd w:id="1093"/>
      <w:r w:rsidRPr="002D2A8F">
        <w:rPr>
          <w:rFonts w:cs="Arial"/>
        </w:rPr>
        <w:t xml:space="preserve"> </w:t>
      </w:r>
    </w:p>
    <w:p w:rsidRPr="001657A8" w:rsidR="001657A8" w:rsidP="00D94D93" w:rsidRDefault="00452909" w14:paraId="7BE716EB" w14:textId="32ABB526">
      <w:pPr>
        <w:pStyle w:val="zGBody1"/>
        <w:numPr>
          <w:ilvl w:val="0"/>
          <w:numId w:val="24"/>
        </w:numPr>
      </w:pPr>
      <w:r>
        <w:t>performance testing summary</w:t>
      </w:r>
    </w:p>
    <w:p w:rsidRPr="00782845" w:rsidR="0013208A" w:rsidP="006B4F6B" w:rsidRDefault="0013208A" w14:paraId="19BA4B3F" w14:textId="27DCDE0D">
      <w:pPr>
        <w:pStyle w:val="zGBody2"/>
        <w:numPr>
          <w:ilvl w:val="1"/>
          <w:numId w:val="59"/>
        </w:numPr>
        <w:rPr>
          <w:vanish/>
          <w:specVanish/>
        </w:rPr>
      </w:pPr>
      <w:r>
        <w:t>Performance Testing Duration.</w:t>
      </w:r>
    </w:p>
    <w:p w:rsidR="00115801" w:rsidP="0013208A" w:rsidRDefault="0013208A" w14:paraId="50F729B4" w14:textId="7EB7E4DE">
      <w:pPr>
        <w:pStyle w:val="zGBody3"/>
      </w:pPr>
      <w:r>
        <w:t xml:space="preserve"> </w:t>
      </w:r>
      <w:r w:rsidR="00115801">
        <w:t>Performance Testing</w:t>
      </w:r>
      <w:r w:rsidRPr="001225D2" w:rsidR="00115801">
        <w:t xml:space="preserve"> will consist of </w:t>
      </w:r>
      <w:r w:rsidR="00AD5BBA">
        <w:t>two</w:t>
      </w:r>
      <w:r w:rsidRPr="001225D2" w:rsidR="00115801">
        <w:t xml:space="preserve"> full Cycles carried out within </w:t>
      </w:r>
      <w:r w:rsidR="00115801">
        <w:t>five</w:t>
      </w:r>
      <w:r w:rsidRPr="001225D2" w:rsidR="00115801">
        <w:t xml:space="preserve"> Days after </w:t>
      </w:r>
      <w:r w:rsidR="00115801">
        <w:t>Performance Testing begins</w:t>
      </w:r>
      <w:r w:rsidRPr="001225D2" w:rsidR="00115801">
        <w:t xml:space="preserve">. Results of the test </w:t>
      </w:r>
      <w:r w:rsidR="00115801">
        <w:t>must</w:t>
      </w:r>
      <w:r w:rsidRPr="001225D2" w:rsidR="00115801">
        <w:t xml:space="preserve"> be calculated for each Cycle and then averaged over the </w:t>
      </w:r>
      <w:r w:rsidR="000A514D">
        <w:t>two</w:t>
      </w:r>
      <w:r w:rsidRPr="001225D2" w:rsidR="00115801">
        <w:t xml:space="preserve"> Cycles.  Each parameter must meet or exceed</w:t>
      </w:r>
      <w:r w:rsidR="00115801">
        <w:t xml:space="preserve"> </w:t>
      </w:r>
      <w:r w:rsidRPr="00E877FE" w:rsidR="00115801">
        <w:t xml:space="preserve">the guarantee. The </w:t>
      </w:r>
      <w:r w:rsidR="00F90220">
        <w:t>B</w:t>
      </w:r>
      <w:r w:rsidRPr="00E877FE" w:rsidR="00115801">
        <w:t xml:space="preserve">ESS must be able to maintain constant power at the POI for the duration of the charge and discharge. A charge Cycle starts when the output at the POI is equal to or greater than 98% of the ROC. The </w:t>
      </w:r>
      <w:r w:rsidR="00F90220">
        <w:t>B</w:t>
      </w:r>
      <w:r w:rsidRPr="00E877FE" w:rsidR="00115801">
        <w:t>ESS must maintain constant power at the POI for the duration of the charge Cycle.</w:t>
      </w:r>
    </w:p>
    <w:p w:rsidRPr="00782845" w:rsidR="002C3447" w:rsidP="006B4F6B" w:rsidRDefault="002C3447" w14:paraId="520C90A1" w14:textId="77777777">
      <w:pPr>
        <w:pStyle w:val="zGBody2"/>
        <w:numPr>
          <w:ilvl w:val="1"/>
          <w:numId w:val="59"/>
        </w:numPr>
        <w:rPr>
          <w:vanish/>
          <w:specVanish/>
        </w:rPr>
      </w:pPr>
      <w:r>
        <w:t>Charge/Discharge Cycles.</w:t>
      </w:r>
    </w:p>
    <w:p w:rsidRPr="001225D2" w:rsidR="00115801" w:rsidP="002C3447" w:rsidRDefault="002C3447" w14:paraId="3507B84E" w14:textId="489DBFCB">
      <w:pPr>
        <w:pStyle w:val="zGBody3"/>
      </w:pPr>
      <w:r>
        <w:t xml:space="preserve"> </w:t>
      </w:r>
      <w:r w:rsidRPr="001225D2" w:rsidR="00115801">
        <w:t xml:space="preserve">The output </w:t>
      </w:r>
      <w:r w:rsidR="0026359F">
        <w:t>must</w:t>
      </w:r>
      <w:r w:rsidRPr="001225D2" w:rsidR="0026359F">
        <w:t xml:space="preserve"> </w:t>
      </w:r>
      <w:r w:rsidRPr="001225D2" w:rsidR="00115801">
        <w:t xml:space="preserve">not deviate </w:t>
      </w:r>
      <w:r w:rsidR="00DB0CFB">
        <w:t xml:space="preserve">more </w:t>
      </w:r>
      <w:r w:rsidRPr="00EF2081" w:rsidR="00DB0CFB">
        <w:t xml:space="preserve">than </w:t>
      </w:r>
      <w:r w:rsidR="00604FE5">
        <w:t>2%</w:t>
      </w:r>
      <w:r w:rsidRPr="00EF2081" w:rsidR="00DB0CFB">
        <w:t xml:space="preserve"> </w:t>
      </w:r>
      <w:r w:rsidRPr="001225D2" w:rsidR="00115801">
        <w:t xml:space="preserve">from </w:t>
      </w:r>
      <w:r w:rsidR="00115801">
        <w:t>ROC</w:t>
      </w:r>
      <w:r w:rsidRPr="001225D2" w:rsidR="00115801">
        <w:t xml:space="preserve">. The charge Cycle ends when the </w:t>
      </w:r>
      <w:r w:rsidR="00F90220">
        <w:t>B</w:t>
      </w:r>
      <w:r w:rsidRPr="001225D2" w:rsidR="00115801">
        <w:t xml:space="preserve">ESS reaches </w:t>
      </w:r>
      <w:r w:rsidR="00115801">
        <w:t>100% of SDOE</w:t>
      </w:r>
      <w:r w:rsidRPr="001225D2" w:rsidR="00115801">
        <w:t xml:space="preserve"> or output at the POI drops below 98% of </w:t>
      </w:r>
      <w:r w:rsidRPr="008460BE" w:rsidR="00115801">
        <w:t>ROC</w:t>
      </w:r>
      <w:r w:rsidRPr="001225D2" w:rsidR="00115801">
        <w:t xml:space="preserve"> for </w:t>
      </w:r>
      <w:r w:rsidR="00115801">
        <w:t>two</w:t>
      </w:r>
      <w:r w:rsidRPr="001225D2" w:rsidR="00115801">
        <w:t xml:space="preserve"> minutes.  None of the energy below 98% of </w:t>
      </w:r>
      <w:r w:rsidR="00115801">
        <w:t>ROC</w:t>
      </w:r>
      <w:r w:rsidRPr="001225D2" w:rsidR="00115801">
        <w:t xml:space="preserve"> will be included in the </w:t>
      </w:r>
      <w:r w:rsidR="00115801">
        <w:t>Performance Testing</w:t>
      </w:r>
      <w:r w:rsidRPr="001225D2" w:rsidR="00115801">
        <w:t xml:space="preserve"> calculation</w:t>
      </w:r>
      <w:r w:rsidR="00115801">
        <w:t>s</w:t>
      </w:r>
      <w:r w:rsidRPr="001225D2" w:rsidR="00115801">
        <w:t xml:space="preserve">. The </w:t>
      </w:r>
      <w:r w:rsidR="00F90220">
        <w:t>B</w:t>
      </w:r>
      <w:r w:rsidRPr="001225D2" w:rsidR="00115801">
        <w:t xml:space="preserve">ESS will rest for 30 minutes between the end of the charge Cycle and start of the discharge Cycle. The discharge Cycle will start when output at the POI is at least 98% of the SDDC. The output at the POI should not deviate more than </w:t>
      </w:r>
      <w:r w:rsidR="00E261CA">
        <w:t>2</w:t>
      </w:r>
      <w:r w:rsidRPr="001225D2" w:rsidR="00115801">
        <w:t xml:space="preserve">% from the SDDC during the discharge cycle. The discharge </w:t>
      </w:r>
      <w:r w:rsidR="00115801">
        <w:t>C</w:t>
      </w:r>
      <w:r w:rsidRPr="001225D2" w:rsidR="00115801">
        <w:t xml:space="preserve">ycle ends when the </w:t>
      </w:r>
      <w:r w:rsidR="00F90220">
        <w:t>B</w:t>
      </w:r>
      <w:r w:rsidRPr="001225D2" w:rsidR="00115801">
        <w:t xml:space="preserve">ESS reaches </w:t>
      </w:r>
      <w:r w:rsidR="00D75F68">
        <w:t>zero</w:t>
      </w:r>
      <w:r w:rsidR="00E261CA">
        <w:t xml:space="preserve"> </w:t>
      </w:r>
      <w:r w:rsidR="00115801">
        <w:t>% of SDOE</w:t>
      </w:r>
      <w:r w:rsidRPr="001225D2" w:rsidR="00115801">
        <w:t xml:space="preserve"> or the output at the POI drops below 98% of SD</w:t>
      </w:r>
      <w:r w:rsidR="00115801">
        <w:t>D</w:t>
      </w:r>
      <w:r w:rsidRPr="001225D2" w:rsidR="00115801">
        <w:t xml:space="preserve">C for </w:t>
      </w:r>
      <w:r w:rsidR="00115801">
        <w:t>two</w:t>
      </w:r>
      <w:r w:rsidRPr="001225D2" w:rsidR="00115801">
        <w:t xml:space="preserve"> minutes. None of the energy below 98% of the SDDC will be included in the </w:t>
      </w:r>
      <w:r w:rsidR="00115801">
        <w:t xml:space="preserve">Performance Testing </w:t>
      </w:r>
      <w:r w:rsidRPr="001225D2" w:rsidR="00115801">
        <w:t>calculation</w:t>
      </w:r>
      <w:r w:rsidR="00115801">
        <w:t>s</w:t>
      </w:r>
      <w:r w:rsidRPr="001225D2" w:rsidR="00115801">
        <w:t xml:space="preserve">. The </w:t>
      </w:r>
      <w:r w:rsidR="00F90220">
        <w:t>B</w:t>
      </w:r>
      <w:r w:rsidRPr="001225D2" w:rsidR="00115801">
        <w:t xml:space="preserve">ESS </w:t>
      </w:r>
      <w:r w:rsidR="00115801">
        <w:t>may</w:t>
      </w:r>
      <w:r w:rsidRPr="001225D2" w:rsidR="00115801">
        <w:t xml:space="preserve"> rest and then be charged to a suitable SOC to rest overnight for the next </w:t>
      </w:r>
      <w:r w:rsidR="00115801">
        <w:t>C</w:t>
      </w:r>
      <w:r w:rsidRPr="001225D2" w:rsidR="00115801">
        <w:t xml:space="preserve">ycle the following </w:t>
      </w:r>
      <w:r w:rsidR="00115801">
        <w:t>D</w:t>
      </w:r>
      <w:r w:rsidRPr="001225D2" w:rsidR="00115801">
        <w:t xml:space="preserve">ay. All relevant data points must be recorded in </w:t>
      </w:r>
      <w:r w:rsidR="000554EF">
        <w:t>one</w:t>
      </w:r>
      <w:r w:rsidRPr="001225D2" w:rsidR="00115801">
        <w:t xml:space="preserve">-minute increments and the raw data </w:t>
      </w:r>
      <w:r w:rsidR="00115801">
        <w:t xml:space="preserve">must </w:t>
      </w:r>
      <w:r w:rsidRPr="001225D2" w:rsidR="00115801">
        <w:t xml:space="preserve">be made available </w:t>
      </w:r>
      <w:r w:rsidR="00115801">
        <w:t>three</w:t>
      </w:r>
      <w:r w:rsidRPr="001225D2" w:rsidR="00115801">
        <w:t xml:space="preserve"> </w:t>
      </w:r>
      <w:r w:rsidR="00115801">
        <w:t>D</w:t>
      </w:r>
      <w:r w:rsidRPr="001225D2" w:rsidR="00115801">
        <w:t xml:space="preserve">ays after conclusion of </w:t>
      </w:r>
      <w:r w:rsidR="00115801">
        <w:t>Performance T</w:t>
      </w:r>
      <w:r w:rsidRPr="001225D2" w:rsidR="00115801">
        <w:t xml:space="preserve">esting. A report including all </w:t>
      </w:r>
      <w:r w:rsidR="00115801">
        <w:t>Performance Testing</w:t>
      </w:r>
      <w:r w:rsidRPr="001225D2" w:rsidR="00115801">
        <w:t xml:space="preserve"> calculations and a summary of results must be submitted </w:t>
      </w:r>
      <w:r w:rsidR="00115801">
        <w:t>to GPC five</w:t>
      </w:r>
      <w:r w:rsidRPr="001225D2" w:rsidR="00115801">
        <w:t xml:space="preserve"> </w:t>
      </w:r>
      <w:r w:rsidR="00115801">
        <w:t>D</w:t>
      </w:r>
      <w:r w:rsidRPr="001225D2" w:rsidR="00115801">
        <w:t xml:space="preserve">ays after conclusion of </w:t>
      </w:r>
      <w:r w:rsidR="00115801">
        <w:t>Performance T</w:t>
      </w:r>
      <w:r w:rsidRPr="001225D2" w:rsidR="00115801">
        <w:t>esting.</w:t>
      </w:r>
    </w:p>
    <w:p w:rsidRPr="002D2A8F" w:rsidR="002D54C4" w:rsidP="00115801" w:rsidRDefault="002D54C4" w14:paraId="2EEB4400" w14:textId="77777777">
      <w:pPr>
        <w:pStyle w:val="Footnote"/>
        <w:suppressAutoHyphens/>
        <w:adjustRightInd w:val="0"/>
        <w:spacing w:after="240" w:line="360" w:lineRule="atLeast"/>
        <w:textAlignment w:val="baseline"/>
        <w:outlineLvl w:val="0"/>
        <w:rPr>
          <w:rFonts w:ascii="Arial" w:hAnsi="Arial" w:eastAsia="Times New Roman" w:cs="Arial"/>
        </w:rPr>
      </w:pPr>
    </w:p>
    <w:p w:rsidRPr="002D2A8F" w:rsidR="002D54C4" w:rsidP="00E72508" w:rsidRDefault="002D54C4" w14:paraId="129C8D05" w14:textId="66D3A882">
      <w:pPr>
        <w:suppressAutoHyphens/>
        <w:adjustRightInd w:val="0"/>
        <w:spacing w:after="240" w:line="360" w:lineRule="atLeast"/>
        <w:jc w:val="center"/>
        <w:textAlignment w:val="baseline"/>
        <w:outlineLvl w:val="0"/>
        <w:rPr>
          <w:rFonts w:ascii="Arial" w:hAnsi="Arial" w:eastAsia="Times New Roman" w:cs="Arial"/>
          <w:sz w:val="20"/>
          <w:szCs w:val="20"/>
        </w:rPr>
      </w:pPr>
      <w:r w:rsidRPr="004A7BE4">
        <w:rPr>
          <w:rFonts w:ascii="Arial" w:hAnsi="Arial" w:eastAsia="Times New Roman" w:cs="Arial"/>
          <w:sz w:val="20"/>
          <w:szCs w:val="20"/>
          <w:highlight w:val="yellow"/>
        </w:rPr>
        <w:t>[</w:t>
      </w:r>
      <w:r w:rsidRPr="004A7BE4" w:rsidR="00452909">
        <w:rPr>
          <w:rFonts w:ascii="Arial" w:hAnsi="Arial" w:eastAsia="Times New Roman" w:cs="Arial"/>
          <w:sz w:val="20"/>
          <w:szCs w:val="20"/>
          <w:highlight w:val="yellow"/>
        </w:rPr>
        <w:t>Remainder of procedures t</w:t>
      </w:r>
      <w:r w:rsidRPr="004A7BE4">
        <w:rPr>
          <w:rFonts w:ascii="Arial" w:hAnsi="Arial" w:eastAsia="Times New Roman" w:cs="Arial"/>
          <w:sz w:val="20"/>
          <w:szCs w:val="20"/>
          <w:highlight w:val="yellow"/>
        </w:rPr>
        <w:t xml:space="preserve">o </w:t>
      </w:r>
      <w:r w:rsidR="00F55A6F">
        <w:rPr>
          <w:rFonts w:ascii="Arial" w:hAnsi="Arial" w:eastAsia="Times New Roman" w:cs="Arial"/>
          <w:sz w:val="20"/>
          <w:szCs w:val="20"/>
          <w:highlight w:val="yellow"/>
        </w:rPr>
        <w:t>b</w:t>
      </w:r>
      <w:r w:rsidRPr="004A7BE4">
        <w:rPr>
          <w:rFonts w:ascii="Arial" w:hAnsi="Arial" w:eastAsia="Times New Roman" w:cs="Arial"/>
          <w:sz w:val="20"/>
          <w:szCs w:val="20"/>
          <w:highlight w:val="yellow"/>
        </w:rPr>
        <w:t xml:space="preserve">e </w:t>
      </w:r>
      <w:r w:rsidR="00F55A6F">
        <w:rPr>
          <w:rFonts w:ascii="Arial" w:hAnsi="Arial" w:eastAsia="Times New Roman" w:cs="Arial"/>
          <w:sz w:val="20"/>
          <w:szCs w:val="20"/>
          <w:highlight w:val="yellow"/>
        </w:rPr>
        <w:t>a</w:t>
      </w:r>
      <w:r w:rsidRPr="004A7BE4">
        <w:rPr>
          <w:rFonts w:ascii="Arial" w:hAnsi="Arial" w:eastAsia="Times New Roman" w:cs="Arial"/>
          <w:sz w:val="20"/>
          <w:szCs w:val="20"/>
          <w:highlight w:val="yellow"/>
        </w:rPr>
        <w:t xml:space="preserve">greed </w:t>
      </w:r>
      <w:r w:rsidR="00F55A6F">
        <w:rPr>
          <w:rFonts w:ascii="Arial" w:hAnsi="Arial" w:eastAsia="Times New Roman" w:cs="Arial"/>
          <w:sz w:val="20"/>
          <w:szCs w:val="20"/>
          <w:highlight w:val="yellow"/>
        </w:rPr>
        <w:t>u</w:t>
      </w:r>
      <w:r w:rsidRPr="004A7BE4">
        <w:rPr>
          <w:rFonts w:ascii="Arial" w:hAnsi="Arial" w:eastAsia="Times New Roman" w:cs="Arial"/>
          <w:sz w:val="20"/>
          <w:szCs w:val="20"/>
          <w:highlight w:val="yellow"/>
        </w:rPr>
        <w:t>pon by the Parties]</w:t>
      </w:r>
    </w:p>
    <w:p w:rsidRPr="002D2A8F" w:rsidR="0076007D" w:rsidP="0058479C" w:rsidRDefault="002D54C4" w14:paraId="518DC47F" w14:textId="2F60337F">
      <w:pPr>
        <w:pStyle w:val="zGNormal"/>
      </w:pPr>
      <w:r w:rsidRPr="002D2A8F">
        <w:br w:type="page"/>
      </w:r>
    </w:p>
    <w:p w:rsidRPr="002D2A8F" w:rsidR="002D54C4" w:rsidP="002D54C4" w:rsidRDefault="002D54C4" w14:paraId="50DA18E2" w14:textId="6CD69B8F">
      <w:pPr>
        <w:pStyle w:val="zGTitleExhibit"/>
        <w:rPr>
          <w:rFonts w:cs="Arial"/>
        </w:rPr>
      </w:pPr>
      <w:bookmarkStart w:name="_Toc169778721" w:id="1094"/>
      <w:bookmarkStart w:name="_Toc227451486" w:id="1095"/>
      <w:r w:rsidRPr="002D2A8F">
        <w:rPr>
          <w:rFonts w:cs="Arial"/>
        </w:rPr>
        <w:lastRenderedPageBreak/>
        <w:t xml:space="preserve">Exhibit </w:t>
      </w:r>
      <w:r w:rsidR="00DB5460">
        <w:rPr>
          <w:rFonts w:cs="Arial"/>
        </w:rPr>
        <w:t>F</w:t>
      </w:r>
      <w:r w:rsidRPr="002D2A8F">
        <w:rPr>
          <w:rFonts w:cs="Arial"/>
        </w:rPr>
        <w:t xml:space="preserve"> – Facility OPERATING </w:t>
      </w:r>
      <w:r w:rsidR="00641606">
        <w:rPr>
          <w:rFonts w:cs="Arial"/>
        </w:rPr>
        <w:t>AND</w:t>
      </w:r>
      <w:r w:rsidRPr="002D2A8F">
        <w:rPr>
          <w:rFonts w:cs="Arial"/>
        </w:rPr>
        <w:t xml:space="preserve"> dispatchING REQUIREMENTs</w:t>
      </w:r>
      <w:bookmarkEnd w:id="1094"/>
      <w:bookmarkEnd w:id="1095"/>
    </w:p>
    <w:p w:rsidRPr="005A3C20" w:rsidR="004A46B3" w:rsidP="006B4F6B" w:rsidRDefault="00B86A21" w14:paraId="6522FDD3" w14:textId="77777777">
      <w:pPr>
        <w:pStyle w:val="zGTC01"/>
        <w:numPr>
          <w:ilvl w:val="0"/>
          <w:numId w:val="60"/>
        </w:numPr>
        <w:spacing w:before="120"/>
        <w:rPr>
          <w:rStyle w:val="normaltextrun"/>
          <w:rFonts w:ascii="Arial" w:hAnsi="Arial"/>
          <w:vanish/>
          <w:specVanish/>
        </w:rPr>
      </w:pPr>
      <w:bookmarkStart w:name="_Toc214870333" w:id="1096"/>
      <w:bookmarkStart w:name="_Toc227451487" w:id="1097"/>
      <w:r w:rsidRPr="005A3C20">
        <w:rPr>
          <w:rStyle w:val="normaltextrun"/>
          <w:rFonts w:ascii="Arial" w:hAnsi="Arial"/>
        </w:rPr>
        <w:t>Seller Requirements:</w:t>
      </w:r>
      <w:bookmarkEnd w:id="1096"/>
      <w:bookmarkEnd w:id="1097"/>
      <w:r w:rsidRPr="005A3C20" w:rsidR="001D6BD0">
        <w:rPr>
          <w:rStyle w:val="normaltextrun"/>
          <w:rFonts w:ascii="Arial" w:hAnsi="Arial"/>
        </w:rPr>
        <w:t xml:space="preserve"> </w:t>
      </w:r>
    </w:p>
    <w:p w:rsidRPr="008A22DB" w:rsidR="003568C5" w:rsidP="0072211F" w:rsidRDefault="003568C5" w14:paraId="3AC34646" w14:textId="77777777">
      <w:pPr>
        <w:pStyle w:val="zGBody1"/>
        <w:spacing w:before="120" w:after="120"/>
        <w:ind w:left="1152"/>
        <w:rPr>
          <w:rStyle w:val="normaltextrun"/>
          <w:rFonts w:ascii="Arial" w:hAnsi="Arial"/>
          <w:szCs w:val="24"/>
          <w:u w:val="none"/>
        </w:rPr>
      </w:pPr>
    </w:p>
    <w:p w:rsidRPr="008A22DB" w:rsidR="008D6114" w:rsidP="008A22DB" w:rsidRDefault="008D6114" w14:paraId="1BB33BEA" w14:textId="77777777">
      <w:pPr>
        <w:pStyle w:val="zGTC02"/>
        <w:spacing w:after="120"/>
        <w:rPr>
          <w:rStyle w:val="normaltextrun"/>
          <w:rFonts w:ascii="Arial" w:hAnsi="Arial" w:cs="Arial"/>
        </w:rPr>
      </w:pPr>
      <w:bookmarkStart w:name="_Toc214870334" w:id="1098"/>
      <w:bookmarkStart w:name="_Toc227451488" w:id="1099"/>
      <w:r w:rsidRPr="008A22DB">
        <w:rPr>
          <w:rStyle w:val="normaltextrun"/>
          <w:rFonts w:ascii="Arial" w:hAnsi="Arial" w:cs="Arial"/>
        </w:rPr>
        <w:t>Seller is responsible for:</w:t>
      </w:r>
      <w:bookmarkEnd w:id="1098"/>
      <w:bookmarkEnd w:id="1099"/>
    </w:p>
    <w:p w:rsidR="008D6114" w:rsidP="008A22DB" w:rsidRDefault="008D6114" w14:paraId="460E385B" w14:textId="60F4744B">
      <w:pPr>
        <w:pStyle w:val="zGTC03"/>
        <w:spacing w:after="120"/>
        <w:rPr>
          <w:rStyle w:val="normaltextrun"/>
          <w:bCs/>
        </w:rPr>
      </w:pPr>
      <w:r w:rsidRPr="004A26EF">
        <w:rPr>
          <w:rStyle w:val="normaltextrun"/>
          <w:bCs/>
        </w:rPr>
        <w:t xml:space="preserve">Discharging and charging of the </w:t>
      </w:r>
      <w:r w:rsidR="003C2D39">
        <w:rPr>
          <w:rStyle w:val="normaltextrun"/>
          <w:bCs/>
        </w:rPr>
        <w:t>B</w:t>
      </w:r>
      <w:r w:rsidRPr="004A26EF">
        <w:rPr>
          <w:rStyle w:val="normaltextrun"/>
          <w:bCs/>
        </w:rPr>
        <w:t>ESS in accordance with the real-time directions provided by GPC through AGC Setpoint signals;</w:t>
      </w:r>
    </w:p>
    <w:p w:rsidR="008D6114" w:rsidP="008A22DB" w:rsidRDefault="008D6114" w14:paraId="2A94C550" w14:textId="77777777">
      <w:pPr>
        <w:pStyle w:val="zGTC03"/>
        <w:spacing w:after="120"/>
        <w:rPr>
          <w:rStyle w:val="normaltextrun"/>
          <w:bCs/>
        </w:rPr>
      </w:pPr>
      <w:r w:rsidRPr="00931F95">
        <w:rPr>
          <w:rStyle w:val="normaltextrun"/>
          <w:bCs/>
        </w:rPr>
        <w:t xml:space="preserve">All other aspects of operation and maintenance of the Facility in accordance with Prudent Industry Practices and applicable law; </w:t>
      </w:r>
    </w:p>
    <w:p w:rsidR="008D6114" w:rsidP="008A22DB" w:rsidRDefault="008D6114" w14:paraId="28626821" w14:textId="65F56CE9">
      <w:pPr>
        <w:pStyle w:val="zGTC03"/>
        <w:spacing w:after="120"/>
        <w:rPr>
          <w:rStyle w:val="normaltextrun"/>
          <w:bCs/>
        </w:rPr>
      </w:pPr>
      <w:r w:rsidRPr="00931F95">
        <w:rPr>
          <w:rStyle w:val="normaltextrun"/>
          <w:bCs/>
        </w:rPr>
        <w:t xml:space="preserve">Complying with requirements contained in the </w:t>
      </w:r>
      <w:r w:rsidR="00C91710">
        <w:rPr>
          <w:rStyle w:val="normaltextrun"/>
          <w:bCs/>
        </w:rPr>
        <w:t>IA</w:t>
      </w:r>
      <w:r w:rsidRPr="00931F95">
        <w:rPr>
          <w:rStyle w:val="normaltextrun"/>
          <w:bCs/>
        </w:rPr>
        <w:t>, including operation and performance validation requirements;</w:t>
      </w:r>
    </w:p>
    <w:p w:rsidR="008D6114" w:rsidP="008A22DB" w:rsidRDefault="008D6114" w14:paraId="62417A33" w14:textId="77777777">
      <w:pPr>
        <w:pStyle w:val="zGTC03"/>
        <w:spacing w:after="120"/>
        <w:rPr>
          <w:rStyle w:val="normaltextrun"/>
          <w:bCs/>
        </w:rPr>
      </w:pPr>
      <w:r w:rsidRPr="00931F95">
        <w:rPr>
          <w:rStyle w:val="normaltextrun"/>
          <w:bCs/>
        </w:rPr>
        <w:t xml:space="preserve">Adhering to all operational data, interconnection, and telemetry requirements applicable to the Facility; </w:t>
      </w:r>
      <w:r>
        <w:rPr>
          <w:rStyle w:val="normaltextrun"/>
          <w:bCs/>
        </w:rPr>
        <w:t>a</w:t>
      </w:r>
      <w:r w:rsidRPr="00931F95">
        <w:rPr>
          <w:rStyle w:val="normaltextrun"/>
          <w:bCs/>
        </w:rPr>
        <w:t>nd</w:t>
      </w:r>
    </w:p>
    <w:p w:rsidRPr="00931F95" w:rsidR="008D6114" w:rsidP="008A22DB" w:rsidRDefault="008D6114" w14:paraId="04F9E9EC" w14:textId="1D1E3EC2">
      <w:pPr>
        <w:pStyle w:val="zGTC03"/>
        <w:spacing w:after="120"/>
        <w:rPr>
          <w:rStyle w:val="normaltextrun"/>
          <w:bCs/>
        </w:rPr>
      </w:pPr>
      <w:r w:rsidRPr="003214CF">
        <w:rPr>
          <w:rStyle w:val="normaltextrun"/>
          <w:bCs/>
        </w:rPr>
        <w:t xml:space="preserve">Promptly and accurately communicating to GPC any and all </w:t>
      </w:r>
      <w:r w:rsidR="003C2D39">
        <w:rPr>
          <w:rStyle w:val="normaltextrun"/>
          <w:bCs/>
        </w:rPr>
        <w:t>B</w:t>
      </w:r>
      <w:r w:rsidRPr="003214CF">
        <w:rPr>
          <w:rStyle w:val="normaltextrun"/>
          <w:bCs/>
        </w:rPr>
        <w:t>ESS outage, derate, or other operational limitation via GPC’s specified data systems including the REM application or other data systems as GPC chooses, and also via Gencomm messages, E-mails, and phone calls as requested and specified in the Operating Procedures.</w:t>
      </w:r>
    </w:p>
    <w:p w:rsidRPr="008A22DB" w:rsidR="00732B2A" w:rsidP="008A22DB" w:rsidRDefault="00732B2A" w14:paraId="0991CBB3" w14:textId="77777777">
      <w:pPr>
        <w:pStyle w:val="zGTC01"/>
        <w:spacing w:before="120"/>
        <w:rPr>
          <w:rStyle w:val="normaltextrun"/>
          <w:rFonts w:ascii="Arial" w:hAnsi="Arial"/>
          <w:vanish/>
          <w:specVanish/>
        </w:rPr>
      </w:pPr>
      <w:bookmarkStart w:name="_Toc214870335" w:id="1100"/>
      <w:bookmarkStart w:name="_Toc227451489" w:id="1101"/>
      <w:r w:rsidRPr="008A22DB">
        <w:rPr>
          <w:rStyle w:val="normaltextrun"/>
          <w:rFonts w:ascii="Arial" w:hAnsi="Arial"/>
        </w:rPr>
        <w:t>Dispatch.</w:t>
      </w:r>
      <w:bookmarkEnd w:id="1100"/>
      <w:bookmarkEnd w:id="1101"/>
      <w:r w:rsidRPr="008A22DB">
        <w:rPr>
          <w:rStyle w:val="normaltextrun"/>
          <w:rFonts w:ascii="Arial" w:hAnsi="Arial"/>
        </w:rPr>
        <w:t xml:space="preserve">  </w:t>
      </w:r>
    </w:p>
    <w:p w:rsidRPr="008A22DB" w:rsidR="00732B2A" w:rsidP="008A22DB" w:rsidRDefault="00732B2A" w14:paraId="39404C06" w14:textId="31FC3187">
      <w:pPr>
        <w:pStyle w:val="zGBody2"/>
        <w:numPr>
          <w:ilvl w:val="1"/>
          <w:numId w:val="3"/>
        </w:numPr>
        <w:spacing w:before="120"/>
        <w:ind w:left="1147"/>
        <w:rPr>
          <w:rStyle w:val="normaltextrun"/>
          <w:rFonts w:ascii="Arial" w:hAnsi="Arial"/>
          <w:vanish/>
          <w:specVanish/>
        </w:rPr>
      </w:pPr>
    </w:p>
    <w:p w:rsidRPr="008A22DB" w:rsidR="00732B2A" w:rsidP="00D94D93" w:rsidRDefault="00732B2A" w14:paraId="72B14C48" w14:textId="77777777">
      <w:pPr>
        <w:pStyle w:val="zGBody2"/>
        <w:numPr>
          <w:ilvl w:val="1"/>
          <w:numId w:val="19"/>
        </w:numPr>
        <w:spacing w:before="120"/>
        <w:ind w:left="576"/>
        <w:rPr>
          <w:rStyle w:val="normaltextrun"/>
          <w:rFonts w:ascii="Arial" w:hAnsi="Arial"/>
          <w:specVanish/>
        </w:rPr>
      </w:pPr>
    </w:p>
    <w:p w:rsidRPr="00FE1182" w:rsidR="00732B2A" w:rsidP="008A22DB" w:rsidRDefault="00732B2A" w14:paraId="16C858A6" w14:textId="2C5A6654">
      <w:pPr>
        <w:pStyle w:val="zGTC02"/>
        <w:spacing w:after="120"/>
        <w:rPr>
          <w:rStyle w:val="normaltextrun"/>
          <w:rFonts w:ascii="Arial" w:hAnsi="Arial" w:cs="Arial"/>
          <w:b w:val="0"/>
        </w:rPr>
      </w:pPr>
      <w:bookmarkStart w:name="_Toc214870336" w:id="1102"/>
      <w:bookmarkStart w:name="_Toc227451490" w:id="1103"/>
      <w:r w:rsidRPr="00FE1182">
        <w:rPr>
          <w:rStyle w:val="normaltextrun"/>
          <w:rFonts w:ascii="Arial" w:hAnsi="Arial" w:cs="Arial"/>
          <w:b w:val="0"/>
        </w:rPr>
        <w:t xml:space="preserve">During the Term, the Parties agree to the following parameters for the dispatch of the </w:t>
      </w:r>
      <w:r w:rsidRPr="00FE1182" w:rsidR="003C2D39">
        <w:rPr>
          <w:rStyle w:val="normaltextrun"/>
          <w:rFonts w:ascii="Arial" w:hAnsi="Arial" w:cs="Arial"/>
          <w:b w:val="0"/>
        </w:rPr>
        <w:t>B</w:t>
      </w:r>
      <w:r w:rsidRPr="00FE1182">
        <w:rPr>
          <w:rStyle w:val="normaltextrun"/>
          <w:rFonts w:ascii="Arial" w:hAnsi="Arial" w:cs="Arial"/>
          <w:b w:val="0"/>
        </w:rPr>
        <w:t>ESS and Renewable Resource:</w:t>
      </w:r>
      <w:bookmarkEnd w:id="1102"/>
      <w:bookmarkEnd w:id="1103"/>
    </w:p>
    <w:p w:rsidRPr="009D1580" w:rsidR="00732B2A" w:rsidP="008A22DB" w:rsidRDefault="00732B2A" w14:paraId="1EFDA0C3" w14:textId="231473CB">
      <w:pPr>
        <w:pStyle w:val="zGTC03"/>
        <w:spacing w:after="120"/>
        <w:rPr>
          <w:rStyle w:val="normaltextrun"/>
          <w:bCs/>
        </w:rPr>
      </w:pPr>
      <w:r w:rsidRPr="00D45451">
        <w:rPr>
          <w:rStyle w:val="normaltextrun"/>
        </w:rPr>
        <w:t xml:space="preserve">Seller must not charge or discharge the </w:t>
      </w:r>
      <w:r w:rsidR="003C2D39">
        <w:rPr>
          <w:rStyle w:val="normaltextrun"/>
        </w:rPr>
        <w:t>B</w:t>
      </w:r>
      <w:r w:rsidRPr="00D45451">
        <w:rPr>
          <w:rStyle w:val="normaltextrun"/>
        </w:rPr>
        <w:t xml:space="preserve">ESS except as specifically directed by GPC </w:t>
      </w:r>
      <w:r w:rsidRPr="009D1580">
        <w:rPr>
          <w:rStyle w:val="normaltextrun"/>
          <w:bCs/>
        </w:rPr>
        <w:t>or with specific prior authorization by GPC.</w:t>
      </w:r>
    </w:p>
    <w:p w:rsidRPr="00D45451" w:rsidR="00732B2A" w:rsidP="008A22DB" w:rsidRDefault="00732B2A" w14:paraId="030D251F" w14:textId="62AAECF7">
      <w:pPr>
        <w:pStyle w:val="zGTC03"/>
        <w:spacing w:after="120"/>
        <w:rPr>
          <w:rStyle w:val="normaltextrun"/>
        </w:rPr>
      </w:pPr>
      <w:r w:rsidRPr="00D45451">
        <w:rPr>
          <w:rStyle w:val="normaltextrun"/>
        </w:rPr>
        <w:t xml:space="preserve">GPC will control the disposition of all energy going into and out of the </w:t>
      </w:r>
      <w:r w:rsidR="003C2D39">
        <w:rPr>
          <w:rStyle w:val="normaltextrun"/>
        </w:rPr>
        <w:t>B</w:t>
      </w:r>
      <w:r w:rsidRPr="00D45451">
        <w:rPr>
          <w:rStyle w:val="normaltextrun"/>
        </w:rPr>
        <w:t>ESS using its 6-second AGC Setpoint signals.</w:t>
      </w:r>
    </w:p>
    <w:p w:rsidRPr="00D45451" w:rsidR="00732B2A" w:rsidP="008A22DB" w:rsidRDefault="00732B2A" w14:paraId="2A55C64B" w14:textId="52519EBD">
      <w:pPr>
        <w:pStyle w:val="zGTC03"/>
        <w:spacing w:after="120"/>
        <w:rPr>
          <w:rStyle w:val="normaltextrun"/>
        </w:rPr>
      </w:pPr>
      <w:r w:rsidRPr="00D45451">
        <w:rPr>
          <w:rStyle w:val="normaltextrun"/>
        </w:rPr>
        <w:t xml:space="preserve">GPC will be able to request that the </w:t>
      </w:r>
      <w:r w:rsidR="003C2D39">
        <w:rPr>
          <w:rStyle w:val="normaltextrun"/>
        </w:rPr>
        <w:t>B</w:t>
      </w:r>
      <w:r w:rsidRPr="00D45451">
        <w:rPr>
          <w:rStyle w:val="normaltextrun"/>
        </w:rPr>
        <w:t>ESS be dispatched up to the Cycle Limit. GPC will track Cycles and ensure it remains in compliance with these requirements.</w:t>
      </w:r>
    </w:p>
    <w:p w:rsidRPr="00D45451" w:rsidR="00732B2A" w:rsidP="008A22DB" w:rsidRDefault="00732B2A" w14:paraId="37A4EF49" w14:textId="00A6E972">
      <w:pPr>
        <w:pStyle w:val="zGTC03"/>
        <w:spacing w:after="120"/>
        <w:rPr>
          <w:rStyle w:val="normaltextrun"/>
        </w:rPr>
      </w:pPr>
      <w:r w:rsidRPr="00D45451">
        <w:rPr>
          <w:rStyle w:val="normaltextrun"/>
        </w:rPr>
        <w:t xml:space="preserve">The </w:t>
      </w:r>
      <w:r w:rsidR="003C2D39">
        <w:rPr>
          <w:rStyle w:val="normaltextrun"/>
        </w:rPr>
        <w:t>B</w:t>
      </w:r>
      <w:r w:rsidRPr="00D45451">
        <w:rPr>
          <w:rStyle w:val="normaltextrun"/>
        </w:rPr>
        <w:t xml:space="preserve">ESS must be capable of receiving and responding to AGC Setpoint signals from GPC and allow GPC to monitor, measure, and record the State of Charge, </w:t>
      </w:r>
      <w:r w:rsidR="004F40BA">
        <w:rPr>
          <w:rStyle w:val="normaltextrun"/>
        </w:rPr>
        <w:t>c</w:t>
      </w:r>
      <w:r w:rsidRPr="00D45451">
        <w:rPr>
          <w:rStyle w:val="normaltextrun"/>
        </w:rPr>
        <w:t xml:space="preserve">harge </w:t>
      </w:r>
      <w:r w:rsidR="004F40BA">
        <w:rPr>
          <w:rStyle w:val="normaltextrun"/>
        </w:rPr>
        <w:t>r</w:t>
      </w:r>
      <w:r w:rsidRPr="00D45451">
        <w:rPr>
          <w:rStyle w:val="normaltextrun"/>
        </w:rPr>
        <w:t xml:space="preserve">ate, and </w:t>
      </w:r>
      <w:r w:rsidR="004F40BA">
        <w:rPr>
          <w:rStyle w:val="normaltextrun"/>
        </w:rPr>
        <w:t>d</w:t>
      </w:r>
      <w:r w:rsidRPr="00D45451">
        <w:rPr>
          <w:rStyle w:val="normaltextrun"/>
        </w:rPr>
        <w:t xml:space="preserve">ischarge </w:t>
      </w:r>
      <w:r w:rsidR="004F40BA">
        <w:rPr>
          <w:rStyle w:val="normaltextrun"/>
        </w:rPr>
        <w:t>r</w:t>
      </w:r>
      <w:r w:rsidRPr="00D45451">
        <w:rPr>
          <w:rStyle w:val="normaltextrun"/>
        </w:rPr>
        <w:t>ate at all times in accordance with the AGC requirements defined herein.</w:t>
      </w:r>
    </w:p>
    <w:p w:rsidRPr="00D45451" w:rsidR="00732B2A" w:rsidP="008A22DB" w:rsidRDefault="00732B2A" w14:paraId="4D7C8B4D" w14:textId="1E56795B">
      <w:pPr>
        <w:pStyle w:val="zGTC03"/>
        <w:spacing w:after="120"/>
        <w:rPr>
          <w:rStyle w:val="normaltextrun"/>
        </w:rPr>
      </w:pPr>
      <w:r w:rsidRPr="00D45451">
        <w:rPr>
          <w:rStyle w:val="normaltextrun"/>
        </w:rPr>
        <w:t xml:space="preserve">In the event of an AGC disruption, GPC will communicate desired </w:t>
      </w:r>
      <w:r w:rsidR="003C2D39">
        <w:rPr>
          <w:rStyle w:val="normaltextrun"/>
        </w:rPr>
        <w:t>B</w:t>
      </w:r>
      <w:r w:rsidRPr="00D45451">
        <w:rPr>
          <w:rStyle w:val="normaltextrun"/>
        </w:rPr>
        <w:t>ESS operations to Seller and Seller must comply with GPC’s requests manually to the best of Sellers ability.</w:t>
      </w:r>
    </w:p>
    <w:p w:rsidRPr="00D45451" w:rsidR="00732B2A" w:rsidP="008A22DB" w:rsidRDefault="00732B2A" w14:paraId="3DF8E343" w14:textId="767A61B6">
      <w:pPr>
        <w:pStyle w:val="zGTC03"/>
        <w:spacing w:after="120"/>
        <w:rPr>
          <w:rStyle w:val="normaltextrun"/>
        </w:rPr>
      </w:pPr>
      <w:r w:rsidRPr="00D45451">
        <w:rPr>
          <w:rStyle w:val="normaltextrun"/>
        </w:rPr>
        <w:t xml:space="preserve">In no event will energy delivered from the </w:t>
      </w:r>
      <w:r w:rsidR="003C2D39">
        <w:rPr>
          <w:rStyle w:val="normaltextrun"/>
        </w:rPr>
        <w:t>B</w:t>
      </w:r>
      <w:r w:rsidRPr="00D45451">
        <w:rPr>
          <w:rStyle w:val="normaltextrun"/>
        </w:rPr>
        <w:t>ESS exceed the lesser of the SDDC or the Interconnection Limit.</w:t>
      </w:r>
    </w:p>
    <w:p w:rsidRPr="00D45451" w:rsidR="00732B2A" w:rsidP="008A22DB" w:rsidRDefault="00732B2A" w14:paraId="10335676" w14:textId="30F8AC44">
      <w:pPr>
        <w:pStyle w:val="zGTC03"/>
        <w:spacing w:after="120"/>
        <w:rPr>
          <w:rStyle w:val="normaltextrun"/>
        </w:rPr>
      </w:pPr>
      <w:r w:rsidRPr="00D45451">
        <w:rPr>
          <w:rStyle w:val="normaltextrun"/>
        </w:rPr>
        <w:t xml:space="preserve">Seller must ensure that the </w:t>
      </w:r>
      <w:r w:rsidR="003C2D39">
        <w:rPr>
          <w:rStyle w:val="normaltextrun"/>
        </w:rPr>
        <w:t>B</w:t>
      </w:r>
      <w:r w:rsidRPr="00D45451">
        <w:rPr>
          <w:rStyle w:val="normaltextrun"/>
        </w:rPr>
        <w:t xml:space="preserve">ESS and Renewable Resource satisfies all operational and performance requirements under the </w:t>
      </w:r>
      <w:r w:rsidR="00D45451">
        <w:rPr>
          <w:rStyle w:val="normaltextrun"/>
        </w:rPr>
        <w:t>IA</w:t>
      </w:r>
      <w:r w:rsidRPr="00D45451">
        <w:rPr>
          <w:rStyle w:val="normaltextrun"/>
        </w:rPr>
        <w:t xml:space="preserve">, including when the </w:t>
      </w:r>
      <w:r w:rsidR="003C2D39">
        <w:rPr>
          <w:rStyle w:val="normaltextrun"/>
        </w:rPr>
        <w:t>B</w:t>
      </w:r>
      <w:r w:rsidRPr="00D45451">
        <w:rPr>
          <w:rStyle w:val="normaltextrun"/>
        </w:rPr>
        <w:t>ESS is discharging (during cycling or otherwise).</w:t>
      </w:r>
    </w:p>
    <w:p w:rsidRPr="008A22DB" w:rsidR="00732B2A" w:rsidP="008A22DB" w:rsidRDefault="00732B2A" w14:paraId="42760AE1" w14:textId="4EF56772">
      <w:pPr>
        <w:pStyle w:val="zGTC01"/>
        <w:spacing w:before="120"/>
        <w:rPr>
          <w:rStyle w:val="normaltextrun"/>
          <w:rFonts w:ascii="Arial" w:hAnsi="Arial"/>
        </w:rPr>
      </w:pPr>
      <w:bookmarkStart w:name="_Toc214870337" w:id="1104"/>
      <w:bookmarkStart w:name="_Toc227451491" w:id="1105"/>
      <w:r w:rsidRPr="008A22DB">
        <w:rPr>
          <w:rStyle w:val="normaltextrun"/>
          <w:rFonts w:ascii="Arial" w:hAnsi="Arial"/>
        </w:rPr>
        <w:t xml:space="preserve">Charging of the </w:t>
      </w:r>
      <w:r w:rsidRPr="008A22DB" w:rsidR="003C2D39">
        <w:rPr>
          <w:rStyle w:val="normaltextrun"/>
          <w:rFonts w:ascii="Arial" w:hAnsi="Arial"/>
        </w:rPr>
        <w:t>B</w:t>
      </w:r>
      <w:r w:rsidRPr="008A22DB">
        <w:rPr>
          <w:rStyle w:val="normaltextrun"/>
          <w:rFonts w:ascii="Arial" w:hAnsi="Arial"/>
        </w:rPr>
        <w:t>ESS.</w:t>
      </w:r>
      <w:bookmarkEnd w:id="1104"/>
      <w:bookmarkEnd w:id="1105"/>
      <w:r w:rsidRPr="008A22DB">
        <w:rPr>
          <w:rStyle w:val="normaltextrun"/>
          <w:rFonts w:ascii="Arial" w:hAnsi="Arial"/>
        </w:rPr>
        <w:t xml:space="preserve">  </w:t>
      </w:r>
    </w:p>
    <w:p w:rsidRPr="008A22DB" w:rsidR="00732B2A" w:rsidP="008A22DB" w:rsidRDefault="00732B2A" w14:paraId="458C36B9" w14:textId="378E69D7">
      <w:pPr>
        <w:pStyle w:val="zGTC02"/>
        <w:spacing w:after="120"/>
        <w:rPr>
          <w:rFonts w:ascii="Arial" w:hAnsi="Arial" w:cs="Arial"/>
        </w:rPr>
      </w:pPr>
      <w:bookmarkStart w:name="_Toc214870338" w:id="1106"/>
      <w:bookmarkStart w:name="_Toc227451492" w:id="1107"/>
      <w:r w:rsidRPr="008A22DB">
        <w:rPr>
          <w:rFonts w:ascii="Arial" w:hAnsi="Arial" w:cs="Arial"/>
        </w:rPr>
        <w:t xml:space="preserve">During the Term, the Parties agree to the following parameters for charging the </w:t>
      </w:r>
      <w:r w:rsidRPr="008A22DB" w:rsidR="003C2D39">
        <w:rPr>
          <w:rFonts w:ascii="Arial" w:hAnsi="Arial" w:cs="Arial"/>
        </w:rPr>
        <w:t>B</w:t>
      </w:r>
      <w:r w:rsidRPr="008A22DB">
        <w:rPr>
          <w:rFonts w:ascii="Arial" w:hAnsi="Arial" w:cs="Arial"/>
        </w:rPr>
        <w:t>ESS:</w:t>
      </w:r>
      <w:bookmarkEnd w:id="1106"/>
      <w:bookmarkEnd w:id="1107"/>
    </w:p>
    <w:p w:rsidRPr="00E760E2" w:rsidR="00732B2A" w:rsidP="008A22DB" w:rsidRDefault="00732B2A" w14:paraId="37B70602" w14:textId="4A090730">
      <w:pPr>
        <w:pStyle w:val="zGTC03"/>
        <w:spacing w:after="120"/>
        <w:rPr>
          <w:rStyle w:val="normaltextrun"/>
          <w:specVanish/>
        </w:rPr>
      </w:pPr>
      <w:r>
        <w:rPr>
          <w:rStyle w:val="normaltextrun"/>
        </w:rPr>
        <w:t>GPC will</w:t>
      </w:r>
      <w:r w:rsidRPr="00CF2F38">
        <w:rPr>
          <w:rStyle w:val="normaltextrun"/>
        </w:rPr>
        <w:t xml:space="preserve"> have full control of the disposition of all energy directed into the </w:t>
      </w:r>
      <w:r w:rsidR="003C2D39">
        <w:rPr>
          <w:rStyle w:val="normaltextrun"/>
        </w:rPr>
        <w:t>B</w:t>
      </w:r>
      <w:r w:rsidRPr="00CF2F38">
        <w:rPr>
          <w:rStyle w:val="normaltextrun"/>
        </w:rPr>
        <w:t xml:space="preserve">ESS at no additional cost and the right to charge the </w:t>
      </w:r>
      <w:r w:rsidR="003C2D39">
        <w:rPr>
          <w:rStyle w:val="normaltextrun"/>
        </w:rPr>
        <w:t>B</w:t>
      </w:r>
      <w:r w:rsidRPr="00CF2F38">
        <w:rPr>
          <w:rStyle w:val="normaltextrun"/>
        </w:rPr>
        <w:t xml:space="preserve">ESS </w:t>
      </w:r>
      <w:r w:rsidRPr="00A672E2">
        <w:rPr>
          <w:rStyle w:val="normaltextrun"/>
        </w:rPr>
        <w:t>that may result in</w:t>
      </w:r>
      <w:r w:rsidRPr="00CF2F38">
        <w:rPr>
          <w:rStyle w:val="normaltextrun"/>
        </w:rPr>
        <w:t xml:space="preserve"> Grid Charging Energy or </w:t>
      </w:r>
      <w:r>
        <w:rPr>
          <w:rStyle w:val="normaltextrun"/>
        </w:rPr>
        <w:t xml:space="preserve">Renewable </w:t>
      </w:r>
      <w:r w:rsidR="002420CF">
        <w:rPr>
          <w:rStyle w:val="normaltextrun"/>
        </w:rPr>
        <w:t xml:space="preserve">Resource </w:t>
      </w:r>
      <w:r w:rsidRPr="00A672E2">
        <w:rPr>
          <w:rStyle w:val="normaltextrun"/>
        </w:rPr>
        <w:t xml:space="preserve">Charging </w:t>
      </w:r>
      <w:r w:rsidRPr="00CF2F38">
        <w:rPr>
          <w:rStyle w:val="normaltextrun"/>
        </w:rPr>
        <w:t>Energy.</w:t>
      </w:r>
      <w:r w:rsidRPr="00E760E2" w:rsidR="00E760E2">
        <w:rPr>
          <w:rStyle w:val="normaltextrun"/>
        </w:rPr>
        <w:t xml:space="preserve">GPC will request the </w:t>
      </w:r>
      <w:r w:rsidR="003C2D39">
        <w:rPr>
          <w:rStyle w:val="normaltextrun"/>
        </w:rPr>
        <w:t>B</w:t>
      </w:r>
      <w:r w:rsidRPr="00E760E2" w:rsidR="00E760E2">
        <w:rPr>
          <w:rStyle w:val="normaltextrun"/>
        </w:rPr>
        <w:t>ESS use Charging Energy at any time and in any amount that GPC specifies up to the Maximum Rate of Charge or until the State of Charge equals SDOE or the Maximum Operational State of Charge Limit.</w:t>
      </w:r>
    </w:p>
    <w:p w:rsidRPr="00782845" w:rsidR="00A544D2" w:rsidP="002A570B" w:rsidRDefault="00732B2A" w14:paraId="2213F0B4" w14:textId="77777777">
      <w:pPr>
        <w:pStyle w:val="zGTC02"/>
        <w:spacing w:after="120"/>
        <w:rPr>
          <w:vanish/>
          <w:specVanish/>
        </w:rPr>
      </w:pPr>
      <w:bookmarkStart w:name="_Toc227451493" w:id="1108"/>
      <w:r w:rsidRPr="00610753">
        <w:rPr>
          <w:rStyle w:val="normaltextrun"/>
        </w:rPr>
        <w:lastRenderedPageBreak/>
        <w:t>Communications</w:t>
      </w:r>
      <w:r w:rsidRPr="00B720C0">
        <w:rPr>
          <w:rStyle w:val="normaltextrun"/>
        </w:rPr>
        <w:t>.</w:t>
      </w:r>
      <w:bookmarkEnd w:id="1108"/>
    </w:p>
    <w:p w:rsidRPr="0072211F" w:rsidR="00732B2A" w:rsidP="008A22DB" w:rsidRDefault="00732B2A" w14:paraId="39675F17" w14:textId="7205E3AF">
      <w:pPr>
        <w:pStyle w:val="zGTC03"/>
        <w:spacing w:after="120"/>
        <w:rPr>
          <w:rStyle w:val="normaltextrun"/>
          <w:rFonts w:ascii="Arial Bold" w:hAnsi="Arial Bold" w:eastAsiaTheme="minorHAnsi"/>
          <w:b/>
          <w:caps/>
          <w:u w:val="single"/>
        </w:rPr>
      </w:pPr>
      <w:r w:rsidRPr="00CF2F38">
        <w:rPr>
          <w:rStyle w:val="normaltextrun"/>
        </w:rPr>
        <w:t xml:space="preserve"> Real time communications between Seller and GPC are required with respect to the </w:t>
      </w:r>
      <w:r w:rsidR="003C2D39">
        <w:rPr>
          <w:rStyle w:val="normaltextrun"/>
        </w:rPr>
        <w:t>B</w:t>
      </w:r>
      <w:r w:rsidRPr="00CF2F38">
        <w:rPr>
          <w:rStyle w:val="normaltextrun"/>
        </w:rPr>
        <w:t>ESS</w:t>
      </w:r>
      <w:r w:rsidRPr="00A672E2">
        <w:rPr>
          <w:rStyle w:val="normaltextrun"/>
        </w:rPr>
        <w:t xml:space="preserve"> and the Renewable Resource</w:t>
      </w:r>
      <w:r w:rsidRPr="00CF2F38">
        <w:rPr>
          <w:rStyle w:val="normaltextrun"/>
        </w:rPr>
        <w:t xml:space="preserve">. Seller must have the capability to and continuously communicate the status of the </w:t>
      </w:r>
      <w:r w:rsidR="003C2D39">
        <w:rPr>
          <w:rStyle w:val="normaltextrun"/>
        </w:rPr>
        <w:t>B</w:t>
      </w:r>
      <w:r w:rsidRPr="00CF2F38">
        <w:rPr>
          <w:rStyle w:val="normaltextrun"/>
        </w:rPr>
        <w:t>ESS</w:t>
      </w:r>
      <w:r w:rsidRPr="00A672E2">
        <w:rPr>
          <w:rStyle w:val="normaltextrun"/>
        </w:rPr>
        <w:t xml:space="preserve"> and Renewable Resource</w:t>
      </w:r>
      <w:r w:rsidRPr="00CF2F38">
        <w:rPr>
          <w:rStyle w:val="normaltextrun"/>
        </w:rPr>
        <w:t xml:space="preserve"> to GPC in real time.</w:t>
      </w:r>
    </w:p>
    <w:p w:rsidR="006816E0" w:rsidP="002D54C4" w:rsidRDefault="002D54C4" w14:paraId="27A51366" w14:textId="77777777">
      <w:pPr>
        <w:rPr>
          <w:rFonts w:ascii="Arial" w:hAnsi="Arial" w:eastAsia="Times New Roman" w:cs="Arial"/>
          <w:b/>
          <w:caps/>
          <w:kern w:val="32"/>
          <w:sz w:val="20"/>
          <w:szCs w:val="20"/>
          <w:u w:val="single"/>
        </w:rPr>
        <w:sectPr w:rsidR="006816E0" w:rsidSect="003B614F">
          <w:headerReference w:type="default" r:id="rId19"/>
          <w:pgSz w:w="12240" w:h="15840" w:code="1"/>
          <w:pgMar w:top="1440" w:right="1440" w:bottom="1440" w:left="1440" w:header="720" w:footer="720" w:gutter="0"/>
          <w:paperSrc w:first="15" w:other="15"/>
          <w:cols w:space="1440"/>
        </w:sectPr>
      </w:pPr>
      <w:bookmarkStart w:name="_Hlk81325179" w:id="1109"/>
      <w:bookmarkStart w:name="_Toc137409388" w:id="1110"/>
      <w:bookmarkStart w:name="_Toc153987173" w:id="1111"/>
      <w:r>
        <w:rPr>
          <w:rFonts w:ascii="Arial" w:hAnsi="Arial" w:eastAsia="Times New Roman" w:cs="Arial"/>
          <w:b/>
          <w:caps/>
          <w:kern w:val="32"/>
          <w:sz w:val="20"/>
          <w:szCs w:val="20"/>
          <w:u w:val="single"/>
        </w:rPr>
        <w:br w:type="page"/>
      </w:r>
    </w:p>
    <w:p w:rsidRPr="002D2A8F" w:rsidR="00BD6DE9" w:rsidP="00BD6DE9" w:rsidRDefault="00BD6DE9" w14:paraId="43DB09AD" w14:textId="1B809152">
      <w:pPr>
        <w:pStyle w:val="zGTitleExhibit"/>
        <w:spacing w:after="360"/>
        <w:rPr>
          <w:rFonts w:cs="Arial"/>
        </w:rPr>
      </w:pPr>
      <w:bookmarkStart w:name="_Toc169778722" w:id="1112"/>
      <w:bookmarkStart w:name="_Toc227451494" w:id="1113"/>
      <w:r w:rsidRPr="002D2A8F">
        <w:rPr>
          <w:rFonts w:cs="Arial"/>
        </w:rPr>
        <w:lastRenderedPageBreak/>
        <w:t xml:space="preserve">EXHIBIT </w:t>
      </w:r>
      <w:r w:rsidR="00DB5460">
        <w:rPr>
          <w:rFonts w:cs="Arial"/>
        </w:rPr>
        <w:t>G</w:t>
      </w:r>
      <w:r w:rsidRPr="002D2A8F">
        <w:rPr>
          <w:rFonts w:cs="Arial"/>
        </w:rPr>
        <w:t xml:space="preserve"> – agc AND Facility MINIMUM DATA REQUIREMENTS</w:t>
      </w:r>
      <w:bookmarkEnd w:id="1112"/>
      <w:bookmarkEnd w:id="1113"/>
    </w:p>
    <w:p w:rsidRPr="00DA7E58" w:rsidR="00D27A64" w:rsidP="00D27A64" w:rsidRDefault="00D27A64" w14:paraId="5040924F" w14:textId="3064CE1A">
      <w:pPr>
        <w:jc w:val="both"/>
        <w:rPr>
          <w:rFonts w:ascii="Arial" w:hAnsi="Arial" w:eastAsia="Aptos" w:cs="Arial"/>
          <w:sz w:val="20"/>
          <w:szCs w:val="20"/>
        </w:rPr>
      </w:pPr>
      <w:r w:rsidRPr="00DA7E58">
        <w:rPr>
          <w:rFonts w:ascii="Arial" w:hAnsi="Arial" w:cs="Arial"/>
          <w:sz w:val="20"/>
          <w:szCs w:val="20"/>
        </w:rPr>
        <w:t xml:space="preserve">Seller </w:t>
      </w:r>
      <w:r w:rsidRPr="00DA7E58" w:rsidR="002B3636">
        <w:rPr>
          <w:rFonts w:ascii="Arial" w:hAnsi="Arial" w:cs="Arial"/>
          <w:sz w:val="20"/>
          <w:szCs w:val="20"/>
        </w:rPr>
        <w:t>must</w:t>
      </w:r>
      <w:r w:rsidRPr="00DA7E58">
        <w:rPr>
          <w:rFonts w:ascii="Arial" w:hAnsi="Arial" w:cs="Arial"/>
          <w:sz w:val="20"/>
          <w:szCs w:val="20"/>
        </w:rPr>
        <w:t xml:space="preserve"> operat</w:t>
      </w:r>
      <w:r w:rsidRPr="00DA7E58" w:rsidR="002B3636">
        <w:rPr>
          <w:rFonts w:ascii="Arial" w:hAnsi="Arial" w:cs="Arial"/>
          <w:sz w:val="20"/>
          <w:szCs w:val="20"/>
        </w:rPr>
        <w:t>e</w:t>
      </w:r>
      <w:r w:rsidRPr="00DA7E58">
        <w:rPr>
          <w:rFonts w:ascii="Arial" w:hAnsi="Arial" w:cs="Arial"/>
          <w:sz w:val="20"/>
          <w:szCs w:val="20"/>
        </w:rPr>
        <w:t xml:space="preserve"> the BESS and Renewable Resource</w:t>
      </w:r>
      <w:r w:rsidRPr="00DA7E58" w:rsidR="00A231A9">
        <w:rPr>
          <w:rFonts w:ascii="Arial" w:hAnsi="Arial" w:cs="Arial"/>
          <w:sz w:val="20"/>
          <w:szCs w:val="20"/>
        </w:rPr>
        <w:t>, including the</w:t>
      </w:r>
      <w:r w:rsidRPr="00DA7E58">
        <w:rPr>
          <w:rFonts w:ascii="Arial" w:hAnsi="Arial" w:cs="Arial"/>
          <w:sz w:val="20"/>
          <w:szCs w:val="20"/>
        </w:rPr>
        <w:t xml:space="preserve"> producing and charging or receiving and delivering energy in compliance with GPC’s AGC Setpoint signals. </w:t>
      </w:r>
      <w:r w:rsidRPr="00DA7E58">
        <w:rPr>
          <w:rFonts w:ascii="Arial" w:hAnsi="Arial" w:eastAsia="Aptos" w:cs="Arial"/>
          <w:sz w:val="20"/>
          <w:szCs w:val="20"/>
        </w:rPr>
        <w:t>Seller must telemeter at all times during the operation of the BESS</w:t>
      </w:r>
      <w:r w:rsidRPr="00DA7E58" w:rsidDel="009B38F0">
        <w:rPr>
          <w:rFonts w:ascii="Arial" w:hAnsi="Arial" w:eastAsia="Aptos" w:cs="Arial"/>
          <w:sz w:val="20"/>
          <w:szCs w:val="20"/>
        </w:rPr>
        <w:t xml:space="preserve">, and </w:t>
      </w:r>
      <w:r w:rsidRPr="00DA7E58">
        <w:rPr>
          <w:rFonts w:ascii="Arial" w:hAnsi="Arial" w:eastAsia="Aptos" w:cs="Arial"/>
          <w:sz w:val="20"/>
          <w:szCs w:val="20"/>
        </w:rPr>
        <w:t>GPC’s</w:t>
      </w:r>
      <w:r w:rsidRPr="00DA7E58" w:rsidDel="009B38F0">
        <w:rPr>
          <w:rFonts w:ascii="Arial" w:hAnsi="Arial" w:eastAsia="Aptos" w:cs="Arial"/>
          <w:sz w:val="20"/>
          <w:szCs w:val="20"/>
        </w:rPr>
        <w:t xml:space="preserve"> AGC Setpoint signal will include the maximum Rate of Change as a limiting factor for changes in energy output. For purposes </w:t>
      </w:r>
      <w:r w:rsidRPr="00DA7E58">
        <w:rPr>
          <w:rFonts w:ascii="Arial" w:hAnsi="Arial" w:eastAsia="Aptos" w:cs="Arial"/>
          <w:sz w:val="20"/>
          <w:szCs w:val="20"/>
        </w:rPr>
        <w:t>of this Exhibit G</w:t>
      </w:r>
      <w:r w:rsidRPr="00DA7E58" w:rsidDel="009B38F0">
        <w:rPr>
          <w:rFonts w:ascii="Arial" w:hAnsi="Arial" w:eastAsia="Aptos" w:cs="Arial"/>
          <w:sz w:val="20"/>
          <w:szCs w:val="20"/>
        </w:rPr>
        <w:t>, the “</w:t>
      </w:r>
      <w:r w:rsidRPr="00DA7E58" w:rsidDel="009B38F0">
        <w:rPr>
          <w:rFonts w:ascii="Arial" w:hAnsi="Arial" w:eastAsia="Aptos" w:cs="Arial"/>
          <w:b/>
          <w:sz w:val="20"/>
          <w:szCs w:val="20"/>
        </w:rPr>
        <w:t>Rate of Change</w:t>
      </w:r>
      <w:r w:rsidRPr="00DA7E58" w:rsidDel="009B38F0">
        <w:rPr>
          <w:rFonts w:ascii="Arial" w:hAnsi="Arial" w:eastAsia="Aptos" w:cs="Arial"/>
          <w:sz w:val="20"/>
          <w:szCs w:val="20"/>
        </w:rPr>
        <w:t xml:space="preserve">” is the real-time maximum ramp rate when increasing or decreasing output (accounting for any equipment or operational issues </w:t>
      </w:r>
      <w:r w:rsidRPr="00DA7E58">
        <w:rPr>
          <w:rFonts w:ascii="Arial" w:hAnsi="Arial" w:eastAsia="Aptos" w:cs="Arial"/>
          <w:sz w:val="20"/>
          <w:szCs w:val="20"/>
        </w:rPr>
        <w:t>that</w:t>
      </w:r>
      <w:r w:rsidRPr="00DA7E58" w:rsidDel="009B38F0">
        <w:rPr>
          <w:rFonts w:ascii="Arial" w:hAnsi="Arial" w:eastAsia="Aptos" w:cs="Arial"/>
          <w:sz w:val="20"/>
          <w:szCs w:val="20"/>
        </w:rPr>
        <w:t xml:space="preserve"> may affect such ramp rate).</w:t>
      </w:r>
    </w:p>
    <w:p w:rsidRPr="00DA7E58" w:rsidR="00D27A64" w:rsidP="00D27A64" w:rsidRDefault="00D27A64" w14:paraId="5839B0DF" w14:textId="24B7A4D6">
      <w:pPr>
        <w:widowControl w:val="0"/>
        <w:jc w:val="both"/>
        <w:rPr>
          <w:rFonts w:ascii="Arial" w:hAnsi="Arial" w:eastAsia="Aptos" w:cs="Arial"/>
          <w:color w:val="000000"/>
          <w:sz w:val="20"/>
          <w:szCs w:val="20"/>
          <w:shd w:val="clear" w:color="auto" w:fill="FFFFFF"/>
        </w:rPr>
      </w:pPr>
      <w:r w:rsidRPr="00DA7E58">
        <w:rPr>
          <w:rFonts w:ascii="Arial" w:hAnsi="Arial" w:cs="Arial"/>
          <w:sz w:val="20"/>
          <w:szCs w:val="20"/>
        </w:rPr>
        <w:t xml:space="preserve">All data points listed in this Exhibit G represent minimum requirements for a BESS utilizing AGC. This Exhibit incorporates by reference, and will automatically be updated as necessary to incorporate, any additional data point introduced in future revisions of the document titled Southern Company Typical Data and Application Requirements for SOCO BA Generators Final MMYYYY.pdf, which is located in the “Interconnection Implementation (NTP to COD)” subsection of the Southern Company OASIS site at </w:t>
      </w:r>
      <w:hyperlink w:history="1" r:id="rId20">
        <w:r w:rsidRPr="001D0A7E" w:rsidR="002C578D">
          <w:rPr>
            <w:rStyle w:val="Hyperlink"/>
            <w:rFonts w:cs="Arial"/>
            <w:szCs w:val="20"/>
          </w:rPr>
          <w:t>www.oasis.oati.com/soco/index.html</w:t>
        </w:r>
      </w:hyperlink>
      <w:r w:rsidR="00CE6681">
        <w:rPr>
          <w:rFonts w:ascii="Arial" w:hAnsi="Arial" w:cs="Arial"/>
          <w:sz w:val="20"/>
          <w:szCs w:val="20"/>
        </w:rPr>
        <w:t>.</w:t>
      </w:r>
      <w:r w:rsidR="007F21FB">
        <w:rPr>
          <w:rFonts w:ascii="Arial" w:hAnsi="Arial" w:cs="Arial"/>
          <w:sz w:val="20"/>
          <w:szCs w:val="20"/>
        </w:rPr>
        <w:t xml:space="preserve"> T</w:t>
      </w:r>
      <w:r w:rsidR="00285774">
        <w:rPr>
          <w:rFonts w:ascii="Arial" w:hAnsi="Arial" w:cs="Arial"/>
          <w:sz w:val="20"/>
          <w:szCs w:val="20"/>
        </w:rPr>
        <w:t xml:space="preserve">he Operating Committee may </w:t>
      </w:r>
      <w:r w:rsidR="00FD162D">
        <w:rPr>
          <w:rFonts w:ascii="Arial" w:hAnsi="Arial" w:cs="Arial"/>
          <w:sz w:val="20"/>
          <w:szCs w:val="20"/>
        </w:rPr>
        <w:t xml:space="preserve">develop and implement reasonable accommodations </w:t>
      </w:r>
      <w:r w:rsidR="00FE205B">
        <w:rPr>
          <w:rFonts w:ascii="Arial" w:hAnsi="Arial" w:cs="Arial"/>
          <w:sz w:val="20"/>
          <w:szCs w:val="20"/>
        </w:rPr>
        <w:t>for</w:t>
      </w:r>
      <w:r w:rsidR="00FD162D">
        <w:rPr>
          <w:rFonts w:ascii="Arial" w:hAnsi="Arial" w:cs="Arial"/>
          <w:sz w:val="20"/>
          <w:szCs w:val="20"/>
        </w:rPr>
        <w:t xml:space="preserve"> Seller</w:t>
      </w:r>
      <w:r w:rsidR="009F5B7F">
        <w:rPr>
          <w:rFonts w:ascii="Arial" w:hAnsi="Arial" w:cs="Arial"/>
          <w:sz w:val="20"/>
          <w:szCs w:val="20"/>
        </w:rPr>
        <w:t xml:space="preserve"> </w:t>
      </w:r>
      <w:r w:rsidR="00FD162D">
        <w:rPr>
          <w:rFonts w:ascii="Arial" w:hAnsi="Arial" w:cs="Arial"/>
          <w:sz w:val="20"/>
          <w:szCs w:val="20"/>
        </w:rPr>
        <w:t xml:space="preserve">with respect to additional data points that </w:t>
      </w:r>
      <w:r w:rsidR="001A2F16">
        <w:rPr>
          <w:rFonts w:ascii="Arial" w:hAnsi="Arial" w:cs="Arial"/>
          <w:sz w:val="20"/>
          <w:szCs w:val="20"/>
        </w:rPr>
        <w:t xml:space="preserve">(i) </w:t>
      </w:r>
      <w:r w:rsidR="00FD162D">
        <w:rPr>
          <w:rFonts w:ascii="Arial" w:hAnsi="Arial" w:cs="Arial"/>
          <w:sz w:val="20"/>
          <w:szCs w:val="20"/>
        </w:rPr>
        <w:t xml:space="preserve">are not readily available from Seller’s existing equipment and </w:t>
      </w:r>
      <w:r w:rsidR="001A2F16">
        <w:rPr>
          <w:rFonts w:ascii="Arial" w:hAnsi="Arial" w:cs="Arial"/>
          <w:sz w:val="20"/>
          <w:szCs w:val="20"/>
        </w:rPr>
        <w:t xml:space="preserve">(ii) </w:t>
      </w:r>
      <w:r w:rsidR="00FD162D">
        <w:rPr>
          <w:rFonts w:ascii="Arial" w:hAnsi="Arial" w:cs="Arial"/>
          <w:sz w:val="20"/>
          <w:szCs w:val="20"/>
        </w:rPr>
        <w:t>are not required by the Interconnection Provider</w:t>
      </w:r>
      <w:r w:rsidRPr="00DA7E58">
        <w:rPr>
          <w:rFonts w:ascii="Arial" w:hAnsi="Arial" w:cs="Arial"/>
          <w:sz w:val="20"/>
          <w:szCs w:val="20"/>
        </w:rPr>
        <w:t>.</w:t>
      </w:r>
      <w:r w:rsidR="001A2F16">
        <w:rPr>
          <w:rFonts w:ascii="Arial" w:hAnsi="Arial" w:cs="Arial"/>
          <w:sz w:val="20"/>
          <w:szCs w:val="20"/>
        </w:rPr>
        <w:t xml:space="preserve"> </w:t>
      </w:r>
      <w:r w:rsidR="005A2E58">
        <w:rPr>
          <w:rFonts w:ascii="Arial" w:hAnsi="Arial" w:cs="Arial"/>
          <w:sz w:val="20"/>
          <w:szCs w:val="20"/>
        </w:rPr>
        <w:t xml:space="preserve">Such </w:t>
      </w:r>
      <w:r w:rsidR="001A2F16">
        <w:rPr>
          <w:rFonts w:ascii="Arial" w:hAnsi="Arial" w:cs="Arial"/>
          <w:sz w:val="20"/>
          <w:szCs w:val="20"/>
        </w:rPr>
        <w:t xml:space="preserve">reasonable accommodations </w:t>
      </w:r>
      <w:r w:rsidR="005A2E58">
        <w:rPr>
          <w:rFonts w:ascii="Arial" w:hAnsi="Arial" w:cs="Arial"/>
          <w:sz w:val="20"/>
          <w:szCs w:val="20"/>
        </w:rPr>
        <w:t xml:space="preserve">may include </w:t>
      </w:r>
      <w:r w:rsidR="00D24B66">
        <w:rPr>
          <w:rFonts w:ascii="Arial" w:hAnsi="Arial" w:cs="Arial"/>
          <w:sz w:val="20"/>
          <w:szCs w:val="20"/>
        </w:rPr>
        <w:t>coordinating</w:t>
      </w:r>
      <w:r w:rsidR="00C65206">
        <w:rPr>
          <w:rFonts w:ascii="Arial" w:hAnsi="Arial" w:cs="Arial"/>
          <w:sz w:val="20"/>
          <w:szCs w:val="20"/>
        </w:rPr>
        <w:t xml:space="preserve"> required </w:t>
      </w:r>
      <w:r w:rsidR="009975D7">
        <w:rPr>
          <w:rFonts w:ascii="Arial" w:hAnsi="Arial" w:cs="Arial"/>
          <w:sz w:val="20"/>
          <w:szCs w:val="20"/>
        </w:rPr>
        <w:t>upgrade</w:t>
      </w:r>
      <w:r w:rsidR="000564BD">
        <w:rPr>
          <w:rFonts w:ascii="Arial" w:hAnsi="Arial" w:cs="Arial"/>
          <w:sz w:val="20"/>
          <w:szCs w:val="20"/>
        </w:rPr>
        <w:t>s</w:t>
      </w:r>
      <w:r w:rsidR="007F2DCE">
        <w:rPr>
          <w:rFonts w:ascii="Arial" w:hAnsi="Arial" w:cs="Arial"/>
          <w:sz w:val="20"/>
          <w:szCs w:val="20"/>
        </w:rPr>
        <w:t xml:space="preserve"> </w:t>
      </w:r>
      <w:r w:rsidR="00D24B66">
        <w:rPr>
          <w:rFonts w:ascii="Arial" w:hAnsi="Arial" w:cs="Arial"/>
          <w:sz w:val="20"/>
          <w:szCs w:val="20"/>
        </w:rPr>
        <w:t>to</w:t>
      </w:r>
      <w:r w:rsidR="009975D7">
        <w:rPr>
          <w:rFonts w:ascii="Arial" w:hAnsi="Arial" w:cs="Arial"/>
          <w:sz w:val="20"/>
          <w:szCs w:val="20"/>
        </w:rPr>
        <w:t xml:space="preserve"> Seller’s data capabilities</w:t>
      </w:r>
      <w:r w:rsidR="00C65206">
        <w:rPr>
          <w:rFonts w:ascii="Arial" w:hAnsi="Arial" w:cs="Arial"/>
          <w:sz w:val="20"/>
          <w:szCs w:val="20"/>
        </w:rPr>
        <w:t xml:space="preserve"> </w:t>
      </w:r>
      <w:r w:rsidR="00D24B66">
        <w:rPr>
          <w:rFonts w:ascii="Arial" w:hAnsi="Arial" w:cs="Arial"/>
          <w:sz w:val="20"/>
          <w:szCs w:val="20"/>
        </w:rPr>
        <w:t>with</w:t>
      </w:r>
      <w:r w:rsidR="00C65206">
        <w:rPr>
          <w:rFonts w:ascii="Arial" w:hAnsi="Arial" w:cs="Arial"/>
          <w:sz w:val="20"/>
          <w:szCs w:val="20"/>
        </w:rPr>
        <w:t xml:space="preserve"> Scheduled Outages</w:t>
      </w:r>
      <w:r w:rsidRPr="00DA7E58">
        <w:rPr>
          <w:rFonts w:ascii="Arial" w:hAnsi="Arial" w:cs="Arial"/>
          <w:sz w:val="20"/>
          <w:szCs w:val="20"/>
        </w:rPr>
        <w:t>.</w:t>
      </w:r>
    </w:p>
    <w:p w:rsidRPr="00DA7E58" w:rsidR="00D27A64" w:rsidP="00D27A64" w:rsidRDefault="00D27A64" w14:paraId="3843427D" w14:textId="5ABCBF81">
      <w:pPr>
        <w:widowControl w:val="0"/>
        <w:jc w:val="both"/>
        <w:rPr>
          <w:rFonts w:ascii="Arial" w:hAnsi="Arial" w:cs="Arial"/>
          <w:sz w:val="20"/>
          <w:szCs w:val="20"/>
        </w:rPr>
      </w:pPr>
      <w:r w:rsidRPr="00DA7E58">
        <w:rPr>
          <w:rFonts w:ascii="Arial" w:hAnsi="Arial" w:cs="Arial"/>
          <w:sz w:val="20"/>
          <w:szCs w:val="20"/>
        </w:rPr>
        <w:t>The Facility’s AGC system must be configured to interface with GPC’s AGC RTU to send and receive the following data for AGC: </w:t>
      </w:r>
    </w:p>
    <w:p w:rsidRPr="00711808" w:rsidR="00711808" w:rsidP="00D94D93" w:rsidRDefault="00711808" w14:paraId="170E2145" w14:textId="05B26904">
      <w:pPr>
        <w:pStyle w:val="zGBody1"/>
        <w:numPr>
          <w:ilvl w:val="0"/>
          <w:numId w:val="49"/>
        </w:numPr>
        <w:spacing w:before="120" w:after="120" w:line="20" w:lineRule="atLeast"/>
        <w:rPr>
          <w:rFonts w:eastAsia="Times New Roman"/>
        </w:rPr>
      </w:pPr>
      <w:bookmarkStart w:name="_Hlk214567100" w:id="1114"/>
      <w:r w:rsidRPr="00711808">
        <w:rPr>
          <w:rFonts w:eastAsia="Times New Roman"/>
        </w:rPr>
        <w:t>Data Points FOR ENTIRE FACILITY (RENEWABLE RESOURCE AND BESS)</w:t>
      </w:r>
    </w:p>
    <w:p w:rsidRPr="0072211F" w:rsidR="00711808" w:rsidP="00D94D93" w:rsidRDefault="00711808" w14:paraId="141F1508" w14:textId="6DD2C10E">
      <w:pPr>
        <w:keepNext/>
        <w:keepLines/>
        <w:numPr>
          <w:ilvl w:val="1"/>
          <w:numId w:val="45"/>
        </w:numPr>
        <w:tabs>
          <w:tab w:val="num" w:pos="1152"/>
          <w:tab w:val="left" w:pos="1337"/>
        </w:tabs>
        <w:spacing w:before="80" w:after="40"/>
        <w:ind w:left="1337" w:hanging="267"/>
        <w:outlineLvl w:val="4"/>
        <w:rPr>
          <w:rFonts w:ascii="Arial" w:hAnsi="Arial"/>
          <w:b/>
        </w:rPr>
      </w:pPr>
      <w:r w:rsidRPr="0072211F">
        <w:rPr>
          <w:rFonts w:ascii="Arial" w:hAnsi="Arial"/>
          <w:sz w:val="20"/>
          <w:u w:val="single" w:color="365F91"/>
        </w:rPr>
        <w:t>From</w:t>
      </w:r>
      <w:r w:rsidRPr="0072211F">
        <w:rPr>
          <w:rFonts w:ascii="Arial" w:hAnsi="Arial"/>
          <w:spacing w:val="-4"/>
          <w:sz w:val="20"/>
          <w:u w:val="single" w:color="365F91"/>
        </w:rPr>
        <w:t xml:space="preserve"> </w:t>
      </w:r>
      <w:r w:rsidRPr="00711808">
        <w:rPr>
          <w:rFonts w:ascii="Arial" w:hAnsi="Arial" w:eastAsia="Times New Roman" w:cs="Arial"/>
          <w:sz w:val="20"/>
          <w:szCs w:val="20"/>
          <w:u w:val="single" w:color="365F91"/>
        </w:rPr>
        <w:t>EMS</w:t>
      </w:r>
      <w:r w:rsidRPr="0072211F">
        <w:rPr>
          <w:rFonts w:ascii="Arial" w:hAnsi="Arial"/>
          <w:sz w:val="20"/>
          <w:u w:val="single" w:color="365F91"/>
        </w:rPr>
        <w:t xml:space="preserve"> to </w:t>
      </w:r>
      <w:r w:rsidRPr="00711808">
        <w:rPr>
          <w:rFonts w:ascii="Arial" w:hAnsi="Arial" w:eastAsia="Times New Roman" w:cs="Arial"/>
          <w:spacing w:val="-4"/>
          <w:sz w:val="20"/>
          <w:szCs w:val="20"/>
          <w:u w:val="single" w:color="365F91"/>
        </w:rPr>
        <w:t>Site</w:t>
      </w:r>
    </w:p>
    <w:p w:rsidRPr="00711808" w:rsidR="00711808" w:rsidP="00D94D93" w:rsidRDefault="00711808" w14:paraId="077699E5" w14:textId="494530F8">
      <w:pPr>
        <w:pStyle w:val="zGBody3"/>
        <w:numPr>
          <w:ilvl w:val="2"/>
          <w:numId w:val="49"/>
        </w:numPr>
        <w:ind w:left="1800" w:hanging="648"/>
        <w:rPr>
          <w:rFonts w:eastAsia="Times New Roman"/>
        </w:rPr>
      </w:pPr>
      <w:r w:rsidRPr="00711808">
        <w:rPr>
          <w:rFonts w:eastAsia="Times New Roman"/>
        </w:rPr>
        <w:t>Solar Setpoint (MW)</w:t>
      </w:r>
    </w:p>
    <w:p w:rsidRPr="00711808" w:rsidR="00711808" w:rsidP="00D94D93" w:rsidRDefault="00711808" w14:paraId="6BFA8C54" w14:textId="7E746FBC">
      <w:pPr>
        <w:pStyle w:val="zGBody3"/>
        <w:numPr>
          <w:ilvl w:val="2"/>
          <w:numId w:val="49"/>
        </w:numPr>
        <w:ind w:left="1800" w:hanging="648"/>
        <w:rPr>
          <w:rFonts w:eastAsia="Times New Roman"/>
        </w:rPr>
      </w:pPr>
      <w:r w:rsidRPr="00711808">
        <w:rPr>
          <w:rFonts w:eastAsia="Times New Roman"/>
        </w:rPr>
        <w:t>Storage Setpoint (MW)</w:t>
      </w:r>
    </w:p>
    <w:p w:rsidRPr="0072211F" w:rsidR="00711808" w:rsidP="00D94D93" w:rsidRDefault="00711808" w14:paraId="05E65DD1" w14:textId="23C4DCCD">
      <w:pPr>
        <w:keepNext/>
        <w:keepLines/>
        <w:numPr>
          <w:ilvl w:val="1"/>
          <w:numId w:val="45"/>
        </w:numPr>
        <w:tabs>
          <w:tab w:val="num" w:pos="1152"/>
          <w:tab w:val="left" w:pos="1337"/>
        </w:tabs>
        <w:spacing w:before="80" w:after="40"/>
        <w:ind w:left="1337" w:hanging="267"/>
        <w:outlineLvl w:val="4"/>
        <w:rPr>
          <w:rFonts w:ascii="Arial" w:hAnsi="Arial"/>
          <w:b/>
        </w:rPr>
      </w:pPr>
      <w:r w:rsidRPr="0072211F">
        <w:rPr>
          <w:rFonts w:ascii="Arial" w:hAnsi="Arial"/>
          <w:sz w:val="20"/>
          <w:u w:val="single" w:color="365F91"/>
        </w:rPr>
        <w:t>From</w:t>
      </w:r>
      <w:r w:rsidRPr="0072211F">
        <w:rPr>
          <w:rFonts w:ascii="Arial" w:hAnsi="Arial"/>
          <w:spacing w:val="-2"/>
          <w:sz w:val="20"/>
          <w:u w:val="single" w:color="365F91"/>
        </w:rPr>
        <w:t xml:space="preserve"> </w:t>
      </w:r>
      <w:r w:rsidRPr="00711808">
        <w:rPr>
          <w:rFonts w:ascii="Arial" w:hAnsi="Arial" w:eastAsia="Times New Roman" w:cs="Arial"/>
          <w:sz w:val="20"/>
          <w:szCs w:val="20"/>
          <w:u w:val="single" w:color="365F91"/>
        </w:rPr>
        <w:t>Site</w:t>
      </w:r>
      <w:r w:rsidRPr="0072211F">
        <w:rPr>
          <w:rFonts w:ascii="Arial" w:hAnsi="Arial"/>
          <w:spacing w:val="-1"/>
          <w:sz w:val="20"/>
          <w:u w:val="single" w:color="365F91"/>
        </w:rPr>
        <w:t xml:space="preserve"> </w:t>
      </w:r>
      <w:r w:rsidRPr="0072211F">
        <w:rPr>
          <w:rFonts w:ascii="Arial" w:hAnsi="Arial"/>
          <w:sz w:val="20"/>
          <w:u w:val="single" w:color="365F91"/>
        </w:rPr>
        <w:t xml:space="preserve">to </w:t>
      </w:r>
      <w:r w:rsidRPr="00711808">
        <w:rPr>
          <w:rFonts w:ascii="Arial" w:hAnsi="Arial" w:eastAsia="Times New Roman" w:cs="Arial"/>
          <w:spacing w:val="-5"/>
          <w:sz w:val="20"/>
          <w:szCs w:val="20"/>
          <w:u w:val="single" w:color="365F91"/>
        </w:rPr>
        <w:t>EMS</w:t>
      </w:r>
    </w:p>
    <w:p w:rsidRPr="00711808" w:rsidR="00711808" w:rsidP="00D94D93" w:rsidRDefault="00711808" w14:paraId="71A9D298" w14:textId="77777777">
      <w:pPr>
        <w:pStyle w:val="zGBody3"/>
        <w:numPr>
          <w:ilvl w:val="2"/>
          <w:numId w:val="49"/>
        </w:numPr>
        <w:ind w:left="1800" w:hanging="648"/>
        <w:rPr>
          <w:rFonts w:eastAsia="Times New Roman"/>
        </w:rPr>
      </w:pPr>
      <w:r w:rsidRPr="00711808">
        <w:rPr>
          <w:rFonts w:eastAsia="Times New Roman"/>
        </w:rPr>
        <w:t>All High-Side (Transmission Level 46kV &amp; above) device analog measurements (at POI)</w:t>
      </w:r>
    </w:p>
    <w:p w:rsidRPr="0072211F" w:rsidR="00711808" w:rsidP="00D94D93" w:rsidRDefault="00711808" w14:paraId="1B010FDA" w14:textId="7EC9D4EF">
      <w:pPr>
        <w:numPr>
          <w:ilvl w:val="2"/>
          <w:numId w:val="46"/>
        </w:numPr>
        <w:autoSpaceDE w:val="0"/>
        <w:autoSpaceDN w:val="0"/>
        <w:adjustRightInd w:val="0"/>
        <w:spacing w:before="120" w:after="240" w:line="240" w:lineRule="auto"/>
        <w:ind w:left="2160"/>
        <w:jc w:val="both"/>
        <w:rPr>
          <w:kern w:val="14"/>
        </w:rPr>
      </w:pPr>
      <w:r w:rsidRPr="0072211F">
        <w:rPr>
          <w:rFonts w:ascii="Arial" w:hAnsi="Arial"/>
          <w:kern w:val="14"/>
          <w:sz w:val="20"/>
        </w:rPr>
        <w:t xml:space="preserve">Total </w:t>
      </w:r>
      <w:r w:rsidRPr="00711808">
        <w:rPr>
          <w:rFonts w:ascii="Arial" w:hAnsi="Arial" w:eastAsia="Times New Roman" w:cs="Arial"/>
          <w:kern w:val="14"/>
          <w:sz w:val="20"/>
          <w:szCs w:val="20"/>
        </w:rPr>
        <w:t>PV+ Storage</w:t>
      </w:r>
      <w:r w:rsidRPr="0072211F">
        <w:rPr>
          <w:rFonts w:ascii="Arial" w:hAnsi="Arial"/>
          <w:kern w:val="14"/>
          <w:sz w:val="20"/>
        </w:rPr>
        <w:t xml:space="preserve"> net output AC MW (positive for discharging, negative for charging)</w:t>
      </w:r>
    </w:p>
    <w:p w:rsidRPr="0072211F" w:rsidR="00711808" w:rsidP="00D94D93" w:rsidRDefault="00711808" w14:paraId="12C9D0C6" w14:textId="734730AC">
      <w:pPr>
        <w:numPr>
          <w:ilvl w:val="2"/>
          <w:numId w:val="46"/>
        </w:numPr>
        <w:autoSpaceDE w:val="0"/>
        <w:autoSpaceDN w:val="0"/>
        <w:adjustRightInd w:val="0"/>
        <w:spacing w:before="120" w:after="240" w:line="240" w:lineRule="auto"/>
        <w:ind w:left="2160"/>
        <w:jc w:val="both"/>
        <w:rPr>
          <w:kern w:val="14"/>
        </w:rPr>
      </w:pPr>
      <w:r w:rsidRPr="0072211F">
        <w:rPr>
          <w:rFonts w:ascii="Arial" w:hAnsi="Arial"/>
          <w:kern w:val="14"/>
          <w:sz w:val="20"/>
        </w:rPr>
        <w:t xml:space="preserve">Total </w:t>
      </w:r>
      <w:r w:rsidRPr="00711808">
        <w:rPr>
          <w:rFonts w:ascii="Arial" w:hAnsi="Arial" w:eastAsia="Times New Roman" w:cs="Arial"/>
          <w:kern w:val="14"/>
          <w:sz w:val="20"/>
          <w:szCs w:val="20"/>
        </w:rPr>
        <w:t>PV+ Storage</w:t>
      </w:r>
      <w:r w:rsidRPr="0072211F">
        <w:rPr>
          <w:rFonts w:ascii="Arial" w:hAnsi="Arial"/>
          <w:kern w:val="14"/>
          <w:sz w:val="20"/>
        </w:rPr>
        <w:t xml:space="preserve"> net output AC MVAR</w:t>
      </w:r>
    </w:p>
    <w:p w:rsidRPr="0072211F" w:rsidR="00711808" w:rsidP="00D94D93" w:rsidRDefault="00711808" w14:paraId="635B06B5" w14:textId="77777777">
      <w:pPr>
        <w:numPr>
          <w:ilvl w:val="2"/>
          <w:numId w:val="46"/>
        </w:numPr>
        <w:autoSpaceDE w:val="0"/>
        <w:autoSpaceDN w:val="0"/>
        <w:adjustRightInd w:val="0"/>
        <w:spacing w:before="120" w:after="240" w:line="240" w:lineRule="auto"/>
        <w:ind w:left="2160"/>
        <w:jc w:val="both"/>
        <w:rPr>
          <w:kern w:val="14"/>
        </w:rPr>
      </w:pPr>
      <w:r w:rsidRPr="0072211F">
        <w:rPr>
          <w:rFonts w:ascii="Arial" w:hAnsi="Arial"/>
          <w:kern w:val="14"/>
          <w:sz w:val="20"/>
        </w:rPr>
        <w:t>Three-phase voltage (kV)</w:t>
      </w:r>
    </w:p>
    <w:p w:rsidRPr="0072211F" w:rsidR="00711808" w:rsidP="00D94D93" w:rsidRDefault="00711808" w14:paraId="361D323C" w14:textId="77777777">
      <w:pPr>
        <w:numPr>
          <w:ilvl w:val="2"/>
          <w:numId w:val="46"/>
        </w:numPr>
        <w:autoSpaceDE w:val="0"/>
        <w:autoSpaceDN w:val="0"/>
        <w:adjustRightInd w:val="0"/>
        <w:spacing w:before="120" w:after="240" w:line="240" w:lineRule="auto"/>
        <w:ind w:left="2160"/>
        <w:jc w:val="both"/>
        <w:rPr>
          <w:kern w:val="14"/>
        </w:rPr>
      </w:pPr>
      <w:r w:rsidRPr="0072211F">
        <w:rPr>
          <w:rFonts w:ascii="Arial" w:hAnsi="Arial"/>
          <w:kern w:val="14"/>
          <w:sz w:val="20"/>
        </w:rPr>
        <w:t>Three-phase current (A)</w:t>
      </w:r>
    </w:p>
    <w:p w:rsidRPr="00711808" w:rsidR="00711808" w:rsidP="00D94D93" w:rsidRDefault="00711808" w14:paraId="191CF187" w14:textId="0D232322">
      <w:pPr>
        <w:pStyle w:val="zGBody3"/>
        <w:numPr>
          <w:ilvl w:val="2"/>
          <w:numId w:val="49"/>
        </w:numPr>
        <w:ind w:left="1800" w:hanging="648"/>
        <w:rPr>
          <w:rFonts w:eastAsia="Times New Roman"/>
        </w:rPr>
      </w:pPr>
      <w:r w:rsidRPr="00711808">
        <w:rPr>
          <w:rFonts w:eastAsia="Times New Roman"/>
        </w:rPr>
        <w:t>All High-Side (Transmission Level 46kV &amp; above) device status (Breakers, Switches, disconnects states (OPEN/CLOSED)</w:t>
      </w:r>
    </w:p>
    <w:p w:rsidRPr="00711808" w:rsidR="00711808" w:rsidP="00D94D93" w:rsidRDefault="00711808" w14:paraId="066A97B2" w14:textId="18079184">
      <w:pPr>
        <w:pStyle w:val="zGBody3"/>
        <w:numPr>
          <w:ilvl w:val="2"/>
          <w:numId w:val="49"/>
        </w:numPr>
        <w:ind w:left="1800" w:hanging="648"/>
        <w:rPr>
          <w:rFonts w:eastAsia="Times New Roman"/>
        </w:rPr>
      </w:pPr>
      <w:r w:rsidRPr="00711808">
        <w:rPr>
          <w:rFonts w:eastAsia="Times New Roman"/>
        </w:rPr>
        <w:t>All Low-Side (34.5 kV) collector system analog measurements</w:t>
      </w:r>
    </w:p>
    <w:p w:rsidRPr="0072211F" w:rsidR="00711808" w:rsidP="00D94D93" w:rsidRDefault="00711808" w14:paraId="424A3E5D" w14:textId="75663756">
      <w:pPr>
        <w:numPr>
          <w:ilvl w:val="2"/>
          <w:numId w:val="47"/>
        </w:numPr>
        <w:autoSpaceDE w:val="0"/>
        <w:autoSpaceDN w:val="0"/>
        <w:adjustRightInd w:val="0"/>
        <w:spacing w:before="120" w:after="240" w:line="240" w:lineRule="auto"/>
        <w:ind w:left="2160"/>
        <w:jc w:val="both"/>
        <w:rPr>
          <w:kern w:val="14"/>
        </w:rPr>
      </w:pPr>
      <w:r w:rsidRPr="0072211F">
        <w:rPr>
          <w:rFonts w:ascii="Arial" w:hAnsi="Arial"/>
          <w:kern w:val="14"/>
          <w:sz w:val="20"/>
        </w:rPr>
        <w:t>Individual Feeder Aggregated output AC MW</w:t>
      </w:r>
    </w:p>
    <w:p w:rsidRPr="0072211F" w:rsidR="00711808" w:rsidP="00D94D93" w:rsidRDefault="00711808" w14:paraId="35474031" w14:textId="6D65DBE5">
      <w:pPr>
        <w:numPr>
          <w:ilvl w:val="2"/>
          <w:numId w:val="47"/>
        </w:numPr>
        <w:autoSpaceDE w:val="0"/>
        <w:autoSpaceDN w:val="0"/>
        <w:adjustRightInd w:val="0"/>
        <w:spacing w:before="120" w:after="240" w:line="240" w:lineRule="auto"/>
        <w:ind w:left="2160"/>
        <w:jc w:val="both"/>
        <w:rPr>
          <w:kern w:val="14"/>
        </w:rPr>
      </w:pPr>
      <w:r w:rsidRPr="0072211F">
        <w:rPr>
          <w:rFonts w:ascii="Arial" w:hAnsi="Arial"/>
          <w:kern w:val="14"/>
          <w:sz w:val="20"/>
        </w:rPr>
        <w:lastRenderedPageBreak/>
        <w:t>Individual Feeder Aggregated output AC MVAR</w:t>
      </w:r>
    </w:p>
    <w:p w:rsidRPr="0072211F" w:rsidR="00711808" w:rsidP="00D94D93" w:rsidRDefault="00711808" w14:paraId="09765971" w14:textId="5E20D54E">
      <w:pPr>
        <w:numPr>
          <w:ilvl w:val="2"/>
          <w:numId w:val="47"/>
        </w:numPr>
        <w:autoSpaceDE w:val="0"/>
        <w:autoSpaceDN w:val="0"/>
        <w:adjustRightInd w:val="0"/>
        <w:spacing w:before="120" w:after="240" w:line="240" w:lineRule="auto"/>
        <w:ind w:left="2160"/>
        <w:jc w:val="both"/>
        <w:rPr>
          <w:kern w:val="14"/>
        </w:rPr>
      </w:pPr>
      <w:r w:rsidRPr="0072211F">
        <w:rPr>
          <w:rFonts w:ascii="Arial" w:hAnsi="Arial"/>
          <w:kern w:val="14"/>
          <w:sz w:val="20"/>
        </w:rPr>
        <w:t>Three-phase voltage (kV)</w:t>
      </w:r>
    </w:p>
    <w:p w:rsidRPr="0072211F" w:rsidR="00711808" w:rsidP="00D94D93" w:rsidRDefault="00711808" w14:paraId="1C51FC06" w14:textId="77777777">
      <w:pPr>
        <w:numPr>
          <w:ilvl w:val="2"/>
          <w:numId w:val="47"/>
        </w:numPr>
        <w:autoSpaceDE w:val="0"/>
        <w:autoSpaceDN w:val="0"/>
        <w:adjustRightInd w:val="0"/>
        <w:spacing w:before="120" w:after="240" w:line="240" w:lineRule="auto"/>
        <w:ind w:left="2160"/>
        <w:jc w:val="both"/>
        <w:rPr>
          <w:kern w:val="14"/>
        </w:rPr>
      </w:pPr>
      <w:r w:rsidRPr="0072211F">
        <w:rPr>
          <w:rFonts w:ascii="Arial" w:hAnsi="Arial"/>
          <w:kern w:val="14"/>
          <w:sz w:val="20"/>
        </w:rPr>
        <w:t>Three-phase current (A)</w:t>
      </w:r>
    </w:p>
    <w:p w:rsidRPr="0072211F" w:rsidR="00711808" w:rsidP="00D94D93" w:rsidRDefault="00711808" w14:paraId="103E3FF5" w14:textId="77777777">
      <w:pPr>
        <w:numPr>
          <w:ilvl w:val="2"/>
          <w:numId w:val="47"/>
        </w:numPr>
        <w:autoSpaceDE w:val="0"/>
        <w:autoSpaceDN w:val="0"/>
        <w:adjustRightInd w:val="0"/>
        <w:spacing w:before="120" w:after="240" w:line="240" w:lineRule="auto"/>
        <w:ind w:left="2160"/>
        <w:jc w:val="both"/>
        <w:rPr>
          <w:kern w:val="14"/>
        </w:rPr>
      </w:pPr>
      <w:r w:rsidRPr="0072211F">
        <w:rPr>
          <w:rFonts w:ascii="Arial" w:hAnsi="Arial"/>
          <w:kern w:val="14"/>
          <w:sz w:val="20"/>
        </w:rPr>
        <w:t>Reactive device output MVAR (if applicable)</w:t>
      </w:r>
    </w:p>
    <w:p w:rsidRPr="00711808" w:rsidR="00711808" w:rsidP="00D94D93" w:rsidRDefault="00711808" w14:paraId="3F28624F" w14:textId="77777777">
      <w:pPr>
        <w:pStyle w:val="zGBody3"/>
        <w:numPr>
          <w:ilvl w:val="2"/>
          <w:numId w:val="49"/>
        </w:numPr>
        <w:ind w:left="1800" w:hanging="648"/>
        <w:rPr>
          <w:rFonts w:eastAsia="Times New Roman"/>
        </w:rPr>
      </w:pPr>
      <w:r w:rsidRPr="00711808">
        <w:rPr>
          <w:rFonts w:eastAsia="Times New Roman"/>
        </w:rPr>
        <w:t>All Low-Side (34.5 kV) collector system device status (OPEN/CLOSED)</w:t>
      </w:r>
    </w:p>
    <w:p w:rsidRPr="0072211F" w:rsidR="00711808" w:rsidP="00D94D93" w:rsidRDefault="00711808" w14:paraId="0B505568" w14:textId="77777777">
      <w:pPr>
        <w:numPr>
          <w:ilvl w:val="2"/>
          <w:numId w:val="48"/>
        </w:numPr>
        <w:autoSpaceDE w:val="0"/>
        <w:autoSpaceDN w:val="0"/>
        <w:adjustRightInd w:val="0"/>
        <w:spacing w:before="120" w:after="240" w:line="240" w:lineRule="auto"/>
        <w:ind w:firstLine="720"/>
        <w:jc w:val="both"/>
        <w:rPr>
          <w:kern w:val="14"/>
        </w:rPr>
      </w:pPr>
      <w:r w:rsidRPr="0072211F">
        <w:rPr>
          <w:rFonts w:ascii="Arial" w:hAnsi="Arial"/>
          <w:kern w:val="14"/>
          <w:sz w:val="20"/>
        </w:rPr>
        <w:t>Individual BESS Feeder Breaker status</w:t>
      </w:r>
    </w:p>
    <w:p w:rsidRPr="0072211F" w:rsidR="00711808" w:rsidP="00D94D93" w:rsidRDefault="00711808" w14:paraId="23E92F0E" w14:textId="77777777">
      <w:pPr>
        <w:numPr>
          <w:ilvl w:val="2"/>
          <w:numId w:val="48"/>
        </w:numPr>
        <w:autoSpaceDE w:val="0"/>
        <w:autoSpaceDN w:val="0"/>
        <w:adjustRightInd w:val="0"/>
        <w:spacing w:before="120" w:after="240" w:line="240" w:lineRule="auto"/>
        <w:ind w:left="2160"/>
        <w:jc w:val="both"/>
        <w:rPr>
          <w:kern w:val="14"/>
        </w:rPr>
      </w:pPr>
      <w:r w:rsidRPr="0072211F">
        <w:rPr>
          <w:rFonts w:ascii="Arial" w:hAnsi="Arial"/>
          <w:kern w:val="14"/>
          <w:sz w:val="20"/>
        </w:rPr>
        <w:t>Reactive device breaker status (LTC, shunts, dynamic reactive devices, etc.)</w:t>
      </w:r>
    </w:p>
    <w:p w:rsidRPr="0072211F" w:rsidR="00711808" w:rsidP="00D94D93" w:rsidRDefault="00711808" w14:paraId="43BEEF5F" w14:textId="77777777">
      <w:pPr>
        <w:numPr>
          <w:ilvl w:val="2"/>
          <w:numId w:val="48"/>
        </w:numPr>
        <w:autoSpaceDE w:val="0"/>
        <w:autoSpaceDN w:val="0"/>
        <w:adjustRightInd w:val="0"/>
        <w:spacing w:before="120" w:after="240" w:line="240" w:lineRule="auto"/>
        <w:ind w:left="2160"/>
        <w:jc w:val="both"/>
        <w:rPr>
          <w:kern w:val="14"/>
        </w:rPr>
      </w:pPr>
      <w:r w:rsidRPr="0072211F">
        <w:rPr>
          <w:rFonts w:ascii="Arial" w:hAnsi="Arial"/>
          <w:kern w:val="14"/>
          <w:sz w:val="20"/>
        </w:rPr>
        <w:t>Reactive device circuit switcher status (if applicable)</w:t>
      </w:r>
    </w:p>
    <w:p w:rsidRPr="00711808" w:rsidR="00711808" w:rsidP="00D94D93" w:rsidRDefault="00711808" w14:paraId="0EF1EDB3" w14:textId="77777777">
      <w:pPr>
        <w:pStyle w:val="zGBody3"/>
        <w:numPr>
          <w:ilvl w:val="2"/>
          <w:numId w:val="49"/>
        </w:numPr>
        <w:ind w:left="1800" w:hanging="648"/>
        <w:rPr>
          <w:rFonts w:eastAsia="Times New Roman"/>
        </w:rPr>
      </w:pPr>
      <w:r w:rsidRPr="00711808">
        <w:rPr>
          <w:rFonts w:eastAsia="Times New Roman"/>
        </w:rPr>
        <w:t>Plant Voltage Regulation Mode Status (Auto/Manual)</w:t>
      </w:r>
    </w:p>
    <w:p w:rsidRPr="00711808" w:rsidR="00711808" w:rsidP="00D94D93" w:rsidRDefault="00711808" w14:paraId="7238ABDD" w14:textId="77777777">
      <w:pPr>
        <w:pStyle w:val="zGBody3"/>
        <w:numPr>
          <w:ilvl w:val="2"/>
          <w:numId w:val="49"/>
        </w:numPr>
        <w:ind w:left="1800" w:hanging="648"/>
        <w:rPr>
          <w:rFonts w:eastAsia="Times New Roman"/>
        </w:rPr>
      </w:pPr>
      <w:r w:rsidRPr="00711808">
        <w:rPr>
          <w:rFonts w:eastAsia="Times New Roman"/>
        </w:rPr>
        <w:t>Reactive Support (MVARs) at Zero power Status (ENABLED/DISABLED)</w:t>
      </w:r>
    </w:p>
    <w:p w:rsidRPr="00711808" w:rsidR="00711808" w:rsidP="00D94D93" w:rsidRDefault="00711808" w14:paraId="03263433" w14:textId="1D253DF4">
      <w:pPr>
        <w:pStyle w:val="zGBody3"/>
        <w:numPr>
          <w:ilvl w:val="2"/>
          <w:numId w:val="49"/>
        </w:numPr>
        <w:ind w:left="1800" w:hanging="648"/>
        <w:rPr>
          <w:rFonts w:eastAsia="Times New Roman"/>
        </w:rPr>
      </w:pPr>
      <w:r w:rsidRPr="00711808">
        <w:rPr>
          <w:rFonts w:eastAsia="Times New Roman"/>
        </w:rPr>
        <w:t>High Limit Status (Normal/Alarm)</w:t>
      </w:r>
    </w:p>
    <w:p w:rsidRPr="00711808" w:rsidR="00711808" w:rsidP="00D94D93" w:rsidRDefault="00711808" w14:paraId="6BAD4631" w14:textId="77777777">
      <w:pPr>
        <w:pStyle w:val="zGBody3"/>
        <w:numPr>
          <w:ilvl w:val="2"/>
          <w:numId w:val="49"/>
        </w:numPr>
        <w:ind w:left="1800" w:hanging="648"/>
        <w:rPr>
          <w:rFonts w:eastAsia="Times New Roman"/>
        </w:rPr>
      </w:pPr>
      <w:r w:rsidRPr="00711808">
        <w:rPr>
          <w:rFonts w:eastAsia="Times New Roman"/>
        </w:rPr>
        <w:t>Low Limit Status (Normal/Alarm)</w:t>
      </w:r>
    </w:p>
    <w:p w:rsidRPr="00711808" w:rsidR="00711808" w:rsidP="00D94D93" w:rsidRDefault="00711808" w14:paraId="716AB272" w14:textId="38C6859E">
      <w:pPr>
        <w:pStyle w:val="zGBody3"/>
        <w:numPr>
          <w:ilvl w:val="2"/>
          <w:numId w:val="49"/>
        </w:numPr>
        <w:ind w:left="1800" w:hanging="648"/>
        <w:rPr>
          <w:rFonts w:eastAsia="Times New Roman"/>
        </w:rPr>
      </w:pPr>
      <w:r w:rsidRPr="00711808">
        <w:rPr>
          <w:rFonts w:eastAsia="Times New Roman"/>
        </w:rPr>
        <w:t>Station Service/ Aux Power (MW)</w:t>
      </w:r>
    </w:p>
    <w:p w:rsidRPr="00711808" w:rsidR="00711808" w:rsidP="00D94D93" w:rsidRDefault="00711808" w14:paraId="254CBEDE" w14:textId="3300DF48">
      <w:pPr>
        <w:pStyle w:val="zGBody3"/>
        <w:numPr>
          <w:ilvl w:val="2"/>
          <w:numId w:val="49"/>
        </w:numPr>
        <w:ind w:left="1800" w:hanging="648"/>
        <w:rPr>
          <w:rFonts w:eastAsia="Times New Roman"/>
        </w:rPr>
      </w:pPr>
      <w:r w:rsidRPr="00711808">
        <w:rPr>
          <w:rFonts w:eastAsia="Times New Roman"/>
        </w:rPr>
        <w:t>Number of inverters available</w:t>
      </w:r>
    </w:p>
    <w:p w:rsidRPr="00711808" w:rsidR="00711808" w:rsidP="00D94D93" w:rsidRDefault="00711808" w14:paraId="0C432371" w14:textId="4382A1AD">
      <w:pPr>
        <w:pStyle w:val="zGBody3"/>
        <w:numPr>
          <w:ilvl w:val="2"/>
          <w:numId w:val="49"/>
        </w:numPr>
        <w:ind w:left="1800" w:hanging="648"/>
        <w:rPr>
          <w:rFonts w:eastAsia="Times New Roman"/>
        </w:rPr>
      </w:pPr>
      <w:r w:rsidRPr="00711808">
        <w:rPr>
          <w:rFonts w:eastAsia="Times New Roman"/>
        </w:rPr>
        <w:t>Number of inverters producing power</w:t>
      </w:r>
    </w:p>
    <w:p w:rsidRPr="00711808" w:rsidR="00711808" w:rsidP="00D94D93" w:rsidRDefault="00711808" w14:paraId="06B362E5" w14:textId="05813F7F">
      <w:pPr>
        <w:pStyle w:val="zGBody3"/>
        <w:numPr>
          <w:ilvl w:val="2"/>
          <w:numId w:val="49"/>
        </w:numPr>
        <w:ind w:left="1800" w:hanging="648"/>
        <w:rPr>
          <w:rFonts w:eastAsia="Times New Roman"/>
        </w:rPr>
      </w:pPr>
      <w:r w:rsidRPr="00711808">
        <w:rPr>
          <w:rFonts w:eastAsia="Times New Roman"/>
        </w:rPr>
        <w:t>Number of inverters tripped</w:t>
      </w:r>
    </w:p>
    <w:p w:rsidRPr="00711808" w:rsidR="00711808" w:rsidP="00D94D93" w:rsidRDefault="00711808" w14:paraId="2AE5B18D" w14:textId="4A6D8FDA">
      <w:pPr>
        <w:pStyle w:val="zGBody3"/>
        <w:numPr>
          <w:ilvl w:val="2"/>
          <w:numId w:val="49"/>
        </w:numPr>
        <w:ind w:left="1800" w:hanging="648"/>
        <w:rPr>
          <w:rFonts w:eastAsia="Times New Roman"/>
        </w:rPr>
      </w:pPr>
      <w:r w:rsidRPr="00711808">
        <w:rPr>
          <w:rFonts w:eastAsia="Times New Roman"/>
        </w:rPr>
        <w:t>Number of inverters not communicating</w:t>
      </w:r>
    </w:p>
    <w:p w:rsidRPr="00B81314" w:rsidR="008416A5" w:rsidP="00D94D93" w:rsidRDefault="00711808" w14:paraId="3E1EE6C4" w14:textId="5900D06A">
      <w:pPr>
        <w:pStyle w:val="zGBody3"/>
        <w:numPr>
          <w:ilvl w:val="2"/>
          <w:numId w:val="49"/>
        </w:numPr>
        <w:ind w:left="1800" w:hanging="648"/>
        <w:rPr>
          <w:rFonts w:eastAsia="Times New Roman"/>
        </w:rPr>
      </w:pPr>
      <w:r w:rsidRPr="00711808">
        <w:rPr>
          <w:rFonts w:eastAsia="Times New Roman"/>
        </w:rPr>
        <w:t>Number of inverters out of service</w:t>
      </w:r>
      <w:bookmarkEnd w:id="1114"/>
    </w:p>
    <w:p w:rsidR="008416A5" w:rsidP="00D94D93" w:rsidRDefault="008416A5" w14:paraId="08A15FB5" w14:textId="77777777">
      <w:pPr>
        <w:pStyle w:val="zGBody1"/>
        <w:numPr>
          <w:ilvl w:val="0"/>
          <w:numId w:val="49"/>
        </w:numPr>
        <w:spacing w:before="120" w:after="120" w:line="20" w:lineRule="atLeast"/>
      </w:pPr>
      <w:r w:rsidRPr="002D2A8F">
        <w:t>Renewable Resource</w:t>
      </w:r>
      <w:r>
        <w:t xml:space="preserve"> </w:t>
      </w:r>
      <w:r w:rsidRPr="002D2A8F">
        <w:t>Data Points</w:t>
      </w:r>
    </w:p>
    <w:p w:rsidR="008416A5" w:rsidP="00D94D93" w:rsidRDefault="008416A5" w14:paraId="31E1576E" w14:textId="77777777">
      <w:pPr>
        <w:pStyle w:val="zGBody3"/>
        <w:numPr>
          <w:ilvl w:val="2"/>
          <w:numId w:val="49"/>
        </w:numPr>
        <w:ind w:left="1800" w:hanging="648"/>
      </w:pPr>
      <w:r>
        <w:t>S</w:t>
      </w:r>
      <w:r w:rsidRPr="00B908A6">
        <w:t>olar on AGC signal (ENABLED/DISABLED)</w:t>
      </w:r>
    </w:p>
    <w:p w:rsidR="008416A5" w:rsidP="00D94D93" w:rsidRDefault="008416A5" w14:paraId="2CE3E50A" w14:textId="77777777">
      <w:pPr>
        <w:pStyle w:val="zGBody3"/>
        <w:numPr>
          <w:ilvl w:val="2"/>
          <w:numId w:val="49"/>
        </w:numPr>
        <w:ind w:left="1800" w:hanging="648"/>
      </w:pPr>
      <w:r w:rsidRPr="001F3EDD">
        <w:t>Plant Level Ramp Rate (MW/min)</w:t>
      </w:r>
    </w:p>
    <w:p w:rsidR="008416A5" w:rsidP="00D94D93" w:rsidRDefault="008416A5" w14:paraId="3DD66E73" w14:textId="77777777">
      <w:pPr>
        <w:pStyle w:val="zGBody3"/>
        <w:numPr>
          <w:ilvl w:val="2"/>
          <w:numId w:val="49"/>
        </w:numPr>
        <w:ind w:left="1800" w:hanging="648"/>
      </w:pPr>
      <w:r w:rsidRPr="001F3EDD">
        <w:t>Operating High Limit (MW)</w:t>
      </w:r>
    </w:p>
    <w:p w:rsidR="008416A5" w:rsidP="00D94D93" w:rsidRDefault="008416A5" w14:paraId="665805FF" w14:textId="77777777">
      <w:pPr>
        <w:pStyle w:val="zGBody3"/>
        <w:numPr>
          <w:ilvl w:val="2"/>
          <w:numId w:val="49"/>
        </w:numPr>
        <w:ind w:left="1800" w:hanging="648"/>
      </w:pPr>
      <w:r w:rsidRPr="001F3EDD">
        <w:t>High Limit (MW)</w:t>
      </w:r>
    </w:p>
    <w:p w:rsidR="008416A5" w:rsidP="00D94D93" w:rsidRDefault="008416A5" w14:paraId="59EAE7C5" w14:textId="77777777">
      <w:pPr>
        <w:pStyle w:val="zGBody3"/>
        <w:numPr>
          <w:ilvl w:val="2"/>
          <w:numId w:val="49"/>
        </w:numPr>
        <w:ind w:left="1800" w:hanging="648"/>
      </w:pPr>
      <w:r w:rsidRPr="001F3EDD">
        <w:t>Potential High Limit (MW)</w:t>
      </w:r>
    </w:p>
    <w:p w:rsidR="008416A5" w:rsidP="00D94D93" w:rsidRDefault="008416A5" w14:paraId="23CA4C21" w14:textId="77777777">
      <w:pPr>
        <w:pStyle w:val="zGBody3"/>
        <w:numPr>
          <w:ilvl w:val="2"/>
          <w:numId w:val="49"/>
        </w:numPr>
        <w:ind w:left="1800" w:hanging="648"/>
      </w:pPr>
      <w:r w:rsidRPr="001F3EDD">
        <w:t>Operating Low Limit (MW)</w:t>
      </w:r>
    </w:p>
    <w:p w:rsidR="008416A5" w:rsidP="00D94D93" w:rsidRDefault="008416A5" w14:paraId="22D7667B" w14:textId="77777777">
      <w:pPr>
        <w:pStyle w:val="zGBody3"/>
        <w:numPr>
          <w:ilvl w:val="2"/>
          <w:numId w:val="49"/>
        </w:numPr>
        <w:ind w:left="1800" w:hanging="648"/>
      </w:pPr>
      <w:r w:rsidRPr="001F3EDD">
        <w:t>Solar AGC Ramp Rate Increase (+MW/min)</w:t>
      </w:r>
    </w:p>
    <w:p w:rsidR="008416A5" w:rsidP="00D94D93" w:rsidRDefault="008416A5" w14:paraId="3C834404" w14:textId="77777777">
      <w:pPr>
        <w:pStyle w:val="zGBody3"/>
        <w:numPr>
          <w:ilvl w:val="2"/>
          <w:numId w:val="49"/>
        </w:numPr>
        <w:ind w:left="1800" w:hanging="648"/>
      </w:pPr>
      <w:r w:rsidRPr="001F3EDD">
        <w:t>Solar AGC Ramp Rate Decrease (-MW/min)</w:t>
      </w:r>
    </w:p>
    <w:p w:rsidRPr="00780136" w:rsidR="00780136" w:rsidP="00D94D93" w:rsidRDefault="008416A5" w14:paraId="0E7E2EDE" w14:textId="48A81F99">
      <w:pPr>
        <w:pStyle w:val="zGBody3"/>
        <w:numPr>
          <w:ilvl w:val="2"/>
          <w:numId w:val="49"/>
        </w:numPr>
        <w:ind w:left="1800" w:hanging="648"/>
      </w:pPr>
      <w:r w:rsidRPr="001F3EDD">
        <w:lastRenderedPageBreak/>
        <w:t>Solar Setpoint Feedback (MW)</w:t>
      </w:r>
    </w:p>
    <w:p w:rsidRPr="00767C31" w:rsidR="00780136" w:rsidP="00D94D93" w:rsidRDefault="00780136" w14:paraId="0F4480B2" w14:textId="7BE944B8">
      <w:pPr>
        <w:pStyle w:val="zGBody1"/>
        <w:numPr>
          <w:ilvl w:val="0"/>
          <w:numId w:val="49"/>
        </w:numPr>
        <w:spacing w:before="120" w:after="120" w:line="20" w:lineRule="atLeast"/>
      </w:pPr>
      <w:r w:rsidRPr="0072211F">
        <w:rPr>
          <w:rFonts w:ascii="Arial" w:hAnsi="Arial"/>
        </w:rPr>
        <w:t xml:space="preserve">BESS </w:t>
      </w:r>
      <w:r w:rsidRPr="00780136">
        <w:rPr>
          <w:rFonts w:ascii="Arial" w:hAnsi="Arial" w:eastAsia="Times New Roman"/>
        </w:rPr>
        <w:t>DATA POINTS</w:t>
      </w:r>
    </w:p>
    <w:p w:rsidRPr="00C30012" w:rsidR="00C30012" w:rsidP="00D94D93" w:rsidRDefault="00C30012" w14:paraId="727173AE" w14:textId="4E05F6E4">
      <w:pPr>
        <w:pStyle w:val="zGBody3"/>
        <w:numPr>
          <w:ilvl w:val="2"/>
          <w:numId w:val="49"/>
        </w:numPr>
        <w:ind w:left="1800" w:hanging="648"/>
        <w:rPr>
          <w:rFonts w:eastAsia="Times New Roman"/>
        </w:rPr>
      </w:pPr>
      <w:r w:rsidRPr="00C30012">
        <w:rPr>
          <w:rFonts w:eastAsia="Times New Roman"/>
        </w:rPr>
        <w:t>Gross</w:t>
      </w:r>
      <w:r w:rsidRPr="0072211F">
        <w:rPr>
          <w:spacing w:val="-6"/>
        </w:rPr>
        <w:t xml:space="preserve"> </w:t>
      </w:r>
      <w:r w:rsidRPr="00C30012">
        <w:rPr>
          <w:rFonts w:eastAsia="Times New Roman"/>
        </w:rPr>
        <w:t>Storage</w:t>
      </w:r>
      <w:r w:rsidRPr="0072211F">
        <w:rPr>
          <w:spacing w:val="-3"/>
        </w:rPr>
        <w:t xml:space="preserve"> </w:t>
      </w:r>
      <w:r w:rsidRPr="00C30012">
        <w:rPr>
          <w:rFonts w:eastAsia="Times New Roman"/>
        </w:rPr>
        <w:t>DC</w:t>
      </w:r>
      <w:r w:rsidRPr="0072211F">
        <w:rPr>
          <w:spacing w:val="-6"/>
        </w:rPr>
        <w:t xml:space="preserve"> </w:t>
      </w:r>
      <w:r w:rsidRPr="00C30012">
        <w:rPr>
          <w:rFonts w:eastAsia="Times New Roman"/>
        </w:rPr>
        <w:t>MW</w:t>
      </w:r>
      <w:r w:rsidRPr="0072211F">
        <w:rPr>
          <w:spacing w:val="-4"/>
        </w:rPr>
        <w:t xml:space="preserve"> </w:t>
      </w:r>
      <w:r w:rsidRPr="00C30012">
        <w:rPr>
          <w:rFonts w:eastAsia="Times New Roman"/>
        </w:rPr>
        <w:t>(positive</w:t>
      </w:r>
      <w:r w:rsidRPr="0072211F">
        <w:rPr>
          <w:spacing w:val="-5"/>
        </w:rPr>
        <w:t xml:space="preserve"> </w:t>
      </w:r>
      <w:r w:rsidRPr="00C30012">
        <w:rPr>
          <w:rFonts w:eastAsia="Times New Roman"/>
        </w:rPr>
        <w:t>for</w:t>
      </w:r>
      <w:r w:rsidRPr="0072211F">
        <w:rPr>
          <w:spacing w:val="-3"/>
        </w:rPr>
        <w:t xml:space="preserve"> </w:t>
      </w:r>
      <w:r w:rsidRPr="00C30012">
        <w:rPr>
          <w:rFonts w:eastAsia="Times New Roman"/>
        </w:rPr>
        <w:t>discharging,</w:t>
      </w:r>
      <w:r w:rsidRPr="0072211F">
        <w:rPr>
          <w:spacing w:val="-4"/>
        </w:rPr>
        <w:t xml:space="preserve"> </w:t>
      </w:r>
      <w:r w:rsidRPr="00C30012">
        <w:rPr>
          <w:rFonts w:eastAsia="Times New Roman"/>
        </w:rPr>
        <w:t>negative</w:t>
      </w:r>
      <w:r w:rsidRPr="0072211F">
        <w:rPr>
          <w:spacing w:val="-4"/>
        </w:rPr>
        <w:t xml:space="preserve"> </w:t>
      </w:r>
      <w:r w:rsidRPr="00C30012">
        <w:rPr>
          <w:rFonts w:eastAsia="Times New Roman"/>
        </w:rPr>
        <w:t>for</w:t>
      </w:r>
      <w:r w:rsidRPr="0072211F">
        <w:rPr>
          <w:spacing w:val="-4"/>
        </w:rPr>
        <w:t xml:space="preserve"> </w:t>
      </w:r>
      <w:r w:rsidRPr="00C30012">
        <w:rPr>
          <w:rFonts w:eastAsia="Times New Roman"/>
          <w:spacing w:val="-2"/>
        </w:rPr>
        <w:t>charging</w:t>
      </w:r>
      <w:r w:rsidRPr="0072211F">
        <w:rPr>
          <w:spacing w:val="-2"/>
        </w:rPr>
        <w:t>)</w:t>
      </w:r>
    </w:p>
    <w:p w:rsidRPr="00C30012" w:rsidR="00C30012" w:rsidP="00D94D93" w:rsidRDefault="00C30012" w14:paraId="056FD386" w14:textId="77777777">
      <w:pPr>
        <w:pStyle w:val="zGBody3"/>
        <w:numPr>
          <w:ilvl w:val="2"/>
          <w:numId w:val="49"/>
        </w:numPr>
        <w:ind w:left="1800" w:hanging="648"/>
        <w:rPr>
          <w:rFonts w:eastAsia="Times New Roman"/>
        </w:rPr>
      </w:pPr>
      <w:r w:rsidRPr="00C30012">
        <w:rPr>
          <w:rFonts w:eastAsia="Times New Roman"/>
        </w:rPr>
        <w:t>Plant</w:t>
      </w:r>
      <w:r w:rsidRPr="0072211F">
        <w:rPr>
          <w:spacing w:val="-4"/>
        </w:rPr>
        <w:t xml:space="preserve"> </w:t>
      </w:r>
      <w:r w:rsidRPr="00C30012">
        <w:rPr>
          <w:rFonts w:eastAsia="Times New Roman"/>
        </w:rPr>
        <w:t>Voltage</w:t>
      </w:r>
      <w:r w:rsidRPr="0072211F">
        <w:rPr>
          <w:spacing w:val="-6"/>
        </w:rPr>
        <w:t xml:space="preserve"> </w:t>
      </w:r>
      <w:r w:rsidRPr="00C30012">
        <w:rPr>
          <w:rFonts w:eastAsia="Times New Roman"/>
        </w:rPr>
        <w:t>Regulation</w:t>
      </w:r>
      <w:r w:rsidRPr="0072211F">
        <w:rPr>
          <w:spacing w:val="-6"/>
        </w:rPr>
        <w:t xml:space="preserve"> </w:t>
      </w:r>
      <w:r w:rsidRPr="00C30012">
        <w:rPr>
          <w:rFonts w:eastAsia="Times New Roman"/>
        </w:rPr>
        <w:t>Mode</w:t>
      </w:r>
      <w:r w:rsidRPr="0072211F">
        <w:rPr>
          <w:spacing w:val="-4"/>
        </w:rPr>
        <w:t xml:space="preserve"> </w:t>
      </w:r>
      <w:r w:rsidRPr="00C30012">
        <w:rPr>
          <w:rFonts w:eastAsia="Times New Roman"/>
        </w:rPr>
        <w:t>Status</w:t>
      </w:r>
      <w:r w:rsidRPr="0072211F">
        <w:rPr>
          <w:spacing w:val="-1"/>
        </w:rPr>
        <w:t xml:space="preserve"> </w:t>
      </w:r>
      <w:r w:rsidRPr="0072211F">
        <w:rPr>
          <w:spacing w:val="-2"/>
        </w:rPr>
        <w:t>(Auto/Manual)</w:t>
      </w:r>
    </w:p>
    <w:p w:rsidRPr="00C30012" w:rsidR="00C30012" w:rsidP="00D94D93" w:rsidRDefault="00C30012" w14:paraId="2E127227" w14:textId="77777777">
      <w:pPr>
        <w:pStyle w:val="zGBody3"/>
        <w:numPr>
          <w:ilvl w:val="2"/>
          <w:numId w:val="49"/>
        </w:numPr>
        <w:ind w:left="1800" w:hanging="648"/>
        <w:rPr>
          <w:rFonts w:eastAsia="Times New Roman"/>
        </w:rPr>
      </w:pPr>
      <w:r w:rsidRPr="00C30012">
        <w:rPr>
          <w:rFonts w:eastAsia="Times New Roman"/>
        </w:rPr>
        <w:t>Reactive</w:t>
      </w:r>
      <w:r w:rsidRPr="0072211F">
        <w:rPr>
          <w:spacing w:val="-7"/>
        </w:rPr>
        <w:t xml:space="preserve"> </w:t>
      </w:r>
      <w:r w:rsidRPr="00C30012">
        <w:rPr>
          <w:rFonts w:eastAsia="Times New Roman"/>
        </w:rPr>
        <w:t>Support</w:t>
      </w:r>
      <w:r w:rsidRPr="0072211F">
        <w:rPr>
          <w:spacing w:val="-4"/>
        </w:rPr>
        <w:t xml:space="preserve"> </w:t>
      </w:r>
      <w:r w:rsidRPr="00C30012">
        <w:rPr>
          <w:rFonts w:eastAsia="Times New Roman"/>
        </w:rPr>
        <w:t>(MVARs)</w:t>
      </w:r>
      <w:r w:rsidRPr="0072211F">
        <w:rPr>
          <w:spacing w:val="-7"/>
        </w:rPr>
        <w:t xml:space="preserve"> </w:t>
      </w:r>
      <w:r w:rsidRPr="00C30012">
        <w:rPr>
          <w:rFonts w:eastAsia="Times New Roman"/>
        </w:rPr>
        <w:t>at</w:t>
      </w:r>
      <w:r w:rsidRPr="0072211F">
        <w:rPr>
          <w:spacing w:val="-4"/>
        </w:rPr>
        <w:t xml:space="preserve"> </w:t>
      </w:r>
      <w:r w:rsidRPr="00C30012">
        <w:rPr>
          <w:rFonts w:eastAsia="Times New Roman"/>
        </w:rPr>
        <w:t>Zero</w:t>
      </w:r>
      <w:r w:rsidRPr="0072211F">
        <w:rPr>
          <w:spacing w:val="-1"/>
        </w:rPr>
        <w:t xml:space="preserve"> </w:t>
      </w:r>
      <w:r w:rsidRPr="00C30012">
        <w:rPr>
          <w:rFonts w:eastAsia="Times New Roman"/>
        </w:rPr>
        <w:t>power</w:t>
      </w:r>
      <w:r w:rsidRPr="0072211F">
        <w:rPr>
          <w:spacing w:val="-6"/>
        </w:rPr>
        <w:t xml:space="preserve"> </w:t>
      </w:r>
      <w:r w:rsidRPr="00C30012">
        <w:rPr>
          <w:rFonts w:eastAsia="Times New Roman"/>
        </w:rPr>
        <w:t>Status</w:t>
      </w:r>
      <w:r w:rsidRPr="0072211F">
        <w:rPr>
          <w:spacing w:val="-6"/>
        </w:rPr>
        <w:t xml:space="preserve"> </w:t>
      </w:r>
      <w:r w:rsidRPr="0072211F">
        <w:rPr>
          <w:spacing w:val="-2"/>
        </w:rPr>
        <w:t>(</w:t>
      </w:r>
      <w:r w:rsidRPr="00C30012">
        <w:rPr>
          <w:rFonts w:eastAsia="Times New Roman"/>
          <w:spacing w:val="-2"/>
        </w:rPr>
        <w:t>ENABLED/DISABLED)</w:t>
      </w:r>
    </w:p>
    <w:p w:rsidRPr="00C30012" w:rsidR="00C30012" w:rsidP="00D94D93" w:rsidRDefault="00C30012" w14:paraId="14B21E08" w14:textId="77777777">
      <w:pPr>
        <w:pStyle w:val="zGBody3"/>
        <w:numPr>
          <w:ilvl w:val="2"/>
          <w:numId w:val="49"/>
        </w:numPr>
        <w:ind w:left="1800" w:hanging="648"/>
        <w:rPr>
          <w:rFonts w:eastAsia="Times New Roman"/>
        </w:rPr>
      </w:pPr>
      <w:r w:rsidRPr="00C30012">
        <w:rPr>
          <w:rFonts w:eastAsia="Times New Roman"/>
        </w:rPr>
        <w:t>Storage</w:t>
      </w:r>
      <w:r w:rsidRPr="00C30012">
        <w:rPr>
          <w:rFonts w:eastAsia="Times New Roman"/>
          <w:spacing w:val="-4"/>
        </w:rPr>
        <w:t xml:space="preserve"> </w:t>
      </w:r>
      <w:r w:rsidRPr="00C30012">
        <w:rPr>
          <w:rFonts w:eastAsia="Times New Roman"/>
        </w:rPr>
        <w:t>on</w:t>
      </w:r>
      <w:r w:rsidRPr="00C30012">
        <w:rPr>
          <w:rFonts w:eastAsia="Times New Roman"/>
          <w:spacing w:val="-3"/>
        </w:rPr>
        <w:t xml:space="preserve"> </w:t>
      </w:r>
      <w:r w:rsidRPr="00C30012">
        <w:rPr>
          <w:rFonts w:eastAsia="Times New Roman"/>
        </w:rPr>
        <w:t>AGC</w:t>
      </w:r>
      <w:r w:rsidRPr="00C30012">
        <w:rPr>
          <w:rFonts w:eastAsia="Times New Roman"/>
          <w:spacing w:val="-5"/>
        </w:rPr>
        <w:t xml:space="preserve"> </w:t>
      </w:r>
      <w:r w:rsidRPr="00C30012">
        <w:rPr>
          <w:rFonts w:eastAsia="Times New Roman"/>
        </w:rPr>
        <w:t>Signal</w:t>
      </w:r>
      <w:r w:rsidRPr="00C30012">
        <w:rPr>
          <w:rFonts w:eastAsia="Times New Roman"/>
          <w:spacing w:val="-2"/>
        </w:rPr>
        <w:t xml:space="preserve"> (ENABLED/DISABLED)</w:t>
      </w:r>
    </w:p>
    <w:p w:rsidRPr="00C30012" w:rsidR="00C30012" w:rsidP="00D94D93" w:rsidRDefault="00C30012" w14:paraId="1036E6E9" w14:textId="77777777">
      <w:pPr>
        <w:pStyle w:val="zGBody3"/>
        <w:numPr>
          <w:ilvl w:val="2"/>
          <w:numId w:val="49"/>
        </w:numPr>
        <w:ind w:left="1800" w:hanging="648"/>
        <w:rPr>
          <w:rFonts w:eastAsia="Times New Roman"/>
        </w:rPr>
      </w:pPr>
      <w:r w:rsidRPr="00C30012">
        <w:rPr>
          <w:rFonts w:eastAsia="Times New Roman"/>
        </w:rPr>
        <w:t>Present</w:t>
      </w:r>
      <w:r w:rsidRPr="0072211F">
        <w:rPr>
          <w:spacing w:val="-3"/>
        </w:rPr>
        <w:t xml:space="preserve"> </w:t>
      </w:r>
      <w:r w:rsidRPr="00C30012">
        <w:rPr>
          <w:rFonts w:eastAsia="Times New Roman"/>
        </w:rPr>
        <w:t>State</w:t>
      </w:r>
      <w:r w:rsidRPr="0072211F">
        <w:rPr>
          <w:spacing w:val="-3"/>
        </w:rPr>
        <w:t xml:space="preserve"> </w:t>
      </w:r>
      <w:r w:rsidRPr="00C30012">
        <w:rPr>
          <w:rFonts w:eastAsia="Times New Roman"/>
        </w:rPr>
        <w:t>of</w:t>
      </w:r>
      <w:r w:rsidRPr="0072211F">
        <w:rPr>
          <w:spacing w:val="-3"/>
        </w:rPr>
        <w:t xml:space="preserve"> </w:t>
      </w:r>
      <w:r w:rsidRPr="00C30012">
        <w:rPr>
          <w:rFonts w:eastAsia="Times New Roman"/>
        </w:rPr>
        <w:t>Charge</w:t>
      </w:r>
      <w:r w:rsidRPr="0072211F">
        <w:rPr>
          <w:spacing w:val="-3"/>
        </w:rPr>
        <w:t xml:space="preserve"> </w:t>
      </w:r>
      <w:r w:rsidRPr="0072211F">
        <w:rPr>
          <w:spacing w:val="-2"/>
        </w:rPr>
        <w:t>(MWh)</w:t>
      </w:r>
    </w:p>
    <w:p w:rsidRPr="00C30012" w:rsidR="00C30012" w:rsidP="00D94D93" w:rsidRDefault="00C30012" w14:paraId="25452F7E" w14:textId="4E352032">
      <w:pPr>
        <w:pStyle w:val="zGBody3"/>
        <w:numPr>
          <w:ilvl w:val="2"/>
          <w:numId w:val="49"/>
        </w:numPr>
        <w:ind w:left="1800" w:hanging="648"/>
        <w:rPr>
          <w:rFonts w:eastAsia="Times New Roman"/>
        </w:rPr>
      </w:pPr>
      <w:r w:rsidRPr="00C30012">
        <w:rPr>
          <w:rFonts w:eastAsia="Times New Roman"/>
        </w:rPr>
        <w:t>Maximum</w:t>
      </w:r>
      <w:r w:rsidRPr="0072211F">
        <w:rPr>
          <w:spacing w:val="-6"/>
        </w:rPr>
        <w:t xml:space="preserve"> </w:t>
      </w:r>
      <w:r w:rsidRPr="00C30012">
        <w:rPr>
          <w:rFonts w:eastAsia="Times New Roman"/>
        </w:rPr>
        <w:t>Operational</w:t>
      </w:r>
      <w:r w:rsidRPr="0072211F">
        <w:rPr>
          <w:spacing w:val="-3"/>
        </w:rPr>
        <w:t xml:space="preserve"> </w:t>
      </w:r>
      <w:r w:rsidRPr="00C30012">
        <w:rPr>
          <w:rFonts w:eastAsia="Times New Roman"/>
        </w:rPr>
        <w:t>State</w:t>
      </w:r>
      <w:r w:rsidRPr="0072211F">
        <w:rPr>
          <w:spacing w:val="-4"/>
        </w:rPr>
        <w:t xml:space="preserve"> </w:t>
      </w:r>
      <w:r w:rsidRPr="00C30012">
        <w:rPr>
          <w:rFonts w:eastAsia="Times New Roman"/>
        </w:rPr>
        <w:t>of</w:t>
      </w:r>
      <w:r w:rsidRPr="0072211F">
        <w:rPr>
          <w:spacing w:val="-6"/>
        </w:rPr>
        <w:t xml:space="preserve"> </w:t>
      </w:r>
      <w:r w:rsidRPr="00C30012">
        <w:rPr>
          <w:rFonts w:eastAsia="Times New Roman"/>
        </w:rPr>
        <w:t>Charge</w:t>
      </w:r>
      <w:r w:rsidRPr="0072211F">
        <w:rPr>
          <w:spacing w:val="-3"/>
        </w:rPr>
        <w:t xml:space="preserve"> </w:t>
      </w:r>
      <w:r w:rsidRPr="00C30012">
        <w:rPr>
          <w:rFonts w:eastAsia="Times New Roman"/>
        </w:rPr>
        <w:t>limit</w:t>
      </w:r>
      <w:r w:rsidRPr="0072211F">
        <w:rPr>
          <w:spacing w:val="-5"/>
        </w:rPr>
        <w:t xml:space="preserve"> </w:t>
      </w:r>
      <w:r w:rsidRPr="0072211F">
        <w:rPr>
          <w:spacing w:val="-4"/>
        </w:rPr>
        <w:t>(MWh)</w:t>
      </w:r>
    </w:p>
    <w:p w:rsidRPr="00C30012" w:rsidR="00C30012" w:rsidP="00D94D93" w:rsidRDefault="00C30012" w14:paraId="6A3BCD1D" w14:textId="77777777">
      <w:pPr>
        <w:pStyle w:val="zGBody3"/>
        <w:numPr>
          <w:ilvl w:val="2"/>
          <w:numId w:val="49"/>
        </w:numPr>
        <w:ind w:left="1800" w:hanging="648"/>
        <w:rPr>
          <w:rFonts w:eastAsia="Times New Roman"/>
        </w:rPr>
      </w:pPr>
      <w:r w:rsidRPr="00C30012">
        <w:rPr>
          <w:rFonts w:eastAsia="Times New Roman"/>
        </w:rPr>
        <w:t>Minimum</w:t>
      </w:r>
      <w:r w:rsidRPr="0072211F">
        <w:rPr>
          <w:spacing w:val="-3"/>
        </w:rPr>
        <w:t xml:space="preserve"> </w:t>
      </w:r>
      <w:r w:rsidRPr="00C30012">
        <w:rPr>
          <w:rFonts w:eastAsia="Times New Roman"/>
        </w:rPr>
        <w:t>Operational</w:t>
      </w:r>
      <w:r w:rsidRPr="0072211F">
        <w:rPr>
          <w:spacing w:val="-4"/>
        </w:rPr>
        <w:t xml:space="preserve"> </w:t>
      </w:r>
      <w:r w:rsidRPr="00C30012">
        <w:rPr>
          <w:rFonts w:eastAsia="Times New Roman"/>
        </w:rPr>
        <w:t>State</w:t>
      </w:r>
      <w:r w:rsidRPr="0072211F">
        <w:rPr>
          <w:spacing w:val="-3"/>
        </w:rPr>
        <w:t xml:space="preserve"> </w:t>
      </w:r>
      <w:r w:rsidRPr="00C30012">
        <w:rPr>
          <w:rFonts w:eastAsia="Times New Roman"/>
        </w:rPr>
        <w:t>of</w:t>
      </w:r>
      <w:r w:rsidRPr="0072211F">
        <w:rPr>
          <w:spacing w:val="-7"/>
        </w:rPr>
        <w:t xml:space="preserve"> </w:t>
      </w:r>
      <w:r w:rsidRPr="00C30012">
        <w:rPr>
          <w:rFonts w:eastAsia="Times New Roman"/>
        </w:rPr>
        <w:t>Charge</w:t>
      </w:r>
      <w:r w:rsidRPr="0072211F">
        <w:rPr>
          <w:spacing w:val="-3"/>
        </w:rPr>
        <w:t xml:space="preserve"> </w:t>
      </w:r>
      <w:r w:rsidRPr="00C30012">
        <w:rPr>
          <w:rFonts w:eastAsia="Times New Roman"/>
        </w:rPr>
        <w:t>limit</w:t>
      </w:r>
      <w:r w:rsidRPr="0072211F">
        <w:rPr>
          <w:spacing w:val="-5"/>
        </w:rPr>
        <w:t xml:space="preserve"> </w:t>
      </w:r>
      <w:r w:rsidRPr="0072211F">
        <w:rPr>
          <w:spacing w:val="-4"/>
        </w:rPr>
        <w:t>(MWh)</w:t>
      </w:r>
    </w:p>
    <w:p w:rsidRPr="00C30012" w:rsidR="00C30012" w:rsidP="00D94D93" w:rsidRDefault="00C30012" w14:paraId="1338B14C" w14:textId="77777777">
      <w:pPr>
        <w:pStyle w:val="zGBody3"/>
        <w:numPr>
          <w:ilvl w:val="2"/>
          <w:numId w:val="49"/>
        </w:numPr>
        <w:ind w:left="1800" w:hanging="648"/>
        <w:rPr>
          <w:rFonts w:eastAsia="Times New Roman"/>
        </w:rPr>
      </w:pPr>
      <w:r w:rsidRPr="00C30012">
        <w:rPr>
          <w:rFonts w:eastAsia="Times New Roman"/>
        </w:rPr>
        <w:t>Discharge</w:t>
      </w:r>
      <w:r w:rsidRPr="0072211F">
        <w:rPr>
          <w:spacing w:val="-6"/>
        </w:rPr>
        <w:t xml:space="preserve"> </w:t>
      </w:r>
      <w:r w:rsidRPr="00C30012">
        <w:rPr>
          <w:rFonts w:eastAsia="Times New Roman"/>
        </w:rPr>
        <w:t>Time</w:t>
      </w:r>
      <w:r w:rsidRPr="0072211F">
        <w:rPr>
          <w:spacing w:val="-2"/>
        </w:rPr>
        <w:t xml:space="preserve"> </w:t>
      </w:r>
      <w:r w:rsidRPr="00C30012">
        <w:rPr>
          <w:rFonts w:eastAsia="Times New Roman"/>
        </w:rPr>
        <w:t>(minutes)</w:t>
      </w:r>
      <w:r w:rsidRPr="0072211F">
        <w:rPr>
          <w:spacing w:val="-3"/>
        </w:rPr>
        <w:t xml:space="preserve"> </w:t>
      </w:r>
      <w:r w:rsidRPr="00C30012">
        <w:rPr>
          <w:rFonts w:eastAsia="Times New Roman"/>
        </w:rPr>
        <w:t>(estimated</w:t>
      </w:r>
      <w:r w:rsidRPr="0072211F">
        <w:rPr>
          <w:spacing w:val="-5"/>
        </w:rPr>
        <w:t xml:space="preserve"> </w:t>
      </w:r>
      <w:r w:rsidRPr="00C30012">
        <w:rPr>
          <w:rFonts w:eastAsia="Times New Roman"/>
        </w:rPr>
        <w:t>discharge</w:t>
      </w:r>
      <w:r w:rsidRPr="0072211F">
        <w:rPr>
          <w:spacing w:val="-4"/>
        </w:rPr>
        <w:t xml:space="preserve"> </w:t>
      </w:r>
      <w:r w:rsidRPr="00C30012">
        <w:rPr>
          <w:rFonts w:eastAsia="Times New Roman"/>
        </w:rPr>
        <w:t>time</w:t>
      </w:r>
      <w:r w:rsidRPr="0072211F">
        <w:rPr>
          <w:spacing w:val="-6"/>
        </w:rPr>
        <w:t xml:space="preserve"> </w:t>
      </w:r>
      <w:r w:rsidRPr="00C30012">
        <w:rPr>
          <w:rFonts w:eastAsia="Times New Roman"/>
        </w:rPr>
        <w:t>based</w:t>
      </w:r>
      <w:r w:rsidRPr="0072211F">
        <w:rPr>
          <w:spacing w:val="-4"/>
        </w:rPr>
        <w:t xml:space="preserve"> </w:t>
      </w:r>
      <w:r w:rsidRPr="00C30012">
        <w:rPr>
          <w:rFonts w:eastAsia="Times New Roman"/>
        </w:rPr>
        <w:t>on</w:t>
      </w:r>
      <w:r w:rsidRPr="0072211F">
        <w:rPr>
          <w:spacing w:val="-7"/>
        </w:rPr>
        <w:t xml:space="preserve"> </w:t>
      </w:r>
      <w:r w:rsidRPr="00C30012">
        <w:rPr>
          <w:rFonts w:eastAsia="Times New Roman"/>
        </w:rPr>
        <w:t>remaining</w:t>
      </w:r>
      <w:r w:rsidRPr="0072211F">
        <w:rPr>
          <w:spacing w:val="-5"/>
        </w:rPr>
        <w:t xml:space="preserve"> </w:t>
      </w:r>
      <w:r w:rsidRPr="00C30012">
        <w:rPr>
          <w:rFonts w:eastAsia="Times New Roman"/>
        </w:rPr>
        <w:t>energy</w:t>
      </w:r>
      <w:r w:rsidRPr="0072211F">
        <w:rPr>
          <w:spacing w:val="-6"/>
        </w:rPr>
        <w:t xml:space="preserve"> </w:t>
      </w:r>
      <w:r w:rsidRPr="00C30012">
        <w:rPr>
          <w:rFonts w:eastAsia="Times New Roman"/>
        </w:rPr>
        <w:t>and current discharge rate)</w:t>
      </w:r>
    </w:p>
    <w:p w:rsidRPr="00C30012" w:rsidR="00C30012" w:rsidP="00D94D93" w:rsidRDefault="00C30012" w14:paraId="00F66956" w14:textId="77777777">
      <w:pPr>
        <w:pStyle w:val="zGBody3"/>
        <w:numPr>
          <w:ilvl w:val="2"/>
          <w:numId w:val="49"/>
        </w:numPr>
        <w:ind w:left="1800" w:hanging="648"/>
        <w:rPr>
          <w:rFonts w:eastAsia="Times New Roman"/>
        </w:rPr>
      </w:pPr>
      <w:r w:rsidRPr="00C30012">
        <w:rPr>
          <w:rFonts w:eastAsia="Times New Roman"/>
        </w:rPr>
        <w:t>Charge</w:t>
      </w:r>
      <w:r w:rsidRPr="0072211F">
        <w:rPr>
          <w:spacing w:val="-3"/>
        </w:rPr>
        <w:t xml:space="preserve"> </w:t>
      </w:r>
      <w:r w:rsidRPr="00C30012">
        <w:rPr>
          <w:rFonts w:eastAsia="Times New Roman"/>
        </w:rPr>
        <w:t>Time</w:t>
      </w:r>
      <w:r w:rsidRPr="0072211F">
        <w:rPr>
          <w:spacing w:val="-4"/>
        </w:rPr>
        <w:t xml:space="preserve"> </w:t>
      </w:r>
      <w:r w:rsidRPr="00C30012">
        <w:rPr>
          <w:rFonts w:eastAsia="Times New Roman"/>
        </w:rPr>
        <w:t>(minutes)</w:t>
      </w:r>
      <w:r w:rsidRPr="0072211F">
        <w:rPr>
          <w:spacing w:val="-2"/>
        </w:rPr>
        <w:t xml:space="preserve"> </w:t>
      </w:r>
      <w:r w:rsidRPr="00C30012">
        <w:rPr>
          <w:rFonts w:eastAsia="Times New Roman"/>
        </w:rPr>
        <w:t>(estimated</w:t>
      </w:r>
      <w:r w:rsidRPr="0072211F">
        <w:rPr>
          <w:spacing w:val="-7"/>
        </w:rPr>
        <w:t xml:space="preserve"> </w:t>
      </w:r>
      <w:r w:rsidRPr="00C30012">
        <w:rPr>
          <w:rFonts w:eastAsia="Times New Roman"/>
        </w:rPr>
        <w:t>charge</w:t>
      </w:r>
      <w:r w:rsidRPr="0072211F">
        <w:rPr>
          <w:spacing w:val="-5"/>
        </w:rPr>
        <w:t xml:space="preserve"> </w:t>
      </w:r>
      <w:r w:rsidRPr="00C30012">
        <w:rPr>
          <w:rFonts w:eastAsia="Times New Roman"/>
        </w:rPr>
        <w:t>time</w:t>
      </w:r>
      <w:r w:rsidRPr="0072211F">
        <w:rPr>
          <w:spacing w:val="-3"/>
        </w:rPr>
        <w:t xml:space="preserve"> </w:t>
      </w:r>
      <w:r w:rsidRPr="00C30012">
        <w:rPr>
          <w:rFonts w:eastAsia="Times New Roman"/>
        </w:rPr>
        <w:t>based</w:t>
      </w:r>
      <w:r w:rsidRPr="0072211F">
        <w:rPr>
          <w:spacing w:val="-8"/>
        </w:rPr>
        <w:t xml:space="preserve"> </w:t>
      </w:r>
      <w:r w:rsidRPr="00C30012">
        <w:rPr>
          <w:rFonts w:eastAsia="Times New Roman"/>
        </w:rPr>
        <w:t>on</w:t>
      </w:r>
      <w:r w:rsidRPr="0072211F">
        <w:rPr>
          <w:spacing w:val="-4"/>
        </w:rPr>
        <w:t xml:space="preserve"> </w:t>
      </w:r>
      <w:r w:rsidRPr="00C30012">
        <w:rPr>
          <w:rFonts w:eastAsia="Times New Roman"/>
        </w:rPr>
        <w:t>remaining</w:t>
      </w:r>
      <w:r w:rsidRPr="0072211F">
        <w:rPr>
          <w:spacing w:val="-4"/>
        </w:rPr>
        <w:t xml:space="preserve"> </w:t>
      </w:r>
      <w:r w:rsidRPr="00C30012">
        <w:rPr>
          <w:rFonts w:eastAsia="Times New Roman"/>
        </w:rPr>
        <w:t>energy</w:t>
      </w:r>
      <w:r w:rsidRPr="0072211F">
        <w:rPr>
          <w:spacing w:val="-3"/>
        </w:rPr>
        <w:t xml:space="preserve"> </w:t>
      </w:r>
      <w:r w:rsidRPr="00C30012">
        <w:rPr>
          <w:rFonts w:eastAsia="Times New Roman"/>
        </w:rPr>
        <w:t>capacity</w:t>
      </w:r>
      <w:r w:rsidRPr="0072211F">
        <w:rPr>
          <w:spacing w:val="-3"/>
        </w:rPr>
        <w:t xml:space="preserve"> </w:t>
      </w:r>
      <w:r w:rsidRPr="00C30012">
        <w:rPr>
          <w:rFonts w:eastAsia="Times New Roman"/>
        </w:rPr>
        <w:t>and current charge rate)</w:t>
      </w:r>
    </w:p>
    <w:p w:rsidRPr="00C30012" w:rsidR="00C30012" w:rsidP="00D94D93" w:rsidRDefault="00C30012" w14:paraId="0833A89D" w14:textId="77777777">
      <w:pPr>
        <w:pStyle w:val="zGBody3"/>
        <w:numPr>
          <w:ilvl w:val="2"/>
          <w:numId w:val="49"/>
        </w:numPr>
        <w:ind w:left="1800" w:hanging="648"/>
        <w:rPr>
          <w:rFonts w:eastAsia="Times New Roman"/>
        </w:rPr>
      </w:pPr>
      <w:r w:rsidRPr="00C30012">
        <w:rPr>
          <w:rFonts w:eastAsia="Times New Roman"/>
        </w:rPr>
        <w:t>Current</w:t>
      </w:r>
      <w:r w:rsidRPr="0072211F">
        <w:rPr>
          <w:spacing w:val="-4"/>
        </w:rPr>
        <w:t xml:space="preserve"> </w:t>
      </w:r>
      <w:r w:rsidRPr="00C30012">
        <w:rPr>
          <w:rFonts w:eastAsia="Times New Roman"/>
        </w:rPr>
        <w:t>Discharge</w:t>
      </w:r>
      <w:r w:rsidRPr="0072211F">
        <w:rPr>
          <w:spacing w:val="-6"/>
        </w:rPr>
        <w:t xml:space="preserve"> </w:t>
      </w:r>
      <w:r w:rsidRPr="00C30012">
        <w:rPr>
          <w:rFonts w:eastAsia="Times New Roman"/>
        </w:rPr>
        <w:t>Limit</w:t>
      </w:r>
      <w:r w:rsidRPr="0072211F">
        <w:rPr>
          <w:spacing w:val="-3"/>
        </w:rPr>
        <w:t xml:space="preserve"> </w:t>
      </w:r>
      <w:r w:rsidRPr="00C30012">
        <w:rPr>
          <w:rFonts w:eastAsia="Times New Roman"/>
        </w:rPr>
        <w:t>[Operating</w:t>
      </w:r>
      <w:r w:rsidRPr="0072211F">
        <w:rPr>
          <w:spacing w:val="-5"/>
        </w:rPr>
        <w:t xml:space="preserve"> </w:t>
      </w:r>
      <w:r w:rsidRPr="00C30012">
        <w:rPr>
          <w:rFonts w:eastAsia="Times New Roman"/>
        </w:rPr>
        <w:t>High</w:t>
      </w:r>
      <w:r w:rsidRPr="0072211F">
        <w:rPr>
          <w:spacing w:val="-5"/>
        </w:rPr>
        <w:t xml:space="preserve"> </w:t>
      </w:r>
      <w:r w:rsidRPr="00C30012">
        <w:rPr>
          <w:rFonts w:eastAsia="Times New Roman"/>
        </w:rPr>
        <w:t>Limit</w:t>
      </w:r>
      <w:r w:rsidRPr="0072211F">
        <w:rPr>
          <w:spacing w:val="-3"/>
        </w:rPr>
        <w:t xml:space="preserve"> </w:t>
      </w:r>
      <w:r w:rsidRPr="0072211F">
        <w:rPr>
          <w:spacing w:val="-4"/>
        </w:rPr>
        <w:t>(MW)]</w:t>
      </w:r>
    </w:p>
    <w:p w:rsidRPr="00C30012" w:rsidR="00C30012" w:rsidP="00D94D93" w:rsidRDefault="00C30012" w14:paraId="40D8547F" w14:textId="77777777">
      <w:pPr>
        <w:pStyle w:val="zGBody3"/>
        <w:numPr>
          <w:ilvl w:val="2"/>
          <w:numId w:val="49"/>
        </w:numPr>
        <w:ind w:left="1800" w:hanging="648"/>
        <w:rPr>
          <w:rFonts w:eastAsia="Times New Roman"/>
        </w:rPr>
      </w:pPr>
      <w:r w:rsidRPr="00C30012">
        <w:rPr>
          <w:rFonts w:eastAsia="Times New Roman"/>
        </w:rPr>
        <w:t>Maximum</w:t>
      </w:r>
      <w:r w:rsidRPr="0072211F">
        <w:rPr>
          <w:spacing w:val="-5"/>
        </w:rPr>
        <w:t xml:space="preserve"> </w:t>
      </w:r>
      <w:r w:rsidRPr="00C30012">
        <w:rPr>
          <w:rFonts w:eastAsia="Times New Roman"/>
        </w:rPr>
        <w:t>Discharge</w:t>
      </w:r>
      <w:r w:rsidRPr="0072211F">
        <w:rPr>
          <w:spacing w:val="-4"/>
        </w:rPr>
        <w:t xml:space="preserve"> </w:t>
      </w:r>
      <w:r w:rsidRPr="00C30012">
        <w:rPr>
          <w:rFonts w:eastAsia="Times New Roman"/>
        </w:rPr>
        <w:t>Limit</w:t>
      </w:r>
      <w:r w:rsidRPr="0072211F">
        <w:rPr>
          <w:spacing w:val="-7"/>
        </w:rPr>
        <w:t xml:space="preserve"> </w:t>
      </w:r>
      <w:r w:rsidRPr="00C30012">
        <w:rPr>
          <w:rFonts w:eastAsia="Times New Roman"/>
        </w:rPr>
        <w:t>[High</w:t>
      </w:r>
      <w:r w:rsidRPr="0072211F">
        <w:rPr>
          <w:spacing w:val="-5"/>
        </w:rPr>
        <w:t xml:space="preserve"> </w:t>
      </w:r>
      <w:r w:rsidRPr="00C30012">
        <w:rPr>
          <w:rFonts w:eastAsia="Times New Roman"/>
        </w:rPr>
        <w:t>Limit</w:t>
      </w:r>
      <w:r w:rsidRPr="0072211F">
        <w:rPr>
          <w:spacing w:val="-6"/>
        </w:rPr>
        <w:t xml:space="preserve"> </w:t>
      </w:r>
      <w:r w:rsidRPr="0072211F">
        <w:rPr>
          <w:spacing w:val="-2"/>
        </w:rPr>
        <w:t>(MW)]</w:t>
      </w:r>
    </w:p>
    <w:p w:rsidRPr="00C30012" w:rsidR="00C30012" w:rsidP="00D94D93" w:rsidRDefault="00C30012" w14:paraId="462E59BA" w14:textId="77777777">
      <w:pPr>
        <w:pStyle w:val="zGBody3"/>
        <w:numPr>
          <w:ilvl w:val="2"/>
          <w:numId w:val="49"/>
        </w:numPr>
        <w:ind w:left="1800" w:hanging="648"/>
        <w:rPr>
          <w:rFonts w:eastAsia="Times New Roman"/>
        </w:rPr>
      </w:pPr>
      <w:r w:rsidRPr="00C30012">
        <w:rPr>
          <w:rFonts w:eastAsia="Times New Roman"/>
        </w:rPr>
        <w:t>Current</w:t>
      </w:r>
      <w:r w:rsidRPr="0072211F">
        <w:rPr>
          <w:spacing w:val="-5"/>
        </w:rPr>
        <w:t xml:space="preserve"> </w:t>
      </w:r>
      <w:r w:rsidRPr="00C30012">
        <w:rPr>
          <w:rFonts w:eastAsia="Times New Roman"/>
        </w:rPr>
        <w:t>Charge</w:t>
      </w:r>
      <w:r w:rsidRPr="0072211F">
        <w:rPr>
          <w:spacing w:val="-6"/>
        </w:rPr>
        <w:t xml:space="preserve"> </w:t>
      </w:r>
      <w:r w:rsidRPr="00C30012">
        <w:rPr>
          <w:rFonts w:eastAsia="Times New Roman"/>
        </w:rPr>
        <w:t>Limit</w:t>
      </w:r>
      <w:r w:rsidRPr="0072211F">
        <w:rPr>
          <w:spacing w:val="-5"/>
        </w:rPr>
        <w:t xml:space="preserve"> </w:t>
      </w:r>
      <w:r w:rsidRPr="00C30012">
        <w:rPr>
          <w:rFonts w:eastAsia="Times New Roman"/>
        </w:rPr>
        <w:t>[Operating</w:t>
      </w:r>
      <w:r w:rsidRPr="0072211F">
        <w:rPr>
          <w:spacing w:val="-5"/>
        </w:rPr>
        <w:t xml:space="preserve"> </w:t>
      </w:r>
      <w:r w:rsidRPr="00C30012">
        <w:rPr>
          <w:rFonts w:eastAsia="Times New Roman"/>
        </w:rPr>
        <w:t>Low</w:t>
      </w:r>
      <w:r w:rsidRPr="0072211F">
        <w:rPr>
          <w:spacing w:val="-6"/>
        </w:rPr>
        <w:t xml:space="preserve"> </w:t>
      </w:r>
      <w:r w:rsidRPr="00C30012">
        <w:rPr>
          <w:rFonts w:eastAsia="Times New Roman"/>
        </w:rPr>
        <w:t>Limit</w:t>
      </w:r>
      <w:r w:rsidRPr="0072211F">
        <w:rPr>
          <w:spacing w:val="-4"/>
        </w:rPr>
        <w:t xml:space="preserve"> </w:t>
      </w:r>
      <w:r w:rsidRPr="0072211F">
        <w:rPr>
          <w:spacing w:val="-2"/>
        </w:rPr>
        <w:t>(MW)]</w:t>
      </w:r>
    </w:p>
    <w:p w:rsidRPr="00C30012" w:rsidR="00C30012" w:rsidP="00D94D93" w:rsidRDefault="00C30012" w14:paraId="7B34FE99" w14:textId="77777777">
      <w:pPr>
        <w:pStyle w:val="zGBody3"/>
        <w:numPr>
          <w:ilvl w:val="2"/>
          <w:numId w:val="49"/>
        </w:numPr>
        <w:ind w:left="1800" w:hanging="648"/>
        <w:rPr>
          <w:rFonts w:eastAsia="Times New Roman"/>
        </w:rPr>
      </w:pPr>
      <w:r w:rsidRPr="00C30012">
        <w:rPr>
          <w:rFonts w:eastAsia="Times New Roman"/>
        </w:rPr>
        <w:t>Maximum</w:t>
      </w:r>
      <w:r w:rsidRPr="0072211F">
        <w:rPr>
          <w:spacing w:val="-5"/>
        </w:rPr>
        <w:t xml:space="preserve"> </w:t>
      </w:r>
      <w:r w:rsidRPr="00C30012">
        <w:rPr>
          <w:rFonts w:eastAsia="Times New Roman"/>
        </w:rPr>
        <w:t>Charge</w:t>
      </w:r>
      <w:r w:rsidRPr="0072211F">
        <w:rPr>
          <w:spacing w:val="-5"/>
        </w:rPr>
        <w:t xml:space="preserve"> </w:t>
      </w:r>
      <w:r w:rsidRPr="00C30012">
        <w:rPr>
          <w:rFonts w:eastAsia="Times New Roman"/>
        </w:rPr>
        <w:t>Limit</w:t>
      </w:r>
      <w:r w:rsidRPr="0072211F">
        <w:rPr>
          <w:spacing w:val="-4"/>
        </w:rPr>
        <w:t xml:space="preserve"> </w:t>
      </w:r>
      <w:r w:rsidRPr="00C30012">
        <w:rPr>
          <w:rFonts w:eastAsia="Times New Roman"/>
        </w:rPr>
        <w:t>[Low</w:t>
      </w:r>
      <w:r w:rsidRPr="0072211F">
        <w:rPr>
          <w:spacing w:val="-4"/>
        </w:rPr>
        <w:t xml:space="preserve"> </w:t>
      </w:r>
      <w:r w:rsidRPr="00C30012">
        <w:rPr>
          <w:rFonts w:eastAsia="Times New Roman"/>
        </w:rPr>
        <w:t>Limit</w:t>
      </w:r>
      <w:r w:rsidRPr="0072211F">
        <w:rPr>
          <w:spacing w:val="-5"/>
        </w:rPr>
        <w:t xml:space="preserve"> </w:t>
      </w:r>
      <w:r w:rsidRPr="0072211F">
        <w:rPr>
          <w:spacing w:val="-2"/>
        </w:rPr>
        <w:t>(MW)]</w:t>
      </w:r>
    </w:p>
    <w:p w:rsidRPr="00C30012" w:rsidR="00C30012" w:rsidP="00D94D93" w:rsidRDefault="00C30012" w14:paraId="3B181F1B" w14:textId="77777777">
      <w:pPr>
        <w:pStyle w:val="zGBody3"/>
        <w:numPr>
          <w:ilvl w:val="2"/>
          <w:numId w:val="49"/>
        </w:numPr>
        <w:ind w:left="1800" w:hanging="648"/>
        <w:rPr>
          <w:rFonts w:eastAsia="Times New Roman"/>
        </w:rPr>
      </w:pPr>
      <w:r w:rsidRPr="00C30012">
        <w:rPr>
          <w:rFonts w:eastAsia="Times New Roman"/>
        </w:rPr>
        <w:t>Storage</w:t>
      </w:r>
      <w:r w:rsidRPr="00C30012">
        <w:rPr>
          <w:rFonts w:eastAsia="Times New Roman"/>
          <w:spacing w:val="-2"/>
        </w:rPr>
        <w:t xml:space="preserve"> </w:t>
      </w:r>
      <w:r w:rsidRPr="00C30012">
        <w:rPr>
          <w:rFonts w:eastAsia="Times New Roman"/>
        </w:rPr>
        <w:t>AGC</w:t>
      </w:r>
      <w:r w:rsidRPr="0072211F">
        <w:rPr>
          <w:spacing w:val="-4"/>
        </w:rPr>
        <w:t xml:space="preserve"> </w:t>
      </w:r>
      <w:r w:rsidRPr="00C30012">
        <w:rPr>
          <w:rFonts w:eastAsia="Times New Roman"/>
        </w:rPr>
        <w:t>Ramp</w:t>
      </w:r>
      <w:r w:rsidRPr="0072211F">
        <w:rPr>
          <w:spacing w:val="-4"/>
        </w:rPr>
        <w:t xml:space="preserve"> </w:t>
      </w:r>
      <w:r w:rsidRPr="00C30012">
        <w:rPr>
          <w:rFonts w:eastAsia="Times New Roman"/>
        </w:rPr>
        <w:t>Rate</w:t>
      </w:r>
      <w:r w:rsidRPr="0072211F">
        <w:rPr>
          <w:spacing w:val="-3"/>
        </w:rPr>
        <w:t xml:space="preserve"> </w:t>
      </w:r>
      <w:r w:rsidRPr="00C30012">
        <w:rPr>
          <w:rFonts w:eastAsia="Times New Roman"/>
        </w:rPr>
        <w:t>Increase</w:t>
      </w:r>
      <w:r w:rsidRPr="0072211F">
        <w:rPr>
          <w:spacing w:val="-5"/>
        </w:rPr>
        <w:t xml:space="preserve"> </w:t>
      </w:r>
      <w:r w:rsidRPr="0072211F">
        <w:rPr>
          <w:spacing w:val="-2"/>
        </w:rPr>
        <w:t>(+MW/min)</w:t>
      </w:r>
    </w:p>
    <w:p w:rsidRPr="00C30012" w:rsidR="00C30012" w:rsidP="00D94D93" w:rsidRDefault="00C30012" w14:paraId="276E1B76" w14:textId="77777777">
      <w:pPr>
        <w:pStyle w:val="zGBody3"/>
        <w:numPr>
          <w:ilvl w:val="2"/>
          <w:numId w:val="49"/>
        </w:numPr>
        <w:ind w:left="1800" w:hanging="648"/>
        <w:rPr>
          <w:rFonts w:eastAsia="Times New Roman"/>
        </w:rPr>
      </w:pPr>
      <w:r w:rsidRPr="00C30012">
        <w:rPr>
          <w:rFonts w:eastAsia="Times New Roman"/>
        </w:rPr>
        <w:t>Storage</w:t>
      </w:r>
      <w:r w:rsidRPr="00C30012">
        <w:rPr>
          <w:rFonts w:eastAsia="Times New Roman"/>
          <w:spacing w:val="-2"/>
        </w:rPr>
        <w:t xml:space="preserve"> </w:t>
      </w:r>
      <w:r w:rsidRPr="00C30012">
        <w:rPr>
          <w:rFonts w:eastAsia="Times New Roman"/>
        </w:rPr>
        <w:t>AGC</w:t>
      </w:r>
      <w:r w:rsidRPr="0072211F">
        <w:rPr>
          <w:spacing w:val="-3"/>
        </w:rPr>
        <w:t xml:space="preserve"> </w:t>
      </w:r>
      <w:r w:rsidRPr="00C30012">
        <w:rPr>
          <w:rFonts w:eastAsia="Times New Roman"/>
        </w:rPr>
        <w:t>Ramp</w:t>
      </w:r>
      <w:r w:rsidRPr="0072211F">
        <w:rPr>
          <w:spacing w:val="-3"/>
        </w:rPr>
        <w:t xml:space="preserve"> </w:t>
      </w:r>
      <w:r w:rsidRPr="00C30012">
        <w:rPr>
          <w:rFonts w:eastAsia="Times New Roman"/>
        </w:rPr>
        <w:t>Rate</w:t>
      </w:r>
      <w:r w:rsidRPr="0072211F">
        <w:rPr>
          <w:spacing w:val="-4"/>
        </w:rPr>
        <w:t xml:space="preserve"> </w:t>
      </w:r>
      <w:r w:rsidRPr="00C30012">
        <w:rPr>
          <w:rFonts w:eastAsia="Times New Roman"/>
        </w:rPr>
        <w:t>Decrease</w:t>
      </w:r>
      <w:r w:rsidRPr="0072211F">
        <w:rPr>
          <w:spacing w:val="-5"/>
        </w:rPr>
        <w:t xml:space="preserve"> </w:t>
      </w:r>
      <w:r w:rsidRPr="00C30012">
        <w:rPr>
          <w:rFonts w:eastAsia="Times New Roman"/>
        </w:rPr>
        <w:t>(-</w:t>
      </w:r>
      <w:r w:rsidRPr="0072211F">
        <w:rPr>
          <w:spacing w:val="-2"/>
        </w:rPr>
        <w:t>MW/min)</w:t>
      </w:r>
    </w:p>
    <w:p w:rsidRPr="00C30012" w:rsidR="00C30012" w:rsidP="00D94D93" w:rsidRDefault="00C30012" w14:paraId="462050BD" w14:textId="77777777">
      <w:pPr>
        <w:pStyle w:val="zGBody3"/>
        <w:numPr>
          <w:ilvl w:val="2"/>
          <w:numId w:val="49"/>
        </w:numPr>
        <w:ind w:left="1800" w:hanging="648"/>
        <w:rPr>
          <w:rFonts w:eastAsia="Times New Roman"/>
        </w:rPr>
      </w:pPr>
      <w:r w:rsidRPr="00C30012">
        <w:rPr>
          <w:rFonts w:eastAsia="Times New Roman"/>
        </w:rPr>
        <w:t>High</w:t>
      </w:r>
      <w:r w:rsidRPr="00C30012">
        <w:rPr>
          <w:rFonts w:eastAsia="Times New Roman"/>
          <w:spacing w:val="-4"/>
        </w:rPr>
        <w:t xml:space="preserve"> </w:t>
      </w:r>
      <w:r w:rsidRPr="00C30012">
        <w:rPr>
          <w:rFonts w:eastAsia="Times New Roman"/>
        </w:rPr>
        <w:t>Limit</w:t>
      </w:r>
      <w:r w:rsidRPr="00C30012">
        <w:rPr>
          <w:rFonts w:eastAsia="Times New Roman"/>
          <w:spacing w:val="-5"/>
        </w:rPr>
        <w:t xml:space="preserve"> </w:t>
      </w:r>
      <w:r w:rsidRPr="00C30012">
        <w:rPr>
          <w:rFonts w:eastAsia="Times New Roman"/>
        </w:rPr>
        <w:t>Status</w:t>
      </w:r>
      <w:r w:rsidRPr="00C30012">
        <w:rPr>
          <w:rFonts w:eastAsia="Times New Roman"/>
          <w:spacing w:val="-4"/>
        </w:rPr>
        <w:t xml:space="preserve"> </w:t>
      </w:r>
      <w:r w:rsidRPr="00C30012">
        <w:rPr>
          <w:rFonts w:eastAsia="Times New Roman"/>
          <w:spacing w:val="-2"/>
        </w:rPr>
        <w:t>(Normal/Alarm)</w:t>
      </w:r>
    </w:p>
    <w:p w:rsidRPr="00C30012" w:rsidR="00C30012" w:rsidP="00D94D93" w:rsidRDefault="00C30012" w14:paraId="60C63874" w14:textId="77777777">
      <w:pPr>
        <w:pStyle w:val="zGBody3"/>
        <w:numPr>
          <w:ilvl w:val="2"/>
          <w:numId w:val="49"/>
        </w:numPr>
        <w:ind w:left="1800" w:hanging="648"/>
        <w:rPr>
          <w:rFonts w:eastAsia="Times New Roman"/>
        </w:rPr>
      </w:pPr>
      <w:r w:rsidRPr="00C30012">
        <w:rPr>
          <w:rFonts w:eastAsia="Times New Roman"/>
        </w:rPr>
        <w:t>Low</w:t>
      </w:r>
      <w:r w:rsidRPr="00C30012">
        <w:rPr>
          <w:rFonts w:eastAsia="Times New Roman"/>
          <w:spacing w:val="-3"/>
        </w:rPr>
        <w:t xml:space="preserve"> </w:t>
      </w:r>
      <w:r w:rsidRPr="00C30012">
        <w:rPr>
          <w:rFonts w:eastAsia="Times New Roman"/>
        </w:rPr>
        <w:t>Limit</w:t>
      </w:r>
      <w:r w:rsidRPr="00C30012">
        <w:rPr>
          <w:rFonts w:eastAsia="Times New Roman"/>
          <w:spacing w:val="-6"/>
        </w:rPr>
        <w:t xml:space="preserve"> </w:t>
      </w:r>
      <w:r w:rsidRPr="00C30012">
        <w:rPr>
          <w:rFonts w:eastAsia="Times New Roman"/>
        </w:rPr>
        <w:t>Status</w:t>
      </w:r>
      <w:r w:rsidRPr="00C30012">
        <w:rPr>
          <w:rFonts w:eastAsia="Times New Roman"/>
          <w:spacing w:val="-5"/>
        </w:rPr>
        <w:t xml:space="preserve"> </w:t>
      </w:r>
      <w:r w:rsidRPr="00C30012">
        <w:rPr>
          <w:rFonts w:eastAsia="Times New Roman"/>
          <w:spacing w:val="-2"/>
        </w:rPr>
        <w:t>(Normal/Alarm)</w:t>
      </w:r>
    </w:p>
    <w:p w:rsidRPr="00C30012" w:rsidR="00C30012" w:rsidP="00D94D93" w:rsidRDefault="00C30012" w14:paraId="2F709328" w14:textId="672101D1">
      <w:pPr>
        <w:pStyle w:val="zGBody3"/>
        <w:numPr>
          <w:ilvl w:val="2"/>
          <w:numId w:val="49"/>
        </w:numPr>
        <w:ind w:left="1800" w:hanging="648"/>
        <w:rPr>
          <w:rFonts w:eastAsia="Times New Roman"/>
        </w:rPr>
      </w:pPr>
      <w:r w:rsidRPr="00C30012">
        <w:rPr>
          <w:rFonts w:eastAsia="Times New Roman"/>
        </w:rPr>
        <w:t>Average</w:t>
      </w:r>
      <w:r w:rsidRPr="0072211F">
        <w:rPr>
          <w:spacing w:val="-6"/>
        </w:rPr>
        <w:t xml:space="preserve"> </w:t>
      </w:r>
      <w:r w:rsidRPr="00C30012">
        <w:rPr>
          <w:rFonts w:eastAsia="Times New Roman"/>
        </w:rPr>
        <w:t>Site</w:t>
      </w:r>
      <w:r w:rsidRPr="0072211F">
        <w:rPr>
          <w:spacing w:val="-3"/>
        </w:rPr>
        <w:t xml:space="preserve"> </w:t>
      </w:r>
      <w:r w:rsidRPr="00C30012">
        <w:rPr>
          <w:rFonts w:eastAsia="Times New Roman"/>
        </w:rPr>
        <w:t>Cell</w:t>
      </w:r>
      <w:r w:rsidRPr="0072211F">
        <w:rPr>
          <w:spacing w:val="-3"/>
        </w:rPr>
        <w:t xml:space="preserve"> </w:t>
      </w:r>
      <w:r w:rsidRPr="00C30012">
        <w:rPr>
          <w:rFonts w:eastAsia="Times New Roman"/>
        </w:rPr>
        <w:t>Temperature,</w:t>
      </w:r>
      <w:r w:rsidRPr="0072211F">
        <w:rPr>
          <w:spacing w:val="-4"/>
        </w:rPr>
        <w:t xml:space="preserve"> </w:t>
      </w:r>
      <w:r w:rsidRPr="00C30012">
        <w:rPr>
          <w:rFonts w:eastAsia="Times New Roman"/>
        </w:rPr>
        <w:t>if</w:t>
      </w:r>
      <w:r w:rsidRPr="0072211F">
        <w:rPr>
          <w:spacing w:val="-3"/>
        </w:rPr>
        <w:t xml:space="preserve"> </w:t>
      </w:r>
      <w:r w:rsidRPr="00C30012">
        <w:rPr>
          <w:rFonts w:eastAsia="Times New Roman"/>
        </w:rPr>
        <w:t>available</w:t>
      </w:r>
      <w:r w:rsidRPr="0072211F">
        <w:rPr>
          <w:spacing w:val="-3"/>
        </w:rPr>
        <w:t xml:space="preserve"> </w:t>
      </w:r>
      <w:r w:rsidRPr="0072211F">
        <w:rPr>
          <w:spacing w:val="-4"/>
        </w:rPr>
        <w:t>(°</w:t>
      </w:r>
      <w:r w:rsidRPr="00C30012">
        <w:rPr>
          <w:rFonts w:eastAsia="Times New Roman"/>
          <w:spacing w:val="-4"/>
        </w:rPr>
        <w:t>F</w:t>
      </w:r>
      <w:r w:rsidRPr="0072211F">
        <w:rPr>
          <w:spacing w:val="-4"/>
        </w:rPr>
        <w:t>)</w:t>
      </w:r>
    </w:p>
    <w:p w:rsidRPr="00C30012" w:rsidR="00C30012" w:rsidP="00D94D93" w:rsidRDefault="00C30012" w14:paraId="0CCA3748" w14:textId="77777777">
      <w:pPr>
        <w:pStyle w:val="zGBody3"/>
        <w:numPr>
          <w:ilvl w:val="2"/>
          <w:numId w:val="49"/>
        </w:numPr>
        <w:ind w:left="1800" w:hanging="648"/>
        <w:rPr>
          <w:rFonts w:eastAsia="Times New Roman"/>
        </w:rPr>
      </w:pPr>
      <w:r w:rsidRPr="00C30012">
        <w:rPr>
          <w:rFonts w:eastAsia="Times New Roman"/>
        </w:rPr>
        <w:t>% of</w:t>
      </w:r>
      <w:r w:rsidRPr="0072211F">
        <w:rPr>
          <w:spacing w:val="-3"/>
        </w:rPr>
        <w:t xml:space="preserve"> </w:t>
      </w:r>
      <w:r w:rsidRPr="00C30012">
        <w:rPr>
          <w:rFonts w:eastAsia="Times New Roman"/>
        </w:rPr>
        <w:t>stack</w:t>
      </w:r>
      <w:r w:rsidRPr="0072211F">
        <w:rPr>
          <w:spacing w:val="1"/>
        </w:rPr>
        <w:t xml:space="preserve"> </w:t>
      </w:r>
      <w:r w:rsidRPr="00C30012">
        <w:rPr>
          <w:rFonts w:eastAsia="Times New Roman"/>
        </w:rPr>
        <w:t>in</w:t>
      </w:r>
      <w:r w:rsidRPr="0072211F">
        <w:rPr>
          <w:spacing w:val="-2"/>
        </w:rPr>
        <w:t xml:space="preserve"> service</w:t>
      </w:r>
    </w:p>
    <w:p w:rsidRPr="00C30012" w:rsidR="00C30012" w:rsidP="00D94D93" w:rsidRDefault="00C30012" w14:paraId="44B77F27" w14:textId="21973257">
      <w:pPr>
        <w:pStyle w:val="zGBody3"/>
        <w:numPr>
          <w:ilvl w:val="2"/>
          <w:numId w:val="49"/>
        </w:numPr>
        <w:ind w:left="1800" w:hanging="648"/>
        <w:rPr>
          <w:rFonts w:eastAsia="Times New Roman"/>
        </w:rPr>
      </w:pPr>
      <w:r w:rsidRPr="00C30012">
        <w:rPr>
          <w:rFonts w:eastAsia="Times New Roman"/>
        </w:rPr>
        <w:t>Station</w:t>
      </w:r>
      <w:r w:rsidRPr="00C30012">
        <w:rPr>
          <w:rFonts w:eastAsia="Times New Roman"/>
          <w:spacing w:val="-7"/>
        </w:rPr>
        <w:t xml:space="preserve"> </w:t>
      </w:r>
      <w:r w:rsidRPr="00C30012">
        <w:rPr>
          <w:rFonts w:eastAsia="Times New Roman"/>
        </w:rPr>
        <w:t>Service/Aux</w:t>
      </w:r>
      <w:r w:rsidRPr="00C30012">
        <w:rPr>
          <w:rFonts w:eastAsia="Times New Roman"/>
          <w:spacing w:val="-7"/>
        </w:rPr>
        <w:t xml:space="preserve"> </w:t>
      </w:r>
      <w:r w:rsidRPr="00C30012">
        <w:rPr>
          <w:rFonts w:eastAsia="Times New Roman"/>
        </w:rPr>
        <w:t>Power</w:t>
      </w:r>
      <w:r w:rsidRPr="00C30012">
        <w:rPr>
          <w:rFonts w:eastAsia="Times New Roman"/>
          <w:spacing w:val="-7"/>
        </w:rPr>
        <w:t xml:space="preserve"> </w:t>
      </w:r>
      <w:r w:rsidRPr="00C30012">
        <w:rPr>
          <w:rFonts w:eastAsia="Times New Roman"/>
          <w:spacing w:val="-4"/>
        </w:rPr>
        <w:t>(MW)</w:t>
      </w:r>
    </w:p>
    <w:p w:rsidRPr="00C30012" w:rsidR="00C30012" w:rsidP="00D94D93" w:rsidRDefault="00C30012" w14:paraId="4E95C546" w14:textId="77777777">
      <w:pPr>
        <w:pStyle w:val="zGBody3"/>
        <w:numPr>
          <w:ilvl w:val="2"/>
          <w:numId w:val="49"/>
        </w:numPr>
        <w:ind w:left="1800" w:hanging="648"/>
        <w:rPr>
          <w:rFonts w:eastAsia="Times New Roman"/>
        </w:rPr>
      </w:pPr>
      <w:r w:rsidRPr="00C30012">
        <w:rPr>
          <w:rFonts w:eastAsia="Times New Roman"/>
        </w:rPr>
        <w:t>Storage</w:t>
      </w:r>
      <w:r w:rsidRPr="0072211F">
        <w:rPr>
          <w:spacing w:val="-9"/>
        </w:rPr>
        <w:t xml:space="preserve"> </w:t>
      </w:r>
      <w:r w:rsidRPr="00C30012">
        <w:rPr>
          <w:rFonts w:eastAsia="Times New Roman"/>
        </w:rPr>
        <w:t>Setpoint</w:t>
      </w:r>
      <w:r w:rsidRPr="0072211F">
        <w:rPr>
          <w:spacing w:val="-7"/>
        </w:rPr>
        <w:t xml:space="preserve"> </w:t>
      </w:r>
      <w:r w:rsidRPr="00C30012">
        <w:rPr>
          <w:rFonts w:eastAsia="Times New Roman"/>
        </w:rPr>
        <w:t>Feedback</w:t>
      </w:r>
      <w:r w:rsidRPr="0072211F">
        <w:rPr>
          <w:spacing w:val="-8"/>
        </w:rPr>
        <w:t xml:space="preserve"> </w:t>
      </w:r>
      <w:r w:rsidRPr="0072211F">
        <w:rPr>
          <w:spacing w:val="-4"/>
        </w:rPr>
        <w:t>(MW)</w:t>
      </w:r>
    </w:p>
    <w:p w:rsidRPr="00C30012" w:rsidR="00C30012" w:rsidP="00D94D93" w:rsidRDefault="00C30012" w14:paraId="62BDDA8E" w14:textId="77777777">
      <w:pPr>
        <w:pStyle w:val="zGBody3"/>
        <w:numPr>
          <w:ilvl w:val="2"/>
          <w:numId w:val="49"/>
        </w:numPr>
        <w:ind w:left="1800" w:hanging="648"/>
        <w:rPr>
          <w:rFonts w:eastAsia="Times New Roman"/>
        </w:rPr>
      </w:pPr>
      <w:r w:rsidRPr="00C30012">
        <w:rPr>
          <w:rFonts w:eastAsia="Times New Roman"/>
        </w:rPr>
        <w:t>Number</w:t>
      </w:r>
      <w:r w:rsidRPr="00C30012">
        <w:rPr>
          <w:rFonts w:eastAsia="Times New Roman"/>
          <w:spacing w:val="-5"/>
        </w:rPr>
        <w:t xml:space="preserve"> </w:t>
      </w:r>
      <w:r w:rsidRPr="00C30012">
        <w:rPr>
          <w:rFonts w:eastAsia="Times New Roman"/>
        </w:rPr>
        <w:t>of</w:t>
      </w:r>
      <w:r w:rsidRPr="00C30012">
        <w:rPr>
          <w:rFonts w:eastAsia="Times New Roman"/>
          <w:spacing w:val="-3"/>
        </w:rPr>
        <w:t xml:space="preserve"> </w:t>
      </w:r>
      <w:r w:rsidRPr="00C30012">
        <w:rPr>
          <w:rFonts w:eastAsia="Times New Roman"/>
        </w:rPr>
        <w:t>inverters</w:t>
      </w:r>
      <w:r w:rsidRPr="00C30012">
        <w:rPr>
          <w:rFonts w:eastAsia="Times New Roman"/>
          <w:spacing w:val="-3"/>
        </w:rPr>
        <w:t xml:space="preserve"> </w:t>
      </w:r>
      <w:r w:rsidRPr="00C30012">
        <w:rPr>
          <w:rFonts w:eastAsia="Times New Roman"/>
          <w:spacing w:val="-2"/>
        </w:rPr>
        <w:t>available</w:t>
      </w:r>
    </w:p>
    <w:p w:rsidRPr="00C30012" w:rsidR="00C30012" w:rsidP="00D94D93" w:rsidRDefault="00C30012" w14:paraId="28766868" w14:textId="77777777">
      <w:pPr>
        <w:pStyle w:val="zGBody3"/>
        <w:numPr>
          <w:ilvl w:val="2"/>
          <w:numId w:val="49"/>
        </w:numPr>
        <w:ind w:left="1800" w:hanging="648"/>
        <w:rPr>
          <w:rFonts w:eastAsia="Times New Roman"/>
        </w:rPr>
      </w:pPr>
      <w:r w:rsidRPr="00C30012">
        <w:rPr>
          <w:rFonts w:eastAsia="Times New Roman"/>
        </w:rPr>
        <w:t>Number</w:t>
      </w:r>
      <w:r w:rsidRPr="00C30012">
        <w:rPr>
          <w:rFonts w:eastAsia="Times New Roman"/>
          <w:spacing w:val="-7"/>
        </w:rPr>
        <w:t xml:space="preserve"> </w:t>
      </w:r>
      <w:r w:rsidRPr="00C30012">
        <w:rPr>
          <w:rFonts w:eastAsia="Times New Roman"/>
        </w:rPr>
        <w:t>of</w:t>
      </w:r>
      <w:r w:rsidRPr="00C30012">
        <w:rPr>
          <w:rFonts w:eastAsia="Times New Roman"/>
          <w:spacing w:val="-5"/>
        </w:rPr>
        <w:t xml:space="preserve"> </w:t>
      </w:r>
      <w:r w:rsidRPr="00C30012">
        <w:rPr>
          <w:rFonts w:eastAsia="Times New Roman"/>
        </w:rPr>
        <w:t>inverters</w:t>
      </w:r>
      <w:r w:rsidRPr="00C30012">
        <w:rPr>
          <w:rFonts w:eastAsia="Times New Roman"/>
          <w:spacing w:val="-5"/>
        </w:rPr>
        <w:t xml:space="preserve"> </w:t>
      </w:r>
      <w:r w:rsidRPr="00C30012">
        <w:rPr>
          <w:rFonts w:eastAsia="Times New Roman"/>
        </w:rPr>
        <w:t>producing</w:t>
      </w:r>
      <w:r w:rsidRPr="00C30012">
        <w:rPr>
          <w:rFonts w:eastAsia="Times New Roman"/>
          <w:spacing w:val="-5"/>
        </w:rPr>
        <w:t xml:space="preserve"> </w:t>
      </w:r>
      <w:r w:rsidRPr="00C30012">
        <w:rPr>
          <w:rFonts w:eastAsia="Times New Roman"/>
          <w:spacing w:val="-4"/>
        </w:rPr>
        <w:t>power</w:t>
      </w:r>
    </w:p>
    <w:p w:rsidRPr="00C30012" w:rsidR="00C30012" w:rsidP="00D94D93" w:rsidRDefault="00C30012" w14:paraId="61902A0E" w14:textId="77777777">
      <w:pPr>
        <w:pStyle w:val="zGBody3"/>
        <w:numPr>
          <w:ilvl w:val="2"/>
          <w:numId w:val="49"/>
        </w:numPr>
        <w:ind w:left="1800" w:hanging="648"/>
        <w:rPr>
          <w:rFonts w:eastAsia="Times New Roman"/>
        </w:rPr>
      </w:pPr>
      <w:r w:rsidRPr="00C30012">
        <w:rPr>
          <w:rFonts w:eastAsia="Times New Roman"/>
        </w:rPr>
        <w:t>Number</w:t>
      </w:r>
      <w:r w:rsidRPr="00C30012">
        <w:rPr>
          <w:rFonts w:eastAsia="Times New Roman"/>
          <w:spacing w:val="-5"/>
        </w:rPr>
        <w:t xml:space="preserve"> </w:t>
      </w:r>
      <w:r w:rsidRPr="00C30012">
        <w:rPr>
          <w:rFonts w:eastAsia="Times New Roman"/>
        </w:rPr>
        <w:t>of</w:t>
      </w:r>
      <w:r w:rsidRPr="00C30012">
        <w:rPr>
          <w:rFonts w:eastAsia="Times New Roman"/>
          <w:spacing w:val="-3"/>
        </w:rPr>
        <w:t xml:space="preserve"> </w:t>
      </w:r>
      <w:r w:rsidRPr="00C30012">
        <w:rPr>
          <w:rFonts w:eastAsia="Times New Roman"/>
        </w:rPr>
        <w:t>inverters</w:t>
      </w:r>
      <w:r w:rsidRPr="00C30012">
        <w:rPr>
          <w:rFonts w:eastAsia="Times New Roman"/>
          <w:spacing w:val="-3"/>
        </w:rPr>
        <w:t xml:space="preserve"> </w:t>
      </w:r>
      <w:r w:rsidRPr="00C30012">
        <w:rPr>
          <w:rFonts w:eastAsia="Times New Roman"/>
          <w:spacing w:val="-2"/>
        </w:rPr>
        <w:t>tripped</w:t>
      </w:r>
    </w:p>
    <w:p w:rsidRPr="00C30012" w:rsidR="00C30012" w:rsidP="00D94D93" w:rsidRDefault="00C30012" w14:paraId="72AA57D7" w14:textId="77777777">
      <w:pPr>
        <w:pStyle w:val="zGBody3"/>
        <w:numPr>
          <w:ilvl w:val="2"/>
          <w:numId w:val="49"/>
        </w:numPr>
        <w:ind w:left="1800" w:hanging="648"/>
        <w:rPr>
          <w:rFonts w:eastAsia="Times New Roman"/>
        </w:rPr>
      </w:pPr>
      <w:r w:rsidRPr="00C30012">
        <w:rPr>
          <w:rFonts w:eastAsia="Times New Roman"/>
        </w:rPr>
        <w:lastRenderedPageBreak/>
        <w:t>Number</w:t>
      </w:r>
      <w:r w:rsidRPr="00C30012">
        <w:rPr>
          <w:rFonts w:eastAsia="Times New Roman"/>
          <w:spacing w:val="-7"/>
        </w:rPr>
        <w:t xml:space="preserve"> </w:t>
      </w:r>
      <w:r w:rsidRPr="00C30012">
        <w:rPr>
          <w:rFonts w:eastAsia="Times New Roman"/>
        </w:rPr>
        <w:t>of</w:t>
      </w:r>
      <w:r w:rsidRPr="00C30012">
        <w:rPr>
          <w:rFonts w:eastAsia="Times New Roman"/>
          <w:spacing w:val="-3"/>
        </w:rPr>
        <w:t xml:space="preserve"> </w:t>
      </w:r>
      <w:r w:rsidRPr="00C30012">
        <w:rPr>
          <w:rFonts w:eastAsia="Times New Roman"/>
        </w:rPr>
        <w:t>inverters</w:t>
      </w:r>
      <w:r w:rsidRPr="00C30012">
        <w:rPr>
          <w:rFonts w:eastAsia="Times New Roman"/>
          <w:spacing w:val="-2"/>
        </w:rPr>
        <w:t xml:space="preserve"> </w:t>
      </w:r>
      <w:r w:rsidRPr="00C30012">
        <w:rPr>
          <w:rFonts w:eastAsia="Times New Roman"/>
          <w:u w:val="single"/>
        </w:rPr>
        <w:t>not</w:t>
      </w:r>
      <w:r w:rsidRPr="00C30012">
        <w:rPr>
          <w:rFonts w:eastAsia="Times New Roman"/>
          <w:spacing w:val="-3"/>
        </w:rPr>
        <w:t xml:space="preserve"> </w:t>
      </w:r>
      <w:r w:rsidRPr="00C30012">
        <w:rPr>
          <w:rFonts w:eastAsia="Times New Roman"/>
          <w:spacing w:val="-2"/>
        </w:rPr>
        <w:t>communicating</w:t>
      </w:r>
    </w:p>
    <w:p w:rsidRPr="00C30012" w:rsidR="00C30012" w:rsidP="00D94D93" w:rsidRDefault="00C30012" w14:paraId="0BF8BD82" w14:textId="77777777">
      <w:pPr>
        <w:pStyle w:val="zGBody3"/>
        <w:numPr>
          <w:ilvl w:val="2"/>
          <w:numId w:val="49"/>
        </w:numPr>
        <w:ind w:left="1800" w:hanging="648"/>
        <w:rPr>
          <w:rFonts w:eastAsia="Times New Roman"/>
        </w:rPr>
      </w:pPr>
      <w:r w:rsidRPr="00C30012">
        <w:rPr>
          <w:rFonts w:eastAsia="Times New Roman"/>
        </w:rPr>
        <w:t>Number</w:t>
      </w:r>
      <w:r w:rsidRPr="0072211F">
        <w:rPr>
          <w:spacing w:val="-4"/>
        </w:rPr>
        <w:t xml:space="preserve"> </w:t>
      </w:r>
      <w:r w:rsidRPr="00C30012">
        <w:rPr>
          <w:rFonts w:eastAsia="Times New Roman"/>
        </w:rPr>
        <w:t>of</w:t>
      </w:r>
      <w:r w:rsidRPr="0072211F">
        <w:rPr>
          <w:spacing w:val="-2"/>
        </w:rPr>
        <w:t xml:space="preserve"> </w:t>
      </w:r>
      <w:r w:rsidRPr="00C30012">
        <w:rPr>
          <w:rFonts w:eastAsia="Times New Roman"/>
        </w:rPr>
        <w:t>inverters</w:t>
      </w:r>
      <w:r w:rsidRPr="0072211F">
        <w:rPr>
          <w:spacing w:val="-2"/>
        </w:rPr>
        <w:t xml:space="preserve"> </w:t>
      </w:r>
      <w:r w:rsidRPr="00C30012">
        <w:rPr>
          <w:rFonts w:eastAsia="Times New Roman"/>
        </w:rPr>
        <w:t>out</w:t>
      </w:r>
      <w:r w:rsidRPr="0072211F">
        <w:rPr>
          <w:spacing w:val="-4"/>
        </w:rPr>
        <w:t xml:space="preserve"> </w:t>
      </w:r>
      <w:r w:rsidRPr="00C30012">
        <w:rPr>
          <w:rFonts w:eastAsia="Times New Roman"/>
        </w:rPr>
        <w:t>of</w:t>
      </w:r>
      <w:r w:rsidRPr="0072211F">
        <w:rPr>
          <w:spacing w:val="-3"/>
        </w:rPr>
        <w:t xml:space="preserve"> </w:t>
      </w:r>
      <w:r w:rsidRPr="0072211F">
        <w:rPr>
          <w:spacing w:val="-2"/>
        </w:rPr>
        <w:t>service</w:t>
      </w:r>
    </w:p>
    <w:p w:rsidRPr="00C30012" w:rsidR="00C30012" w:rsidP="00D94D93" w:rsidRDefault="00C30012" w14:paraId="608AD501" w14:textId="12F563DB">
      <w:pPr>
        <w:pStyle w:val="zGBody3"/>
        <w:numPr>
          <w:ilvl w:val="2"/>
          <w:numId w:val="49"/>
        </w:numPr>
        <w:ind w:left="1800" w:hanging="648"/>
        <w:rPr>
          <w:rFonts w:eastAsia="Times New Roman"/>
        </w:rPr>
      </w:pPr>
      <w:r w:rsidRPr="00C30012">
        <w:rPr>
          <w:rFonts w:eastAsia="Times New Roman"/>
        </w:rPr>
        <w:t>Equivalent</w:t>
      </w:r>
      <w:r w:rsidRPr="0072211F">
        <w:rPr>
          <w:spacing w:val="-4"/>
        </w:rPr>
        <w:t xml:space="preserve"> </w:t>
      </w:r>
      <w:r w:rsidRPr="00C30012">
        <w:rPr>
          <w:rFonts w:eastAsia="Times New Roman"/>
        </w:rPr>
        <w:t>BESS</w:t>
      </w:r>
      <w:r w:rsidRPr="0072211F">
        <w:rPr>
          <w:spacing w:val="-5"/>
        </w:rPr>
        <w:t xml:space="preserve"> </w:t>
      </w:r>
      <w:r w:rsidRPr="00C30012">
        <w:rPr>
          <w:rFonts w:eastAsia="Times New Roman"/>
        </w:rPr>
        <w:t>Cycles</w:t>
      </w:r>
      <w:r w:rsidRPr="0072211F">
        <w:rPr>
          <w:spacing w:val="-4"/>
        </w:rPr>
        <w:t xml:space="preserve"> </w:t>
      </w:r>
      <w:r w:rsidRPr="00C30012">
        <w:rPr>
          <w:rFonts w:eastAsia="Times New Roman"/>
        </w:rPr>
        <w:t>per</w:t>
      </w:r>
      <w:r w:rsidRPr="0072211F">
        <w:rPr>
          <w:spacing w:val="-6"/>
        </w:rPr>
        <w:t xml:space="preserve"> </w:t>
      </w:r>
      <w:r w:rsidRPr="00C30012">
        <w:rPr>
          <w:rFonts w:eastAsia="Times New Roman"/>
        </w:rPr>
        <w:t>day</w:t>
      </w:r>
      <w:r w:rsidRPr="0072211F">
        <w:rPr>
          <w:spacing w:val="-2"/>
        </w:rPr>
        <w:t xml:space="preserve"> counter</w:t>
      </w:r>
    </w:p>
    <w:p w:rsidRPr="00024642" w:rsidR="00780136" w:rsidP="00D94D93" w:rsidRDefault="00C30012" w14:paraId="0BB06858" w14:textId="48A07B40">
      <w:pPr>
        <w:pStyle w:val="zGBody3"/>
        <w:numPr>
          <w:ilvl w:val="2"/>
          <w:numId w:val="49"/>
        </w:numPr>
        <w:ind w:left="1800" w:hanging="648"/>
        <w:rPr>
          <w:rFonts w:eastAsia="Times New Roman"/>
        </w:rPr>
      </w:pPr>
      <w:r w:rsidRPr="00C30012">
        <w:rPr>
          <w:rFonts w:eastAsia="Times New Roman"/>
        </w:rPr>
        <w:t>Equivalent</w:t>
      </w:r>
      <w:r w:rsidRPr="0072211F">
        <w:rPr>
          <w:spacing w:val="-4"/>
        </w:rPr>
        <w:t xml:space="preserve"> </w:t>
      </w:r>
      <w:r w:rsidRPr="00C30012">
        <w:rPr>
          <w:rFonts w:eastAsia="Times New Roman"/>
        </w:rPr>
        <w:t>BESS</w:t>
      </w:r>
      <w:r w:rsidRPr="0072211F">
        <w:rPr>
          <w:spacing w:val="-5"/>
        </w:rPr>
        <w:t xml:space="preserve"> </w:t>
      </w:r>
      <w:r w:rsidRPr="00C30012">
        <w:rPr>
          <w:rFonts w:eastAsia="Times New Roman"/>
        </w:rPr>
        <w:t>Cycles</w:t>
      </w:r>
      <w:r w:rsidRPr="0072211F">
        <w:rPr>
          <w:spacing w:val="-3"/>
        </w:rPr>
        <w:t xml:space="preserve"> </w:t>
      </w:r>
      <w:r w:rsidRPr="00C30012">
        <w:rPr>
          <w:rFonts w:eastAsia="Times New Roman"/>
        </w:rPr>
        <w:t>per</w:t>
      </w:r>
      <w:r w:rsidRPr="0072211F">
        <w:rPr>
          <w:spacing w:val="-6"/>
        </w:rPr>
        <w:t xml:space="preserve"> </w:t>
      </w:r>
      <w:r w:rsidRPr="00C30012">
        <w:rPr>
          <w:rFonts w:eastAsia="Times New Roman"/>
        </w:rPr>
        <w:t>year</w:t>
      </w:r>
      <w:r w:rsidRPr="0072211F">
        <w:rPr>
          <w:spacing w:val="-5"/>
        </w:rPr>
        <w:t xml:space="preserve"> </w:t>
      </w:r>
      <w:r w:rsidRPr="0072211F">
        <w:rPr>
          <w:spacing w:val="-2"/>
        </w:rPr>
        <w:t>counter</w:t>
      </w:r>
    </w:p>
    <w:p w:rsidRPr="00024642" w:rsidR="004E3C1C" w:rsidP="00D94D93" w:rsidRDefault="00024642" w14:paraId="67D023BD" w14:textId="749AD8A7">
      <w:pPr>
        <w:pStyle w:val="zGBody1"/>
        <w:numPr>
          <w:ilvl w:val="0"/>
          <w:numId w:val="49"/>
        </w:numPr>
        <w:spacing w:before="120" w:after="120" w:line="20" w:lineRule="atLeast"/>
        <w:rPr>
          <w:rFonts w:eastAsia="Times New Roman"/>
        </w:rPr>
      </w:pPr>
      <w:r w:rsidRPr="00024642">
        <w:rPr>
          <w:rFonts w:eastAsia="Times New Roman"/>
        </w:rPr>
        <w:t>General Flow of AGC</w:t>
      </w:r>
    </w:p>
    <w:p w:rsidRPr="00024642" w:rsidR="00024642" w:rsidP="00024642" w:rsidRDefault="00024642" w14:paraId="13112D38" w14:textId="77777777">
      <w:pPr>
        <w:widowControl w:val="0"/>
        <w:spacing w:before="120" w:after="120" w:line="20" w:lineRule="atLeast"/>
        <w:jc w:val="both"/>
        <w:rPr>
          <w:rFonts w:ascii="Arial" w:hAnsi="Arial" w:eastAsia="Aptos" w:cs="Arial"/>
          <w:sz w:val="20"/>
          <w:szCs w:val="20"/>
        </w:rPr>
      </w:pPr>
      <w:r w:rsidRPr="00024642">
        <w:rPr>
          <w:rFonts w:ascii="Arial" w:hAnsi="Arial" w:eastAsia="Aptos" w:cs="Arial"/>
          <w:sz w:val="20"/>
          <w:szCs w:val="20"/>
        </w:rPr>
        <w:t>The resource will send every scan of all its points to GPC (via EMS) and likewise, EMS will update its points every scan. Seller must place the resource on AGC when available for remote control and will echo back to EMS what it has received for the AGC Setpoint.</w:t>
      </w:r>
    </w:p>
    <w:p w:rsidRPr="00024642" w:rsidR="00024642" w:rsidP="00024642" w:rsidRDefault="00024642" w14:paraId="1500880D" w14:textId="77777777">
      <w:pPr>
        <w:widowControl w:val="0"/>
        <w:spacing w:before="120" w:after="120" w:line="20" w:lineRule="atLeast"/>
        <w:jc w:val="both"/>
        <w:rPr>
          <w:rFonts w:ascii="Arial" w:hAnsi="Arial" w:eastAsia="Aptos" w:cs="Arial"/>
          <w:sz w:val="20"/>
          <w:szCs w:val="20"/>
        </w:rPr>
      </w:pPr>
      <w:r w:rsidRPr="00024642">
        <w:rPr>
          <w:rFonts w:ascii="Arial" w:hAnsi="Arial" w:eastAsia="Aptos" w:cs="Arial"/>
          <w:sz w:val="20"/>
          <w:szCs w:val="20"/>
        </w:rPr>
        <w:t xml:space="preserve">The Renewable Resource will receive AGC Setpoints equivalent to the Operating High Limit or the Potential High Limit and operate at full generation until an AGC Setpoint below the Potential High Limit is received. Upon receiving this AGC Setpoint for Curtailment, the Facility will reduce output to meet the AGC Setpoint. </w:t>
      </w:r>
    </w:p>
    <w:p w:rsidRPr="00024642" w:rsidR="00024642" w:rsidP="00024642" w:rsidRDefault="00024642" w14:paraId="507011DF" w14:textId="77777777">
      <w:pPr>
        <w:widowControl w:val="0"/>
        <w:spacing w:before="120" w:after="120" w:line="20" w:lineRule="atLeast"/>
        <w:jc w:val="both"/>
        <w:rPr>
          <w:rFonts w:ascii="Arial" w:hAnsi="Arial" w:eastAsia="Aptos" w:cs="Arial"/>
          <w:sz w:val="20"/>
          <w:szCs w:val="20"/>
        </w:rPr>
      </w:pPr>
      <w:r w:rsidRPr="00024642">
        <w:rPr>
          <w:rFonts w:ascii="Arial" w:hAnsi="Arial" w:eastAsia="Aptos" w:cs="Arial"/>
          <w:sz w:val="20"/>
          <w:szCs w:val="20"/>
        </w:rPr>
        <w:t>The BESS will receive AGC Setpoints equivalent to the Operating High Limit or the Potential High Limit and operate at full generation until an AGC Setpoint below the Potential High Limit is received. Upon receiving this AGC Setpoint for curtailment, the BESS must reduce output to meet the AGC Setpoint.</w:t>
      </w:r>
    </w:p>
    <w:p w:rsidR="00024642" w:rsidP="00A22CE7" w:rsidRDefault="00024642" w14:paraId="433E0A89" w14:textId="0A624C2D">
      <w:pPr>
        <w:widowControl w:val="0"/>
        <w:jc w:val="both"/>
        <w:rPr>
          <w:rFonts w:ascii="Arial" w:hAnsi="Arial" w:eastAsia="Aptos" w:cs="Arial"/>
          <w:sz w:val="20"/>
          <w:szCs w:val="20"/>
        </w:rPr>
      </w:pPr>
      <w:r w:rsidRPr="00024642">
        <w:rPr>
          <w:rFonts w:ascii="Arial" w:hAnsi="Arial" w:eastAsia="Aptos" w:cs="Arial"/>
          <w:sz w:val="20"/>
          <w:szCs w:val="20"/>
        </w:rPr>
        <w:t xml:space="preserve">The BESS is to remain on AGC and available for dispatch when available for dispatch regardless of output. For the avoidance of doubt, AGC will send AGC Setpoints at 0 MW during periods where the desired output is 0 MW and the Facility online and available for dispatch. A 0 MW BESS AGC Setpoint will result in the BESS going to idle and controls should be implemented to ensure the BESS is not discharging when a 0 MW AGC setpoint is dispatched to offset any station service at the POI. </w:t>
      </w:r>
    </w:p>
    <w:p w:rsidRPr="00D65D83" w:rsidR="004B0BFA" w:rsidP="00D94D93" w:rsidRDefault="004B0BFA" w14:paraId="7E45C6B1" w14:textId="77777777">
      <w:pPr>
        <w:pStyle w:val="zGBody2"/>
        <w:numPr>
          <w:ilvl w:val="1"/>
          <w:numId w:val="49"/>
        </w:numPr>
        <w:spacing w:before="120" w:line="20" w:lineRule="atLeast"/>
        <w:rPr>
          <w:b w:val="0"/>
        </w:rPr>
      </w:pPr>
      <w:r w:rsidRPr="00D65D83">
        <w:t xml:space="preserve">Renewable Resource Setpoint (MW) </w:t>
      </w:r>
    </w:p>
    <w:p w:rsidRPr="002D2A8F" w:rsidR="003B783F" w:rsidP="00D94D93" w:rsidRDefault="003B783F" w14:paraId="518CEF00" w14:textId="6FD407FD">
      <w:pPr>
        <w:pStyle w:val="zGBody3"/>
        <w:numPr>
          <w:ilvl w:val="2"/>
          <w:numId w:val="49"/>
        </w:numPr>
        <w:spacing w:after="120" w:line="20" w:lineRule="atLeast"/>
      </w:pPr>
      <w:r w:rsidRPr="002D2A8F">
        <w:t xml:space="preserve">This will be an integer value that will range from the Operating Low Limit to the Operating High Limit for the Renewable Resource. If not in curtailment, this value will echo either the Operating High Limit or the Potential High Limit (PHL), depending on system conditions. If the setpoint echos the Operating High Limit, the site will operate as-capable.  If curtailment is active, the site output will follow the AGC setpoint below the Potential High Limit. </w:t>
      </w:r>
    </w:p>
    <w:p w:rsidRPr="00D65D83" w:rsidR="00283E35" w:rsidP="00D94D93" w:rsidRDefault="00283E35" w14:paraId="2D670CD2" w14:textId="77777777">
      <w:pPr>
        <w:pStyle w:val="zGBody2"/>
        <w:numPr>
          <w:ilvl w:val="1"/>
          <w:numId w:val="49"/>
        </w:numPr>
        <w:spacing w:before="120" w:line="20" w:lineRule="atLeast"/>
        <w:rPr>
          <w:b w:val="0"/>
        </w:rPr>
      </w:pPr>
      <w:r>
        <w:t>B</w:t>
      </w:r>
      <w:r w:rsidRPr="00D65D83">
        <w:t>ESS Setpoint (MW)</w:t>
      </w:r>
    </w:p>
    <w:p w:rsidRPr="002D2A8F" w:rsidR="005128A9" w:rsidP="00D94D93" w:rsidRDefault="005128A9" w14:paraId="25A26B1D" w14:textId="77777777">
      <w:pPr>
        <w:pStyle w:val="zGBody3"/>
        <w:numPr>
          <w:ilvl w:val="2"/>
          <w:numId w:val="49"/>
        </w:numPr>
        <w:spacing w:after="120" w:line="20" w:lineRule="atLeast"/>
      </w:pPr>
      <w:r w:rsidRPr="002D2A8F">
        <w:t xml:space="preserve">This will be a value up to the </w:t>
      </w:r>
      <w:r>
        <w:t>B</w:t>
      </w:r>
      <w:r w:rsidRPr="002D2A8F">
        <w:t xml:space="preserve">ESS Discharge Rate for the </w:t>
      </w:r>
      <w:r>
        <w:t>B</w:t>
      </w:r>
      <w:r w:rsidRPr="002D2A8F">
        <w:t xml:space="preserve">ESS device in a positive (discharge) direction or to the </w:t>
      </w:r>
      <w:r>
        <w:t>B</w:t>
      </w:r>
      <w:r w:rsidRPr="002D2A8F">
        <w:t>ESS Charge Rate in a negative (charge) direction. Site to regulate to meet this value at the POI.</w:t>
      </w:r>
    </w:p>
    <w:p w:rsidRPr="00D65D83" w:rsidR="00B52020" w:rsidP="00D94D93" w:rsidRDefault="00B52020" w14:paraId="065E3B1C" w14:textId="77777777">
      <w:pPr>
        <w:pStyle w:val="zGBody2"/>
        <w:numPr>
          <w:ilvl w:val="1"/>
          <w:numId w:val="49"/>
        </w:numPr>
        <w:spacing w:before="120" w:line="20" w:lineRule="atLeast"/>
        <w:rPr>
          <w:b w:val="0"/>
        </w:rPr>
      </w:pPr>
      <w:r w:rsidRPr="00D65D83">
        <w:t>Renewable Resource Ramp Rate (+/- MW/min)</w:t>
      </w:r>
    </w:p>
    <w:p w:rsidRPr="002D2A8F" w:rsidR="00084DB9" w:rsidP="00D94D93" w:rsidRDefault="00084DB9" w14:paraId="7AD787DC" w14:textId="77777777">
      <w:pPr>
        <w:pStyle w:val="zGBody3"/>
        <w:numPr>
          <w:ilvl w:val="2"/>
          <w:numId w:val="49"/>
        </w:numPr>
        <w:spacing w:after="120" w:line="20" w:lineRule="atLeast"/>
      </w:pPr>
      <w:r w:rsidRPr="002D2A8F">
        <w:t xml:space="preserve">This is a plant controller level ramp rate at which the Renewable Resource will ramp up or down, up to the maximum allowable ramp rate specified in the </w:t>
      </w:r>
      <w:r>
        <w:t>IA</w:t>
      </w:r>
      <w:r w:rsidRPr="002D2A8F">
        <w:t xml:space="preserve">. This is not the actual real-time ramp rate, but the rate at which the plant will transition to the next setpoint. The Renewable Resource Ramp Rate will be indicative of the Renewable Resource and indicates the rate at which the Renewable Resource would increase generation after a curtailment is lifted. In all cases, the Renewable Resource Ramp Rate should not exceed the maximum allowable ramp rate in the </w:t>
      </w:r>
      <w:r>
        <w:t>IA</w:t>
      </w:r>
      <w:r w:rsidRPr="002D2A8F">
        <w:t>.</w:t>
      </w:r>
    </w:p>
    <w:p w:rsidRPr="00927585" w:rsidR="00D658B2" w:rsidP="00D94D93" w:rsidRDefault="00D658B2" w14:paraId="73266692" w14:textId="77777777">
      <w:pPr>
        <w:pStyle w:val="zGBody2"/>
        <w:numPr>
          <w:ilvl w:val="1"/>
          <w:numId w:val="49"/>
        </w:numPr>
        <w:spacing w:before="120" w:line="20" w:lineRule="atLeast"/>
        <w:rPr>
          <w:b w:val="0"/>
        </w:rPr>
      </w:pPr>
      <w:r w:rsidRPr="007B14A9">
        <w:t>Max Renewable Resource Ramp Rate (+/- MW/min)</w:t>
      </w:r>
    </w:p>
    <w:p w:rsidRPr="002D2A8F" w:rsidR="00AA4BAD" w:rsidP="00D94D93" w:rsidRDefault="00AA4BAD" w14:paraId="7C51F7B5" w14:textId="77777777">
      <w:pPr>
        <w:pStyle w:val="zGBody3"/>
        <w:numPr>
          <w:ilvl w:val="2"/>
          <w:numId w:val="49"/>
        </w:numPr>
        <w:spacing w:after="120" w:line="20" w:lineRule="atLeast"/>
      </w:pPr>
      <w:r w:rsidRPr="002D2A8F">
        <w:t xml:space="preserve">This is the maximum allowable ramp rate per the </w:t>
      </w:r>
      <w:r>
        <w:t>IA</w:t>
      </w:r>
      <w:r w:rsidRPr="002D2A8F">
        <w:t xml:space="preserve">. This is a fixed value and will be the rate at which the Renewable Resource Setpoint could be curtailed by AGC. </w:t>
      </w:r>
    </w:p>
    <w:p w:rsidRPr="007B14A9" w:rsidR="008B29C8" w:rsidP="00D94D93" w:rsidRDefault="008B29C8" w14:paraId="106A53CA" w14:textId="77777777">
      <w:pPr>
        <w:pStyle w:val="zGBody2"/>
        <w:numPr>
          <w:ilvl w:val="1"/>
          <w:numId w:val="49"/>
        </w:numPr>
        <w:spacing w:before="120" w:line="20" w:lineRule="atLeast"/>
        <w:rPr>
          <w:b w:val="0"/>
        </w:rPr>
      </w:pPr>
      <w:r w:rsidRPr="007B14A9">
        <w:lastRenderedPageBreak/>
        <w:t>Facility Voltage Regulation Mode Status (Auto/Manual)</w:t>
      </w:r>
    </w:p>
    <w:p w:rsidRPr="002D2A8F" w:rsidR="00571BB1" w:rsidP="00D94D93" w:rsidRDefault="00571BB1" w14:paraId="16540E53" w14:textId="77777777">
      <w:pPr>
        <w:pStyle w:val="zGBody3"/>
        <w:numPr>
          <w:ilvl w:val="2"/>
          <w:numId w:val="49"/>
        </w:numPr>
        <w:spacing w:after="120" w:line="20" w:lineRule="atLeast"/>
      </w:pPr>
      <w:r w:rsidRPr="002D2A8F">
        <w:t>This provides status of the voltage control mode and if the Facility's controller is regulating the POI voltage. Its normal state will be in Auto.</w:t>
      </w:r>
    </w:p>
    <w:p w:rsidRPr="007B14A9" w:rsidR="009F66E1" w:rsidP="00D94D93" w:rsidRDefault="009F66E1" w14:paraId="0B30F9E2" w14:textId="77777777">
      <w:pPr>
        <w:pStyle w:val="zGBody2"/>
        <w:numPr>
          <w:ilvl w:val="1"/>
          <w:numId w:val="49"/>
        </w:numPr>
        <w:spacing w:before="120" w:line="20" w:lineRule="atLeast"/>
        <w:rPr>
          <w:b w:val="0"/>
        </w:rPr>
      </w:pPr>
      <w:r w:rsidRPr="007B14A9">
        <w:t>Facility Reactive Su</w:t>
      </w:r>
      <w:r w:rsidRPr="007B14A9">
        <w:rPr>
          <w:b w:val="0"/>
        </w:rPr>
        <w:t>pport (MVAR) at Zero power status (ON/OFF)</w:t>
      </w:r>
    </w:p>
    <w:p w:rsidRPr="002D2A8F" w:rsidR="00592007" w:rsidP="00D94D93" w:rsidRDefault="00592007" w14:paraId="50A73C3D" w14:textId="712A3224">
      <w:pPr>
        <w:pStyle w:val="zGBody3"/>
        <w:numPr>
          <w:ilvl w:val="2"/>
          <w:numId w:val="49"/>
        </w:numPr>
        <w:spacing w:after="120" w:line="20" w:lineRule="atLeast"/>
      </w:pPr>
      <w:r>
        <w:t>T</w:t>
      </w:r>
      <w:r w:rsidRPr="002D2A8F">
        <w:t xml:space="preserve">his status indicates the Facility’s capability to produce reactive power (MVARs) when at zero active power. Its normal state will be at OFF. </w:t>
      </w:r>
    </w:p>
    <w:p w:rsidRPr="007B14A9" w:rsidR="008676F6" w:rsidP="00D94D93" w:rsidRDefault="008676F6" w14:paraId="1E6873FC" w14:textId="77777777">
      <w:pPr>
        <w:pStyle w:val="zGBody2"/>
        <w:numPr>
          <w:ilvl w:val="1"/>
          <w:numId w:val="49"/>
        </w:numPr>
        <w:spacing w:before="120" w:line="20" w:lineRule="atLeast"/>
        <w:rPr>
          <w:b w:val="0"/>
        </w:rPr>
      </w:pPr>
      <w:r w:rsidRPr="007B14A9">
        <w:t xml:space="preserve">Gross </w:t>
      </w:r>
      <w:r>
        <w:t>B</w:t>
      </w:r>
      <w:r w:rsidRPr="007B14A9">
        <w:t>ESS DC MW</w:t>
      </w:r>
    </w:p>
    <w:p w:rsidR="008A7B8E" w:rsidP="00D94D93" w:rsidRDefault="008A7B8E" w14:paraId="50220993" w14:textId="77777777">
      <w:pPr>
        <w:pStyle w:val="zGBody3"/>
        <w:numPr>
          <w:ilvl w:val="2"/>
          <w:numId w:val="49"/>
        </w:numPr>
        <w:spacing w:after="120" w:line="20" w:lineRule="atLeast"/>
      </w:pPr>
      <w:r w:rsidRPr="002D2A8F">
        <w:t xml:space="preserve">Aggregated Gross </w:t>
      </w:r>
      <w:r>
        <w:t>B</w:t>
      </w:r>
      <w:r w:rsidRPr="002D2A8F">
        <w:t xml:space="preserve">ESS DC MW at the </w:t>
      </w:r>
      <w:r>
        <w:t>B</w:t>
      </w:r>
      <w:r w:rsidRPr="002D2A8F">
        <w:t xml:space="preserve">ESS. This is the actual DC MW entering the </w:t>
      </w:r>
      <w:r>
        <w:t>B</w:t>
      </w:r>
      <w:r w:rsidRPr="002D2A8F">
        <w:t xml:space="preserve">ESS or being discharged from the </w:t>
      </w:r>
      <w:r>
        <w:t>B</w:t>
      </w:r>
      <w:r w:rsidRPr="002D2A8F">
        <w:t>ESS to the power conversion station. Positive to indicate discharging, Negative to indicate charging.</w:t>
      </w:r>
    </w:p>
    <w:p w:rsidRPr="007B14A9" w:rsidR="005D6CC1" w:rsidP="00D94D93" w:rsidRDefault="005D6CC1" w14:paraId="688415A9" w14:textId="77777777">
      <w:pPr>
        <w:pStyle w:val="zGBody2"/>
        <w:numPr>
          <w:ilvl w:val="1"/>
          <w:numId w:val="49"/>
        </w:numPr>
        <w:spacing w:before="120" w:line="20" w:lineRule="atLeast"/>
        <w:rPr>
          <w:b w:val="0"/>
        </w:rPr>
      </w:pPr>
      <w:r w:rsidRPr="007B14A9">
        <w:t>Renewable Resource AGC Status</w:t>
      </w:r>
    </w:p>
    <w:p w:rsidR="0084440D" w:rsidP="00D94D93" w:rsidRDefault="0084440D" w14:paraId="6D928BA3" w14:textId="77777777">
      <w:pPr>
        <w:pStyle w:val="zGBody3"/>
        <w:numPr>
          <w:ilvl w:val="2"/>
          <w:numId w:val="49"/>
        </w:numPr>
        <w:spacing w:after="120" w:line="20" w:lineRule="atLeast"/>
      </w:pPr>
      <w:r w:rsidRPr="002D2A8F">
        <w:t xml:space="preserve">This will be an integer value that will range from 0 to 1. A '0' value will indicate the Renewable Resource is on local control and a '1' will indicate the Renewable Resource is available for AGC remote control. </w:t>
      </w:r>
    </w:p>
    <w:p w:rsidRPr="007B14A9" w:rsidR="00C42C85" w:rsidP="00D94D93" w:rsidRDefault="00C42C85" w14:paraId="2793C072" w14:textId="77777777">
      <w:pPr>
        <w:pStyle w:val="zGBody2"/>
        <w:numPr>
          <w:ilvl w:val="1"/>
          <w:numId w:val="49"/>
        </w:numPr>
        <w:spacing w:before="120" w:line="20" w:lineRule="atLeast"/>
        <w:rPr>
          <w:b w:val="0"/>
        </w:rPr>
      </w:pPr>
      <w:r w:rsidRPr="007B14A9">
        <w:t>Renewable Resource Opera</w:t>
      </w:r>
      <w:r w:rsidRPr="007B14A9">
        <w:rPr>
          <w:b w:val="0"/>
        </w:rPr>
        <w:t>ting High Limit (MW)</w:t>
      </w:r>
    </w:p>
    <w:p w:rsidRPr="002D2A8F" w:rsidR="007C4A16" w:rsidP="00D94D93" w:rsidRDefault="007C4A16" w14:paraId="6D5D6341" w14:textId="77777777">
      <w:pPr>
        <w:pStyle w:val="zGBody3"/>
        <w:numPr>
          <w:ilvl w:val="2"/>
          <w:numId w:val="49"/>
        </w:numPr>
        <w:spacing w:after="120" w:line="20" w:lineRule="atLeast"/>
      </w:pPr>
      <w:r w:rsidRPr="002D2A8F">
        <w:rPr>
          <w:bCs/>
        </w:rPr>
        <w:t>The current maximum generating capacity of the Renewable Resource.</w:t>
      </w:r>
      <w:r w:rsidRPr="002D2A8F">
        <w:rPr>
          <w:b/>
        </w:rPr>
        <w:t xml:space="preserve"> </w:t>
      </w:r>
      <w:r w:rsidRPr="002D2A8F">
        <w:t xml:space="preserve">This is the maximum possible generation of the Renewable Resource including any de-rates, independent of Renewable Resource irradiance. This limit is to be reduced if equipment issues reduce the total Renewable Resource Capacity. If there are no equipment issues or de-rates, this value will be the same as the Renewable Resource Capacity. </w:t>
      </w:r>
    </w:p>
    <w:p w:rsidRPr="009F1AD1" w:rsidR="006B42C9" w:rsidP="00D94D93" w:rsidRDefault="006B42C9" w14:paraId="61431693" w14:textId="77777777">
      <w:pPr>
        <w:pStyle w:val="zGBody2"/>
        <w:numPr>
          <w:ilvl w:val="1"/>
          <w:numId w:val="49"/>
        </w:numPr>
        <w:spacing w:before="120" w:line="20" w:lineRule="atLeast"/>
        <w:rPr>
          <w:b w:val="0"/>
        </w:rPr>
      </w:pPr>
      <w:r w:rsidRPr="007B14A9">
        <w:t>Renewable Resource Capacity (MW) [High Limit]</w:t>
      </w:r>
    </w:p>
    <w:p w:rsidRPr="002D2A8F" w:rsidR="000911B9" w:rsidP="00D94D93" w:rsidRDefault="000911B9" w14:paraId="2AD6B214" w14:textId="77777777">
      <w:pPr>
        <w:pStyle w:val="zGBody3"/>
        <w:numPr>
          <w:ilvl w:val="2"/>
          <w:numId w:val="49"/>
        </w:numPr>
        <w:spacing w:after="120" w:line="20" w:lineRule="atLeast"/>
      </w:pPr>
      <w:r w:rsidRPr="002D2A8F">
        <w:t xml:space="preserve">This is the max design capacity of the Renewable Resource up to the POI limit. This will be a fixed number and is independent of Renewable Resource irradiance or equipment de-rates. </w:t>
      </w:r>
    </w:p>
    <w:p w:rsidR="009F1AD1" w:rsidP="00D94D93" w:rsidRDefault="009520F2" w14:paraId="2538CD5B" w14:textId="197B8F7C">
      <w:pPr>
        <w:pStyle w:val="zGBody2"/>
        <w:numPr>
          <w:ilvl w:val="1"/>
          <w:numId w:val="49"/>
        </w:numPr>
        <w:spacing w:before="120" w:line="20" w:lineRule="atLeast"/>
        <w:rPr>
          <w:b w:val="0"/>
        </w:rPr>
      </w:pPr>
      <w:r w:rsidRPr="007B14A9">
        <w:t>Renewable Resource High Limit Status</w:t>
      </w:r>
    </w:p>
    <w:p w:rsidRPr="002D2A8F" w:rsidR="000B0713" w:rsidP="00D94D93" w:rsidRDefault="000B0713" w14:paraId="01904D15" w14:textId="77777777">
      <w:pPr>
        <w:pStyle w:val="zGBody3"/>
        <w:numPr>
          <w:ilvl w:val="2"/>
          <w:numId w:val="49"/>
        </w:numPr>
        <w:spacing w:after="120" w:line="20" w:lineRule="atLeast"/>
      </w:pPr>
      <w:r w:rsidRPr="002D2A8F">
        <w:t xml:space="preserve">This will be an integer value that will range from 0 to 1. Its normal state will be to a 0. A value of 1 will indicate generation is at the high limit. </w:t>
      </w:r>
    </w:p>
    <w:p w:rsidRPr="007B14A9" w:rsidR="00C03E2E" w:rsidP="00D94D93" w:rsidRDefault="00C03E2E" w14:paraId="2CCCBA15" w14:textId="77777777">
      <w:pPr>
        <w:pStyle w:val="zGBody2"/>
        <w:numPr>
          <w:ilvl w:val="1"/>
          <w:numId w:val="49"/>
        </w:numPr>
        <w:spacing w:before="120" w:line="20" w:lineRule="atLeast"/>
        <w:rPr>
          <w:b w:val="0"/>
        </w:rPr>
      </w:pPr>
      <w:r w:rsidRPr="007B14A9">
        <w:t>Renew</w:t>
      </w:r>
      <w:r w:rsidRPr="007B14A9">
        <w:rPr>
          <w:b w:val="0"/>
        </w:rPr>
        <w:t xml:space="preserve">able Resource Potential High Limit (MW) </w:t>
      </w:r>
    </w:p>
    <w:p w:rsidRPr="002D2A8F" w:rsidR="000078CE" w:rsidP="00D94D93" w:rsidRDefault="000078CE" w14:paraId="3900D163" w14:textId="77777777">
      <w:pPr>
        <w:pStyle w:val="zGBody3"/>
        <w:numPr>
          <w:ilvl w:val="2"/>
          <w:numId w:val="49"/>
        </w:numPr>
        <w:spacing w:after="120" w:line="20" w:lineRule="atLeast"/>
      </w:pPr>
      <w:r w:rsidRPr="002D2A8F">
        <w:t xml:space="preserve">This is the potential real time actual limit of the Renewable Resource inclusive of Renewable Resource irradiance and any equipment issues. This real-time telemetry point will indicate what the Renewable Resource’s output would be if no curtailment is present.  </w:t>
      </w:r>
    </w:p>
    <w:p w:rsidRPr="007B14A9" w:rsidR="00937CC9" w:rsidP="00D94D93" w:rsidRDefault="00937CC9" w14:paraId="3CE5D55F" w14:textId="77777777">
      <w:pPr>
        <w:pStyle w:val="zGBody2"/>
        <w:numPr>
          <w:ilvl w:val="1"/>
          <w:numId w:val="49"/>
        </w:numPr>
        <w:spacing w:before="120" w:line="20" w:lineRule="atLeast"/>
        <w:rPr>
          <w:b w:val="0"/>
        </w:rPr>
      </w:pPr>
      <w:r w:rsidRPr="007B14A9">
        <w:t xml:space="preserve">Renewable Resource Operating Low Limit (MW) </w:t>
      </w:r>
    </w:p>
    <w:p w:rsidRPr="002D2A8F" w:rsidR="00F42048" w:rsidP="00D94D93" w:rsidRDefault="00F42048" w14:paraId="18206E3B" w14:textId="77777777">
      <w:pPr>
        <w:pStyle w:val="zGBody3"/>
        <w:numPr>
          <w:ilvl w:val="2"/>
          <w:numId w:val="49"/>
        </w:numPr>
        <w:spacing w:after="120" w:line="20" w:lineRule="atLeast"/>
      </w:pPr>
      <w:r w:rsidRPr="002D2A8F">
        <w:rPr>
          <w:bCs/>
        </w:rPr>
        <w:t xml:space="preserve">The current minimum generating capacity of the Renewable Resource. </w:t>
      </w:r>
      <w:r w:rsidRPr="002D2A8F">
        <w:t xml:space="preserve">During normal operation, the facility will provide a low limit for available curtailment. Expectation is this would be 0 MW under normal conditions unless an equipment issue exists that prevents the Renewable Resource from returning to full normal output following the full curtailment. </w:t>
      </w:r>
    </w:p>
    <w:p w:rsidRPr="007B14A9" w:rsidR="00E83685" w:rsidP="00D94D93" w:rsidRDefault="00E83685" w14:paraId="49DC90BC" w14:textId="77777777">
      <w:pPr>
        <w:pStyle w:val="zGBody2"/>
        <w:numPr>
          <w:ilvl w:val="1"/>
          <w:numId w:val="49"/>
        </w:numPr>
        <w:spacing w:before="120" w:line="20" w:lineRule="atLeast"/>
        <w:rPr>
          <w:b w:val="0"/>
        </w:rPr>
      </w:pPr>
      <w:r w:rsidRPr="007B14A9">
        <w:t>Renewable Resource Low Limit Status</w:t>
      </w:r>
    </w:p>
    <w:p w:rsidRPr="002D2A8F" w:rsidR="00C7028B" w:rsidP="00D94D93" w:rsidRDefault="00C7028B" w14:paraId="40C585F2" w14:textId="77777777">
      <w:pPr>
        <w:pStyle w:val="zGBody3"/>
        <w:numPr>
          <w:ilvl w:val="2"/>
          <w:numId w:val="49"/>
        </w:numPr>
        <w:spacing w:after="120" w:line="20" w:lineRule="atLeast"/>
      </w:pPr>
      <w:r w:rsidRPr="002D2A8F">
        <w:t xml:space="preserve">This will be an integer value that will range from 0 to 1. Its normal state will be to a 0. A value of 1 will indicate generation is at the Operating Low Limit. </w:t>
      </w:r>
    </w:p>
    <w:p w:rsidRPr="007B14A9" w:rsidR="00FD0C76" w:rsidP="00D94D93" w:rsidRDefault="00FD0C76" w14:paraId="63116AF5" w14:textId="77777777">
      <w:pPr>
        <w:pStyle w:val="zGBody2"/>
        <w:numPr>
          <w:ilvl w:val="1"/>
          <w:numId w:val="49"/>
        </w:numPr>
        <w:spacing w:before="120" w:line="20" w:lineRule="atLeast"/>
        <w:rPr>
          <w:b w:val="0"/>
        </w:rPr>
      </w:pPr>
      <w:r w:rsidRPr="007B14A9">
        <w:t>Renewable Resource Setpoint Feedback (MW)</w:t>
      </w:r>
    </w:p>
    <w:p w:rsidRPr="002D2A8F" w:rsidR="00221B8D" w:rsidP="00D94D93" w:rsidRDefault="00221B8D" w14:paraId="6B5BA65B" w14:textId="77777777">
      <w:pPr>
        <w:pStyle w:val="zGBody3"/>
        <w:numPr>
          <w:ilvl w:val="2"/>
          <w:numId w:val="49"/>
        </w:numPr>
        <w:spacing w:after="120" w:line="20" w:lineRule="atLeast"/>
      </w:pPr>
      <w:r w:rsidRPr="002D2A8F">
        <w:t>This is an echo of the value received from EMS for the EMS setpoint.</w:t>
      </w:r>
    </w:p>
    <w:p w:rsidRPr="0072211F" w:rsidR="00AE5A5E" w:rsidP="00D94D93" w:rsidRDefault="009042F8" w14:paraId="1867C22E" w14:textId="569D4C2C">
      <w:pPr>
        <w:pStyle w:val="zGBody3"/>
        <w:numPr>
          <w:ilvl w:val="1"/>
          <w:numId w:val="49"/>
        </w:numPr>
        <w:spacing w:after="120" w:line="20" w:lineRule="atLeast"/>
        <w:rPr>
          <w:b/>
        </w:rPr>
      </w:pPr>
      <w:r>
        <w:t xml:space="preserve"> </w:t>
      </w:r>
      <w:r w:rsidRPr="0072211F" w:rsidR="0014649C">
        <w:rPr>
          <w:b/>
        </w:rPr>
        <w:t>BESS Setpoint Feedback (MW)</w:t>
      </w:r>
    </w:p>
    <w:p w:rsidRPr="002D2A8F" w:rsidR="00E94138" w:rsidP="00D94D93" w:rsidRDefault="00E94138" w14:paraId="4CC73E53" w14:textId="77777777">
      <w:pPr>
        <w:pStyle w:val="zGBody3"/>
        <w:numPr>
          <w:ilvl w:val="2"/>
          <w:numId w:val="49"/>
        </w:numPr>
        <w:spacing w:after="120" w:line="20" w:lineRule="atLeast"/>
      </w:pPr>
      <w:r w:rsidRPr="002D2A8F">
        <w:t>This is an echo of the value received from EMS for the EMS setpoint.</w:t>
      </w:r>
    </w:p>
    <w:p w:rsidRPr="0072211F" w:rsidR="00607965" w:rsidP="00D94D93" w:rsidRDefault="00B67A88" w14:paraId="507BB96F" w14:textId="5D56C315">
      <w:pPr>
        <w:pStyle w:val="zGBody3"/>
        <w:numPr>
          <w:ilvl w:val="1"/>
          <w:numId w:val="49"/>
        </w:numPr>
        <w:spacing w:after="120" w:line="20" w:lineRule="atLeast"/>
        <w:rPr>
          <w:b/>
        </w:rPr>
      </w:pPr>
      <w:r w:rsidRPr="0072211F">
        <w:rPr>
          <w:b/>
        </w:rPr>
        <w:lastRenderedPageBreak/>
        <w:t>BESS AGC Status</w:t>
      </w:r>
    </w:p>
    <w:p w:rsidR="00EC071C" w:rsidP="00D94D93" w:rsidRDefault="00EC071C" w14:paraId="4E31B3F9" w14:textId="77777777">
      <w:pPr>
        <w:pStyle w:val="zGBody3"/>
        <w:numPr>
          <w:ilvl w:val="2"/>
          <w:numId w:val="49"/>
        </w:numPr>
        <w:spacing w:after="120" w:line="20" w:lineRule="atLeast"/>
      </w:pPr>
      <w:r w:rsidRPr="002D2A8F">
        <w:t xml:space="preserve">This will be an integer value that will range from 0 to 1. A '0' value will indicate the </w:t>
      </w:r>
      <w:r>
        <w:t>B</w:t>
      </w:r>
      <w:r w:rsidRPr="002D2A8F">
        <w:t xml:space="preserve">ESS is on local control and a '1' will indicate the </w:t>
      </w:r>
      <w:r>
        <w:t>B</w:t>
      </w:r>
      <w:r w:rsidRPr="002D2A8F">
        <w:t xml:space="preserve">ESS is available for AGC remote control. </w:t>
      </w:r>
    </w:p>
    <w:p w:rsidRPr="0072211F" w:rsidR="00EC071C" w:rsidP="00D94D93" w:rsidRDefault="00DC25A2" w14:paraId="4A70ABC6" w14:textId="0CF54BB0">
      <w:pPr>
        <w:pStyle w:val="zGBody3"/>
        <w:numPr>
          <w:ilvl w:val="1"/>
          <w:numId w:val="49"/>
        </w:numPr>
        <w:spacing w:after="120" w:line="20" w:lineRule="atLeast"/>
        <w:rPr>
          <w:b/>
        </w:rPr>
      </w:pPr>
      <w:r w:rsidRPr="0072211F">
        <w:rPr>
          <w:b/>
        </w:rPr>
        <w:t>Present State of Charge (MWh)</w:t>
      </w:r>
    </w:p>
    <w:p w:rsidR="000406CB" w:rsidP="00D94D93" w:rsidRDefault="000406CB" w14:paraId="44BF061B" w14:textId="77777777">
      <w:pPr>
        <w:pStyle w:val="zGBody3"/>
        <w:numPr>
          <w:ilvl w:val="2"/>
          <w:numId w:val="49"/>
        </w:numPr>
        <w:spacing w:after="120" w:line="20" w:lineRule="atLeast"/>
      </w:pPr>
      <w:r w:rsidRPr="002D2A8F">
        <w:t xml:space="preserve">This will be a value representing the actual </w:t>
      </w:r>
      <w:r>
        <w:t>S</w:t>
      </w:r>
      <w:r w:rsidRPr="002D2A8F">
        <w:t xml:space="preserve">tate of </w:t>
      </w:r>
      <w:r>
        <w:t>C</w:t>
      </w:r>
      <w:r w:rsidRPr="002D2A8F">
        <w:t xml:space="preserve">harge and range from 0 to the SDOE for the device. </w:t>
      </w:r>
    </w:p>
    <w:p w:rsidRPr="007B14A9" w:rsidR="00080007" w:rsidP="00D94D93" w:rsidRDefault="00080007" w14:paraId="3B0DC012" w14:textId="77777777">
      <w:pPr>
        <w:pStyle w:val="zGBody2"/>
        <w:numPr>
          <w:ilvl w:val="1"/>
          <w:numId w:val="49"/>
        </w:numPr>
        <w:spacing w:before="120" w:line="20" w:lineRule="atLeast"/>
        <w:rPr>
          <w:b w:val="0"/>
        </w:rPr>
      </w:pPr>
      <w:r>
        <w:t>B</w:t>
      </w:r>
      <w:r w:rsidRPr="007B14A9">
        <w:t>ESS Maximum Operational State of Charge limit (MWh)</w:t>
      </w:r>
    </w:p>
    <w:p w:rsidRPr="002D2A8F" w:rsidR="00BB468B" w:rsidP="00D94D93" w:rsidRDefault="00BB468B" w14:paraId="5E960B48" w14:textId="77777777">
      <w:pPr>
        <w:pStyle w:val="zGBody3"/>
        <w:numPr>
          <w:ilvl w:val="2"/>
          <w:numId w:val="49"/>
        </w:numPr>
        <w:spacing w:after="120" w:line="20" w:lineRule="atLeast"/>
        <w:rPr>
          <w:b/>
          <w:u w:val="single"/>
        </w:rPr>
      </w:pPr>
      <w:r w:rsidRPr="002D2A8F">
        <w:t xml:space="preserve">This will be a value indicating the maximum usable </w:t>
      </w:r>
      <w:r>
        <w:t>S</w:t>
      </w:r>
      <w:r w:rsidRPr="002D2A8F">
        <w:t xml:space="preserve">tate of </w:t>
      </w:r>
      <w:r>
        <w:t>C</w:t>
      </w:r>
      <w:r w:rsidRPr="002D2A8F">
        <w:t xml:space="preserve">harge capability for the </w:t>
      </w:r>
      <w:r>
        <w:t>B</w:t>
      </w:r>
      <w:r w:rsidRPr="002D2A8F">
        <w:t xml:space="preserve">ESS. This is a calculated value inclusive of any de-rates or equipment issues and not the nameplate to give the operating range of the system. This value should indicate the maximum usable energy and indicates the amount of AC MW that can be discharged to the POI. For clarity, this is not the amount of DC MW that is stored in the </w:t>
      </w:r>
      <w:r>
        <w:t>B</w:t>
      </w:r>
      <w:r w:rsidRPr="002D2A8F">
        <w:t xml:space="preserve">ESS. AGC should be able to dispatch the </w:t>
      </w:r>
      <w:r>
        <w:t>B</w:t>
      </w:r>
      <w:r w:rsidRPr="002D2A8F">
        <w:t>ESS from the Maximum Operational State of Charge to the Minimum Operational State of Charge. I</w:t>
      </w:r>
      <w:r>
        <w:t>f</w:t>
      </w:r>
      <w:r w:rsidRPr="002D2A8F">
        <w:t xml:space="preserve"> there are no operational constraints, this value should be equal to the SDOE.</w:t>
      </w:r>
    </w:p>
    <w:p w:rsidRPr="007B14A9" w:rsidR="0018009B" w:rsidP="00D94D93" w:rsidRDefault="0018009B" w14:paraId="7282727B" w14:textId="77777777">
      <w:pPr>
        <w:pStyle w:val="zGBody2"/>
        <w:numPr>
          <w:ilvl w:val="1"/>
          <w:numId w:val="49"/>
        </w:numPr>
        <w:spacing w:before="120" w:line="20" w:lineRule="atLeast"/>
        <w:rPr>
          <w:b w:val="0"/>
        </w:rPr>
      </w:pPr>
      <w:r>
        <w:t>B</w:t>
      </w:r>
      <w:r w:rsidRPr="007B14A9">
        <w:t>ESS Minimum Operational State of Charge limit (MWh)</w:t>
      </w:r>
    </w:p>
    <w:p w:rsidRPr="0072211F" w:rsidR="000406CB" w:rsidP="00D94D93" w:rsidRDefault="001D2A6E" w14:paraId="54D54E54" w14:textId="7B70820C">
      <w:pPr>
        <w:pStyle w:val="zGBody3"/>
        <w:numPr>
          <w:ilvl w:val="2"/>
          <w:numId w:val="49"/>
        </w:numPr>
        <w:spacing w:after="120" w:line="20" w:lineRule="atLeast"/>
        <w:rPr>
          <w:b/>
        </w:rPr>
      </w:pPr>
      <w:r w:rsidRPr="002D2A8F">
        <w:t xml:space="preserve">This will be a value indicating the minimum usable </w:t>
      </w:r>
      <w:r>
        <w:t>S</w:t>
      </w:r>
      <w:r w:rsidRPr="002D2A8F">
        <w:t xml:space="preserve">tate of </w:t>
      </w:r>
      <w:r>
        <w:t>C</w:t>
      </w:r>
      <w:r w:rsidRPr="002D2A8F">
        <w:t xml:space="preserve">harge capability for the </w:t>
      </w:r>
      <w:r>
        <w:t>B</w:t>
      </w:r>
      <w:r w:rsidRPr="002D2A8F">
        <w:t xml:space="preserve">ESS. This is a calculated value inclusive of any limiting operational issues and not the nameplate to give the operating range of the system. A value of 0 MWh should indicate the bottom range of usable energy, not necessarily the absolute lowest energy level of the </w:t>
      </w:r>
      <w:r>
        <w:t>B</w:t>
      </w:r>
      <w:r w:rsidRPr="002D2A8F">
        <w:t xml:space="preserve">ESS device. AGC should be able to dispatch the </w:t>
      </w:r>
      <w:r>
        <w:t>B</w:t>
      </w:r>
      <w:r w:rsidRPr="002D2A8F">
        <w:t>ESS from the Minimum Operational State of Charge to the Maximum Operational State of Charge</w:t>
      </w:r>
      <w:r w:rsidRPr="0072211F">
        <w:rPr>
          <w:b/>
        </w:rPr>
        <w:t>.</w:t>
      </w:r>
    </w:p>
    <w:p w:rsidRPr="0072211F" w:rsidR="00554236" w:rsidP="00D94D93" w:rsidRDefault="00702D65" w14:paraId="20C11D35" w14:textId="71E6D78C">
      <w:pPr>
        <w:pStyle w:val="zGBody3"/>
        <w:numPr>
          <w:ilvl w:val="1"/>
          <w:numId w:val="49"/>
        </w:numPr>
        <w:spacing w:after="120" w:line="20" w:lineRule="atLeast"/>
        <w:rPr>
          <w:b/>
        </w:rPr>
      </w:pPr>
      <w:r w:rsidRPr="0072211F">
        <w:rPr>
          <w:b/>
        </w:rPr>
        <w:t>BESS Discharge Time (minutes)</w:t>
      </w:r>
    </w:p>
    <w:p w:rsidRPr="002D2A8F" w:rsidR="000A18F6" w:rsidP="00D94D93" w:rsidRDefault="000A18F6" w14:paraId="3B2530CA" w14:textId="77777777">
      <w:pPr>
        <w:pStyle w:val="zGBody3"/>
        <w:numPr>
          <w:ilvl w:val="2"/>
          <w:numId w:val="49"/>
        </w:numPr>
        <w:spacing w:after="120" w:line="20" w:lineRule="atLeast"/>
      </w:pPr>
      <w:r w:rsidRPr="002D2A8F">
        <w:t xml:space="preserve">Estimated time to discharge the </w:t>
      </w:r>
      <w:r>
        <w:t>B</w:t>
      </w:r>
      <w:r w:rsidRPr="002D2A8F">
        <w:t>ESS to the Minimum Operational State of Charge Limit based on the remaining energy and current discharge rate.</w:t>
      </w:r>
    </w:p>
    <w:p w:rsidRPr="007B14A9" w:rsidR="009D3051" w:rsidP="00D94D93" w:rsidRDefault="009D3051" w14:paraId="547EA5AD" w14:textId="77777777">
      <w:pPr>
        <w:pStyle w:val="zGBody2"/>
        <w:numPr>
          <w:ilvl w:val="1"/>
          <w:numId w:val="49"/>
        </w:numPr>
        <w:spacing w:before="120" w:line="20" w:lineRule="atLeast"/>
        <w:rPr>
          <w:b w:val="0"/>
        </w:rPr>
      </w:pPr>
      <w:r>
        <w:t>B</w:t>
      </w:r>
      <w:r w:rsidRPr="007B14A9">
        <w:t>ESS Charge Time (minutes)</w:t>
      </w:r>
    </w:p>
    <w:p w:rsidRPr="002D2A8F" w:rsidR="000C1177" w:rsidP="00D94D93" w:rsidRDefault="000C1177" w14:paraId="26E967BC" w14:textId="77777777">
      <w:pPr>
        <w:pStyle w:val="zGBody3"/>
        <w:numPr>
          <w:ilvl w:val="2"/>
          <w:numId w:val="49"/>
        </w:numPr>
        <w:spacing w:after="120" w:line="20" w:lineRule="atLeast"/>
      </w:pPr>
      <w:r w:rsidRPr="002D2A8F">
        <w:t xml:space="preserve">Estimated time to charge the </w:t>
      </w:r>
      <w:r>
        <w:t>B</w:t>
      </w:r>
      <w:r w:rsidRPr="002D2A8F">
        <w:t>ESS to the Maximum Operational State of Charge Limit based on the remaining energy and current charge rate.</w:t>
      </w:r>
    </w:p>
    <w:p w:rsidRPr="007B14A9" w:rsidR="005D27E2" w:rsidP="00D94D93" w:rsidRDefault="005D27E2" w14:paraId="38C4CC3B" w14:textId="77777777">
      <w:pPr>
        <w:pStyle w:val="zGBody2"/>
        <w:numPr>
          <w:ilvl w:val="1"/>
          <w:numId w:val="49"/>
        </w:numPr>
        <w:spacing w:before="120" w:line="20" w:lineRule="atLeast"/>
        <w:rPr>
          <w:b w:val="0"/>
        </w:rPr>
      </w:pPr>
      <w:r>
        <w:t>B</w:t>
      </w:r>
      <w:r w:rsidRPr="007B14A9">
        <w:t>ESS Discharge Rate [Operating High Limit (MW)]</w:t>
      </w:r>
    </w:p>
    <w:p w:rsidRPr="002D2A8F" w:rsidR="006D3610" w:rsidP="00D94D93" w:rsidRDefault="006D3610" w14:paraId="4BE21AA8" w14:textId="77777777">
      <w:pPr>
        <w:pStyle w:val="zGBody3"/>
        <w:numPr>
          <w:ilvl w:val="2"/>
          <w:numId w:val="49"/>
        </w:numPr>
        <w:spacing w:after="120" w:line="20" w:lineRule="atLeast"/>
      </w:pPr>
      <w:r w:rsidRPr="002D2A8F">
        <w:t xml:space="preserve">This will be a value indicating the real-time maximum rate of power that the </w:t>
      </w:r>
      <w:r>
        <w:t>B</w:t>
      </w:r>
      <w:r w:rsidRPr="002D2A8F">
        <w:t xml:space="preserve">ESS device can discharge. Discharged power is provided as a positive (+) value. This value is dependent on the state of the system (inclusive of any derated equipment or abnormal conditions). If the </w:t>
      </w:r>
      <w:r>
        <w:t>B</w:t>
      </w:r>
      <w:r w:rsidRPr="002D2A8F">
        <w:t xml:space="preserve">ESS device is part of a </w:t>
      </w:r>
      <w:r>
        <w:t>c</w:t>
      </w:r>
      <w:r w:rsidRPr="002D2A8F">
        <w:t>o-</w:t>
      </w:r>
      <w:r>
        <w:t>l</w:t>
      </w:r>
      <w:r w:rsidRPr="002D2A8F">
        <w:t xml:space="preserve">ocated Facility, this value will need to take into consideration the </w:t>
      </w:r>
      <w:r>
        <w:t>Interconnection</w:t>
      </w:r>
      <w:r w:rsidRPr="002D2A8F">
        <w:t xml:space="preserve"> Limit and the Renewable Resource Potential High Limit. </w:t>
      </w:r>
    </w:p>
    <w:p w:rsidRPr="007B14A9" w:rsidR="00A97E48" w:rsidP="00D94D93" w:rsidRDefault="00A97E48" w14:paraId="6E06FC1D" w14:textId="77777777">
      <w:pPr>
        <w:pStyle w:val="zGBody2"/>
        <w:numPr>
          <w:ilvl w:val="1"/>
          <w:numId w:val="49"/>
        </w:numPr>
        <w:spacing w:before="120" w:line="20" w:lineRule="atLeast"/>
        <w:rPr>
          <w:b w:val="0"/>
        </w:rPr>
      </w:pPr>
      <w:r>
        <w:t>B</w:t>
      </w:r>
      <w:r w:rsidRPr="007B14A9">
        <w:t>ESS SDDC [High Limit (MW)]</w:t>
      </w:r>
    </w:p>
    <w:p w:rsidRPr="002D2A8F" w:rsidR="00000CD7" w:rsidP="00D94D93" w:rsidRDefault="00000CD7" w14:paraId="0CE4FE46" w14:textId="77777777">
      <w:pPr>
        <w:pStyle w:val="zGBody3"/>
        <w:numPr>
          <w:ilvl w:val="2"/>
          <w:numId w:val="49"/>
        </w:numPr>
        <w:spacing w:after="120" w:line="20" w:lineRule="atLeast"/>
      </w:pPr>
      <w:r w:rsidRPr="002D2A8F">
        <w:t xml:space="preserve">The guaranteed amount of </w:t>
      </w:r>
      <w:r>
        <w:t>B</w:t>
      </w:r>
      <w:r w:rsidRPr="002D2A8F">
        <w:t xml:space="preserve">ESS storage capacity allocated to GPC under this PPA and that represents the guaranteed continuous discharge capability of the </w:t>
      </w:r>
      <w:r>
        <w:t>B</w:t>
      </w:r>
      <w:r w:rsidRPr="002D2A8F">
        <w:t xml:space="preserve">ESS for the Storage Device Discharge Duration. This will be a value indicating the maximum rate of power that the </w:t>
      </w:r>
      <w:r>
        <w:t>B</w:t>
      </w:r>
      <w:r w:rsidRPr="002D2A8F">
        <w:t>ESS device can discharge provided as a positive (+) value. This is independent of the state of the system or any de-rates.</w:t>
      </w:r>
    </w:p>
    <w:p w:rsidRPr="007B14A9" w:rsidR="00E97760" w:rsidP="00D94D93" w:rsidRDefault="00E97760" w14:paraId="6DAB9790" w14:textId="77777777">
      <w:pPr>
        <w:pStyle w:val="zGBody2"/>
        <w:numPr>
          <w:ilvl w:val="1"/>
          <w:numId w:val="49"/>
        </w:numPr>
        <w:spacing w:before="120" w:line="20" w:lineRule="atLeast"/>
        <w:rPr>
          <w:b w:val="0"/>
        </w:rPr>
      </w:pPr>
      <w:r>
        <w:t>B</w:t>
      </w:r>
      <w:r w:rsidRPr="007B14A9">
        <w:t>ESS Charge Rate [Operating Low Limit (MW)]</w:t>
      </w:r>
    </w:p>
    <w:p w:rsidRPr="002D2A8F" w:rsidR="00875083" w:rsidP="00D94D93" w:rsidRDefault="00875083" w14:paraId="2B7A150D" w14:textId="77777777">
      <w:pPr>
        <w:pStyle w:val="zGBody3"/>
        <w:numPr>
          <w:ilvl w:val="2"/>
          <w:numId w:val="49"/>
        </w:numPr>
        <w:spacing w:after="120" w:line="20" w:lineRule="atLeast"/>
      </w:pPr>
      <w:r w:rsidRPr="002D2A8F">
        <w:t xml:space="preserve">This will be a value indicating the real-time minimum rate of power that the </w:t>
      </w:r>
      <w:r>
        <w:t>B</w:t>
      </w:r>
      <w:r w:rsidRPr="002D2A8F">
        <w:t>ESS device can achieve when charging. This will be provided as a negative (-) value. This value is dependent on the state of the system (inclusive of any derated equipment or abnormal conditions).</w:t>
      </w:r>
    </w:p>
    <w:p w:rsidRPr="007B14A9" w:rsidR="002E564B" w:rsidP="00D94D93" w:rsidRDefault="002E564B" w14:paraId="3D32CD30" w14:textId="77777777">
      <w:pPr>
        <w:pStyle w:val="zGBody2"/>
        <w:numPr>
          <w:ilvl w:val="1"/>
          <w:numId w:val="49"/>
        </w:numPr>
        <w:spacing w:before="120" w:line="20" w:lineRule="atLeast"/>
        <w:rPr>
          <w:b w:val="0"/>
        </w:rPr>
      </w:pPr>
      <w:r>
        <w:lastRenderedPageBreak/>
        <w:t>B</w:t>
      </w:r>
      <w:r w:rsidRPr="007B14A9">
        <w:t>ESS Maximum Rate of Charge [Low Limit (MW)]</w:t>
      </w:r>
    </w:p>
    <w:p w:rsidRPr="002D2A8F" w:rsidR="00632C85" w:rsidP="00D94D93" w:rsidRDefault="00632C85" w14:paraId="0586C928" w14:textId="77777777">
      <w:pPr>
        <w:pStyle w:val="zGBody3"/>
        <w:numPr>
          <w:ilvl w:val="2"/>
          <w:numId w:val="49"/>
        </w:numPr>
        <w:spacing w:after="120" w:line="20" w:lineRule="atLeast"/>
      </w:pPr>
      <w:r w:rsidRPr="002D2A8F">
        <w:t xml:space="preserve">The </w:t>
      </w:r>
      <w:r>
        <w:t>M</w:t>
      </w:r>
      <w:r w:rsidRPr="002D2A8F">
        <w:t xml:space="preserve">aximum </w:t>
      </w:r>
      <w:r>
        <w:t>R</w:t>
      </w:r>
      <w:r w:rsidRPr="002D2A8F">
        <w:t xml:space="preserve">ate of </w:t>
      </w:r>
      <w:r>
        <w:t>C</w:t>
      </w:r>
      <w:r w:rsidRPr="002D2A8F">
        <w:t xml:space="preserve">harge of the </w:t>
      </w:r>
      <w:r>
        <w:t>B</w:t>
      </w:r>
      <w:r w:rsidRPr="002D2A8F">
        <w:t xml:space="preserve">ESS. This will be a value indicating the maximum rate of power that the </w:t>
      </w:r>
      <w:r>
        <w:t>B</w:t>
      </w:r>
      <w:r w:rsidRPr="002D2A8F">
        <w:t>ESS device can be charged at, from zero MWh to the SDOE, provided as a negative (-) value. This is independent on the state of the system or any de-rates.</w:t>
      </w:r>
    </w:p>
    <w:p w:rsidRPr="007B14A9" w:rsidR="00C442BF" w:rsidP="00D94D93" w:rsidRDefault="00C442BF" w14:paraId="64DD0974" w14:textId="77777777">
      <w:pPr>
        <w:pStyle w:val="zGBody2"/>
        <w:numPr>
          <w:ilvl w:val="1"/>
          <w:numId w:val="49"/>
        </w:numPr>
        <w:spacing w:before="120" w:line="20" w:lineRule="atLeast"/>
        <w:rPr>
          <w:b w:val="0"/>
        </w:rPr>
      </w:pPr>
      <w:r>
        <w:t>B</w:t>
      </w:r>
      <w:r w:rsidRPr="007B14A9">
        <w:t>ESS Discharge AGC Ramp Increase (+MW/min)</w:t>
      </w:r>
    </w:p>
    <w:p w:rsidRPr="002D2A8F" w:rsidR="004852ED" w:rsidP="00D94D93" w:rsidRDefault="004852ED" w14:paraId="0B537104" w14:textId="77777777">
      <w:pPr>
        <w:pStyle w:val="zGBody3"/>
        <w:numPr>
          <w:ilvl w:val="2"/>
          <w:numId w:val="49"/>
        </w:numPr>
        <w:spacing w:after="120" w:line="20" w:lineRule="atLeast"/>
      </w:pPr>
      <w:r w:rsidRPr="002D2A8F">
        <w:t xml:space="preserve">This will be a value indicating the maximum ramp rate of power the </w:t>
      </w:r>
      <w:r>
        <w:t>B</w:t>
      </w:r>
      <w:r w:rsidRPr="002D2A8F">
        <w:t xml:space="preserve">ESS can achieve when increasing </w:t>
      </w:r>
      <w:r>
        <w:t>output</w:t>
      </w:r>
      <w:r w:rsidRPr="002D2A8F">
        <w:t xml:space="preserve"> or decreasing the charge setpoint. This will be provided as a positive (+) value. The value should reflect the real-time capability to prevent AGC setpoints from exceeding the tolerance and must not exceed the limits in the </w:t>
      </w:r>
      <w:r>
        <w:t>IA</w:t>
      </w:r>
      <w:r w:rsidRPr="002D2A8F">
        <w:t>.</w:t>
      </w:r>
    </w:p>
    <w:p w:rsidRPr="007B14A9" w:rsidR="00E10C91" w:rsidP="00D94D93" w:rsidRDefault="00E10C91" w14:paraId="4885C616" w14:textId="77777777">
      <w:pPr>
        <w:pStyle w:val="zGBody2"/>
        <w:numPr>
          <w:ilvl w:val="1"/>
          <w:numId w:val="49"/>
        </w:numPr>
        <w:spacing w:before="120" w:line="20" w:lineRule="atLeast"/>
        <w:rPr>
          <w:b w:val="0"/>
        </w:rPr>
      </w:pPr>
      <w:r>
        <w:t>B</w:t>
      </w:r>
      <w:r w:rsidRPr="007B14A9">
        <w:t>ESS Charge AGC Ramp Decrease (-MW/min)</w:t>
      </w:r>
    </w:p>
    <w:p w:rsidRPr="002D2A8F" w:rsidR="002A6E85" w:rsidP="00D94D93" w:rsidRDefault="002A6E85" w14:paraId="3809CDCA" w14:textId="77777777">
      <w:pPr>
        <w:pStyle w:val="zGBody3"/>
        <w:numPr>
          <w:ilvl w:val="2"/>
          <w:numId w:val="49"/>
        </w:numPr>
        <w:spacing w:after="120" w:line="20" w:lineRule="atLeast"/>
      </w:pPr>
      <w:r w:rsidRPr="002D2A8F">
        <w:t xml:space="preserve">This will be a value indicating the maximum ramp rate of power the </w:t>
      </w:r>
      <w:r>
        <w:t>B</w:t>
      </w:r>
      <w:r w:rsidRPr="002D2A8F">
        <w:t xml:space="preserve">ESS can be charged or when decreasing </w:t>
      </w:r>
      <w:r>
        <w:t>output</w:t>
      </w:r>
      <w:r w:rsidRPr="002D2A8F">
        <w:t xml:space="preserve">. This will be provided as a negative (-) value. The value should reflect the real-time capability to prevent AGC setpoints from exceeding the tolerance and must not exceed the limits in the </w:t>
      </w:r>
      <w:r>
        <w:t>IA</w:t>
      </w:r>
      <w:r w:rsidRPr="002D2A8F">
        <w:t xml:space="preserve">. Under normal conditions, this value should be the same as the </w:t>
      </w:r>
      <w:r>
        <w:t>B</w:t>
      </w:r>
      <w:r w:rsidRPr="002D2A8F">
        <w:t>ESS Discharge AGC Ramp Increase.</w:t>
      </w:r>
    </w:p>
    <w:p w:rsidRPr="007B14A9" w:rsidR="00D06EC7" w:rsidP="00D94D93" w:rsidRDefault="00D06EC7" w14:paraId="29F43DA8" w14:textId="77777777">
      <w:pPr>
        <w:pStyle w:val="zGBody2"/>
        <w:numPr>
          <w:ilvl w:val="1"/>
          <w:numId w:val="49"/>
        </w:numPr>
        <w:spacing w:before="120" w:line="20" w:lineRule="atLeast"/>
        <w:rPr>
          <w:b w:val="0"/>
        </w:rPr>
      </w:pPr>
      <w:r w:rsidRPr="007B14A9">
        <w:t>Average Site Cell Temperature, if available (°C)</w:t>
      </w:r>
    </w:p>
    <w:p w:rsidRPr="002D2A8F" w:rsidR="00D95CE0" w:rsidP="00D94D93" w:rsidRDefault="00D95CE0" w14:paraId="542928C0" w14:textId="263A0B0F">
      <w:pPr>
        <w:pStyle w:val="zGBody3"/>
        <w:numPr>
          <w:ilvl w:val="2"/>
          <w:numId w:val="49"/>
        </w:numPr>
        <w:spacing w:after="120" w:line="20" w:lineRule="atLeast"/>
      </w:pPr>
      <w:r w:rsidRPr="002D2A8F">
        <w:t xml:space="preserve">This will be a value indicating average site cell temperature provided as degrees </w:t>
      </w:r>
      <w:r>
        <w:t>Celsius</w:t>
      </w:r>
      <w:r w:rsidRPr="002D2A8F">
        <w:t>.</w:t>
      </w:r>
    </w:p>
    <w:p w:rsidRPr="007B14A9" w:rsidR="006C1C91" w:rsidP="00D94D93" w:rsidRDefault="006C1C91" w14:paraId="2EA06D59" w14:textId="77777777">
      <w:pPr>
        <w:pStyle w:val="zGBody2"/>
        <w:numPr>
          <w:ilvl w:val="1"/>
          <w:numId w:val="49"/>
        </w:numPr>
        <w:spacing w:before="120" w:line="20" w:lineRule="atLeast"/>
        <w:rPr>
          <w:b w:val="0"/>
        </w:rPr>
      </w:pPr>
      <w:r w:rsidRPr="007B14A9">
        <w:t>Station Service &amp; Auxiliary Operational Load (MW)</w:t>
      </w:r>
    </w:p>
    <w:p w:rsidRPr="002D2A8F" w:rsidR="00EF770F" w:rsidP="00D94D93" w:rsidRDefault="00EF770F" w14:paraId="4A73271E" w14:textId="77777777">
      <w:pPr>
        <w:pStyle w:val="zGBody3"/>
        <w:numPr>
          <w:ilvl w:val="2"/>
          <w:numId w:val="49"/>
        </w:numPr>
        <w:spacing w:after="120" w:line="20" w:lineRule="atLeast"/>
      </w:pPr>
      <w:r w:rsidRPr="002D2A8F">
        <w:t xml:space="preserve">These values will be as defined and described in the PPA. </w:t>
      </w:r>
    </w:p>
    <w:p w:rsidRPr="007B14A9" w:rsidR="003958F5" w:rsidP="00D94D93" w:rsidRDefault="003958F5" w14:paraId="66A91CA6" w14:textId="77777777">
      <w:pPr>
        <w:pStyle w:val="zGBody2"/>
        <w:numPr>
          <w:ilvl w:val="1"/>
          <w:numId w:val="49"/>
        </w:numPr>
        <w:spacing w:before="120" w:line="20" w:lineRule="atLeast"/>
        <w:rPr>
          <w:b w:val="0"/>
        </w:rPr>
      </w:pPr>
      <w:r w:rsidRPr="007B14A9">
        <w:t>% of stacks in service</w:t>
      </w:r>
    </w:p>
    <w:p w:rsidRPr="002D2A8F" w:rsidR="000508F3" w:rsidP="00D94D93" w:rsidRDefault="000508F3" w14:paraId="76FB6CD0" w14:textId="77777777">
      <w:pPr>
        <w:pStyle w:val="zGBody3"/>
        <w:numPr>
          <w:ilvl w:val="2"/>
          <w:numId w:val="49"/>
        </w:numPr>
        <w:spacing w:after="120" w:line="20" w:lineRule="atLeast"/>
      </w:pPr>
      <w:r w:rsidRPr="002D2A8F">
        <w:t>This will be a value indicating the number of battery stacks/racks in service and expressed as a percentage.</w:t>
      </w:r>
    </w:p>
    <w:p w:rsidRPr="007B14A9" w:rsidR="0066558A" w:rsidP="00D94D93" w:rsidRDefault="0066558A" w14:paraId="46DB295F" w14:textId="77777777">
      <w:pPr>
        <w:pStyle w:val="zGBody2"/>
        <w:numPr>
          <w:ilvl w:val="1"/>
          <w:numId w:val="49"/>
        </w:numPr>
        <w:spacing w:before="120" w:line="20" w:lineRule="atLeast"/>
        <w:rPr>
          <w:b w:val="0"/>
        </w:rPr>
      </w:pPr>
      <w:r w:rsidRPr="007B14A9">
        <w:t xml:space="preserve">Number/Percentage of inverters </w:t>
      </w:r>
      <w:r w:rsidRPr="007B14A9">
        <w:rPr>
          <w:b w:val="0"/>
        </w:rPr>
        <w:t xml:space="preserve">producing </w:t>
      </w:r>
      <w:r>
        <w:rPr>
          <w:b w:val="0"/>
        </w:rPr>
        <w:t>p</w:t>
      </w:r>
      <w:r w:rsidRPr="007B14A9">
        <w:rPr>
          <w:b w:val="0"/>
        </w:rPr>
        <w:t xml:space="preserve">ower </w:t>
      </w:r>
    </w:p>
    <w:p w:rsidRPr="0072211F" w:rsidR="00071CC7" w:rsidP="00D94D93" w:rsidRDefault="007541D9" w14:paraId="79790B64" w14:textId="6A373249">
      <w:pPr>
        <w:pStyle w:val="zGBody3"/>
        <w:numPr>
          <w:ilvl w:val="2"/>
          <w:numId w:val="49"/>
        </w:numPr>
        <w:spacing w:after="120" w:line="20" w:lineRule="atLeast"/>
        <w:rPr>
          <w:b/>
        </w:rPr>
      </w:pPr>
      <w:r w:rsidRPr="002D2A8F">
        <w:t xml:space="preserve">Total number of inverters </w:t>
      </w:r>
      <w:r w:rsidRPr="00645130">
        <w:t>producing</w:t>
      </w:r>
      <w:r w:rsidRPr="0025336C">
        <w:t xml:space="preserve"> (for </w:t>
      </w:r>
      <w:r w:rsidRPr="00645130">
        <w:t>BESS</w:t>
      </w:r>
      <w:r w:rsidRPr="0025336C">
        <w:t xml:space="preserve"> device)</w:t>
      </w:r>
      <w:r w:rsidRPr="002D2A8F">
        <w:t xml:space="preserve"> power (real or reactive </w:t>
      </w:r>
      <w:r>
        <w:t>p</w:t>
      </w:r>
      <w:r w:rsidRPr="002D2A8F">
        <w:t>ower) to the grid under normal operation</w:t>
      </w:r>
      <w:r>
        <w:t>.</w:t>
      </w:r>
    </w:p>
    <w:p w:rsidRPr="007B14A9" w:rsidR="007A3220" w:rsidP="00D94D93" w:rsidRDefault="007A3220" w14:paraId="2E32EA38" w14:textId="77777777">
      <w:pPr>
        <w:pStyle w:val="zGBody2"/>
        <w:numPr>
          <w:ilvl w:val="1"/>
          <w:numId w:val="49"/>
        </w:numPr>
        <w:spacing w:before="120" w:line="20" w:lineRule="atLeast"/>
        <w:rPr>
          <w:b w:val="0"/>
        </w:rPr>
      </w:pPr>
      <w:r w:rsidRPr="007B14A9">
        <w:t xml:space="preserve">Number/Percentage of inverters available </w:t>
      </w:r>
    </w:p>
    <w:p w:rsidRPr="002D2A8F" w:rsidR="001925FE" w:rsidP="00D94D93" w:rsidRDefault="001925FE" w14:paraId="3AE17A32" w14:textId="77777777">
      <w:pPr>
        <w:pStyle w:val="zGBody3"/>
        <w:numPr>
          <w:ilvl w:val="2"/>
          <w:numId w:val="49"/>
        </w:numPr>
        <w:spacing w:after="120" w:line="20" w:lineRule="atLeast"/>
      </w:pPr>
      <w:r w:rsidRPr="002D2A8F">
        <w:t>Total number of inverters available on-line (electrically connected based on inverter’s AC breaker status).</w:t>
      </w:r>
    </w:p>
    <w:p w:rsidRPr="007B14A9" w:rsidR="008D0660" w:rsidP="00D94D93" w:rsidRDefault="008D0660" w14:paraId="41E790A0" w14:textId="77777777">
      <w:pPr>
        <w:pStyle w:val="zGBody2"/>
        <w:numPr>
          <w:ilvl w:val="1"/>
          <w:numId w:val="49"/>
        </w:numPr>
        <w:spacing w:before="120" w:line="20" w:lineRule="atLeast"/>
        <w:rPr>
          <w:b w:val="0"/>
        </w:rPr>
      </w:pPr>
      <w:r w:rsidRPr="007B14A9">
        <w:t>Number/Perce</w:t>
      </w:r>
      <w:r w:rsidRPr="007B14A9">
        <w:rPr>
          <w:b w:val="0"/>
        </w:rPr>
        <w:t xml:space="preserve">ntage of inverters offline </w:t>
      </w:r>
    </w:p>
    <w:p w:rsidRPr="002D2A8F" w:rsidR="00B35D16" w:rsidP="00D94D93" w:rsidRDefault="00B35D16" w14:paraId="6513E7A2" w14:textId="77777777">
      <w:pPr>
        <w:pStyle w:val="zGBody3"/>
        <w:numPr>
          <w:ilvl w:val="2"/>
          <w:numId w:val="49"/>
        </w:numPr>
        <w:spacing w:after="120" w:line="20" w:lineRule="atLeast"/>
        <w:rPr>
          <w:sz w:val="22"/>
        </w:rPr>
      </w:pPr>
      <w:r w:rsidRPr="002D2A8F">
        <w:t>The total number of inverters that have stopped injecting power (real or reactive) to the grid for several reasons including but not limited to protection trip, momentary cessation etc. This may be calculated as a difference between inverters available and inverters producing power.</w:t>
      </w:r>
    </w:p>
    <w:p w:rsidRPr="007B14A9" w:rsidR="003035E7" w:rsidP="00D94D93" w:rsidRDefault="003035E7" w14:paraId="0B352C64" w14:textId="77777777">
      <w:pPr>
        <w:pStyle w:val="zGBody2"/>
        <w:numPr>
          <w:ilvl w:val="1"/>
          <w:numId w:val="49"/>
        </w:numPr>
        <w:spacing w:before="120" w:line="20" w:lineRule="atLeast"/>
        <w:rPr>
          <w:b w:val="0"/>
        </w:rPr>
      </w:pPr>
      <w:r w:rsidRPr="007B14A9">
        <w:t xml:space="preserve">Average Site Irradiance </w:t>
      </w:r>
    </w:p>
    <w:p w:rsidR="00E55D28" w:rsidP="00D94D93" w:rsidRDefault="00E55D28" w14:paraId="17A1F22C" w14:textId="77777777">
      <w:pPr>
        <w:pStyle w:val="zGBody3"/>
        <w:numPr>
          <w:ilvl w:val="2"/>
          <w:numId w:val="49"/>
        </w:numPr>
        <w:spacing w:after="120" w:line="20" w:lineRule="atLeast"/>
      </w:pPr>
      <w:r w:rsidRPr="002D2A8F">
        <w:t xml:space="preserve">Average irradiance for the solar site based on meteorological stations. </w:t>
      </w:r>
    </w:p>
    <w:p w:rsidRPr="00EC17B6" w:rsidR="00723BBC" w:rsidP="00D94D93" w:rsidRDefault="00723BBC" w14:paraId="56C5AB92" w14:textId="6012D5E8">
      <w:pPr>
        <w:pStyle w:val="zGBody2"/>
        <w:numPr>
          <w:ilvl w:val="1"/>
          <w:numId w:val="49"/>
        </w:numPr>
      </w:pPr>
      <w:r>
        <w:t>Cycles per Day Counter</w:t>
      </w:r>
      <w:r>
        <w:tab/>
      </w:r>
    </w:p>
    <w:p w:rsidRPr="00EC17B6" w:rsidR="00A531AD" w:rsidP="00D94D93" w:rsidRDefault="00A531AD" w14:paraId="1F46E59A" w14:textId="77777777">
      <w:pPr>
        <w:pStyle w:val="zGBody3"/>
        <w:numPr>
          <w:ilvl w:val="2"/>
          <w:numId w:val="49"/>
        </w:numPr>
      </w:pPr>
      <w:r>
        <w:t>This value will be an equivalent cycles per Day calculated based on: (i) the amount of energy discharged at the POI from the BESS divided by (ii) the max storage capacity of the BESS. This will be reset to 0 at midnight and will be passed to the EMS to ensure the desired number of equivalent cycles per Day is not exceeded.</w:t>
      </w:r>
    </w:p>
    <w:p w:rsidRPr="00EC17B6" w:rsidR="00113CC0" w:rsidP="00D94D93" w:rsidRDefault="00113CC0" w14:paraId="4F1A6754" w14:textId="77777777">
      <w:pPr>
        <w:pStyle w:val="zGBody2"/>
        <w:numPr>
          <w:ilvl w:val="1"/>
          <w:numId w:val="49"/>
        </w:numPr>
      </w:pPr>
      <w:r>
        <w:lastRenderedPageBreak/>
        <w:t>Cycles per Year Counter</w:t>
      </w:r>
    </w:p>
    <w:p w:rsidRPr="00EC17B6" w:rsidR="00791738" w:rsidP="00D94D93" w:rsidRDefault="00791738" w14:paraId="75A8D430" w14:textId="48F0AFEB">
      <w:pPr>
        <w:pStyle w:val="zGBody3"/>
        <w:numPr>
          <w:ilvl w:val="2"/>
          <w:numId w:val="49"/>
        </w:numPr>
        <w:rPr>
          <w:rFonts w:asciiTheme="minorHAnsi" w:hAnsiTheme="minorHAnsi"/>
          <w:sz w:val="22"/>
        </w:rPr>
      </w:pPr>
      <w:r>
        <w:t>This value will be an equivalent cycles counter calculated based on 1. the amount of energy discharged at the POI from the BESS divided by 2.  the max storage capacity of the BESS. This will be cumulative for the current year and will b</w:t>
      </w:r>
      <w:r w:rsidR="006210EC">
        <w:t xml:space="preserve">  </w:t>
      </w:r>
      <w:r>
        <w:t xml:space="preserve">e passed to the EMS to ensure the desired number of equivalent cycles per year is not exceeded.  </w:t>
      </w:r>
    </w:p>
    <w:p w:rsidRPr="0072211F" w:rsidR="007B5463" w:rsidP="0072211F" w:rsidRDefault="007B5463" w14:paraId="4DF5CAB7" w14:textId="77777777">
      <w:pPr>
        <w:widowControl w:val="0"/>
        <w:spacing w:before="240"/>
        <w:jc w:val="both"/>
        <w:outlineLvl w:val="0"/>
        <w:rPr>
          <w:rFonts w:ascii="Arial" w:hAnsi="Arial"/>
          <w:u w:val="single"/>
        </w:rPr>
      </w:pPr>
    </w:p>
    <w:p w:rsidR="0083038A" w:rsidP="00D81774" w:rsidRDefault="0083038A" w14:paraId="0A321245" w14:textId="625E4E12">
      <w:pPr>
        <w:jc w:val="both"/>
        <w:rPr>
          <w:rFonts w:ascii="Arial" w:hAnsi="Arial" w:cs="Arial"/>
          <w:sz w:val="20"/>
          <w:szCs w:val="20"/>
        </w:rPr>
        <w:sectPr w:rsidR="0083038A" w:rsidSect="003B614F">
          <w:pgSz w:w="12240" w:h="15840" w:code="1"/>
          <w:pgMar w:top="1440" w:right="1440" w:bottom="1440" w:left="1440" w:header="720" w:footer="720" w:gutter="0"/>
          <w:paperSrc w:first="15" w:other="15"/>
          <w:cols w:space="1440"/>
        </w:sectPr>
      </w:pPr>
    </w:p>
    <w:p w:rsidRPr="002D2A8F" w:rsidR="002D54C4" w:rsidP="002D54C4" w:rsidRDefault="002D54C4" w14:paraId="6180926F" w14:textId="083BAC86">
      <w:pPr>
        <w:pStyle w:val="zGTitleExhibit"/>
        <w:rPr>
          <w:rFonts w:cs="Arial"/>
        </w:rPr>
      </w:pPr>
      <w:bookmarkStart w:name="_Toc169778723" w:id="1115"/>
      <w:bookmarkStart w:name="_Toc227451495" w:id="1116"/>
      <w:r w:rsidRPr="002D2A8F">
        <w:rPr>
          <w:rFonts w:cs="Arial"/>
        </w:rPr>
        <w:lastRenderedPageBreak/>
        <w:t xml:space="preserve">EXHIBIT </w:t>
      </w:r>
      <w:r w:rsidR="00316F5D">
        <w:rPr>
          <w:rFonts w:cs="Arial"/>
        </w:rPr>
        <w:t>H</w:t>
      </w:r>
      <w:r w:rsidRPr="002D2A8F">
        <w:rPr>
          <w:rFonts w:cs="Arial"/>
        </w:rPr>
        <w:t xml:space="preserve"> – facility ONE-LINE DIAGRAM</w:t>
      </w:r>
      <w:bookmarkEnd w:id="1109"/>
      <w:bookmarkEnd w:id="1110"/>
      <w:bookmarkEnd w:id="1111"/>
      <w:bookmarkEnd w:id="1115"/>
      <w:bookmarkEnd w:id="1116"/>
    </w:p>
    <w:p w:rsidRPr="002D2A8F" w:rsidR="002D54C4" w:rsidP="00637DE0" w:rsidRDefault="002D54C4" w14:paraId="1C7E92D4" w14:textId="77777777">
      <w:pPr>
        <w:widowControl w:val="0"/>
        <w:jc w:val="center"/>
        <w:rPr>
          <w:rFonts w:ascii="Arial" w:hAnsi="Arial" w:cs="Arial"/>
          <w:sz w:val="20"/>
          <w:szCs w:val="20"/>
        </w:rPr>
      </w:pPr>
    </w:p>
    <w:p w:rsidRPr="002D2A8F" w:rsidR="00B67989" w:rsidP="00155DB5" w:rsidRDefault="002D54C4" w14:paraId="358429B4" w14:textId="06C3295F">
      <w:pPr>
        <w:widowControl w:val="0"/>
        <w:spacing w:after="240"/>
        <w:ind w:left="2880" w:hanging="2880"/>
        <w:jc w:val="center"/>
        <w:rPr>
          <w:rFonts w:ascii="Arial" w:hAnsi="Arial" w:cs="Arial"/>
        </w:rPr>
      </w:pPr>
      <w:r w:rsidRPr="004A7BE4">
        <w:rPr>
          <w:rFonts w:ascii="Arial" w:hAnsi="Arial" w:cs="Arial"/>
          <w:sz w:val="20"/>
          <w:szCs w:val="20"/>
          <w:highlight w:val="yellow"/>
        </w:rPr>
        <w:t>[Insert one-line diagram for Facility]</w:t>
      </w:r>
    </w:p>
    <w:p w:rsidRPr="002D2A8F" w:rsidR="003C77CE" w:rsidP="00ED2FF2" w:rsidRDefault="003C77CE" w14:paraId="62D9E5DB" w14:textId="77777777">
      <w:pPr>
        <w:widowControl w:val="0"/>
        <w:spacing w:after="240"/>
        <w:ind w:left="2880" w:hanging="2880"/>
        <w:rPr>
          <w:rFonts w:ascii="Arial" w:hAnsi="Arial" w:cs="Arial"/>
        </w:rPr>
      </w:pPr>
    </w:p>
    <w:p w:rsidRPr="002D2A8F" w:rsidR="002D54C4" w:rsidP="00ED2FF2" w:rsidRDefault="00155DB5" w14:paraId="7527BA6C" w14:textId="77777777">
      <w:pPr>
        <w:widowControl w:val="0"/>
        <w:spacing w:after="240"/>
        <w:ind w:left="2880" w:hanging="2880"/>
        <w:rPr>
          <w:rFonts w:ascii="Arial" w:hAnsi="Arial" w:cs="Arial"/>
        </w:rPr>
        <w:sectPr w:rsidRPr="002D2A8F" w:rsidR="002D54C4" w:rsidSect="003B614F">
          <w:pgSz w:w="12240" w:h="15840" w:code="1"/>
          <w:pgMar w:top="1440" w:right="1440" w:bottom="1440" w:left="1440" w:header="720" w:footer="720" w:gutter="0"/>
          <w:paperSrc w:first="15" w:other="15"/>
          <w:cols w:space="1440"/>
        </w:sectPr>
      </w:pPr>
      <w:r w:rsidRPr="002D2A8F">
        <w:rPr>
          <w:rFonts w:ascii="Arial" w:hAnsi="Arial" w:cs="Arial"/>
        </w:rPr>
        <w:br w:type="page"/>
      </w:r>
    </w:p>
    <w:p w:rsidRPr="002D2A8F" w:rsidR="002D54C4" w:rsidP="002D54C4" w:rsidRDefault="002D54C4" w14:paraId="4F132D13" w14:textId="5659F0FF">
      <w:pPr>
        <w:pStyle w:val="zGTitleExhibit"/>
        <w:spacing w:after="360"/>
        <w:rPr>
          <w:rFonts w:cs="Arial"/>
        </w:rPr>
      </w:pPr>
      <w:bookmarkStart w:name="_Toc169778724" w:id="1117"/>
      <w:bookmarkStart w:name="_Toc227451496" w:id="1118"/>
      <w:r w:rsidRPr="002D2A8F">
        <w:rPr>
          <w:rFonts w:cs="Arial"/>
        </w:rPr>
        <w:lastRenderedPageBreak/>
        <w:t xml:space="preserve">Exhibit </w:t>
      </w:r>
      <w:r w:rsidR="00316F5D">
        <w:rPr>
          <w:rFonts w:cs="Arial"/>
        </w:rPr>
        <w:t>I</w:t>
      </w:r>
      <w:r w:rsidRPr="002D2A8F">
        <w:rPr>
          <w:rFonts w:cs="Arial"/>
        </w:rPr>
        <w:t xml:space="preserve"> – requirements for PPA Facility</w:t>
      </w:r>
      <w:bookmarkEnd w:id="1117"/>
      <w:bookmarkEnd w:id="1118"/>
    </w:p>
    <w:p w:rsidR="002D54C4" w:rsidP="00D81774" w:rsidRDefault="002D54C4" w14:paraId="2DB51C87" w14:textId="77777777">
      <w:pPr>
        <w:jc w:val="both"/>
        <w:rPr>
          <w:rFonts w:ascii="Arial" w:hAnsi="Arial" w:eastAsia="DengXian" w:cs="Arial"/>
          <w:sz w:val="20"/>
          <w:szCs w:val="20"/>
        </w:rPr>
      </w:pPr>
      <w:r w:rsidRPr="002D2A8F">
        <w:rPr>
          <w:rFonts w:ascii="Arial" w:hAnsi="Arial" w:eastAsia="DengXian" w:cs="Arial"/>
          <w:sz w:val="20"/>
          <w:szCs w:val="20"/>
        </w:rPr>
        <w:t>This document describes GPC’s required characteristics for the Facility. This document does not include all the legal, regulatory, and technical requirements for the Facility but outlines certain minimum requirements. Seller is required to execute this document acknowledging the following:</w:t>
      </w:r>
    </w:p>
    <w:p w:rsidRPr="00CE2211" w:rsidR="00CE2211" w:rsidP="00D94D93" w:rsidRDefault="00CE2211" w14:paraId="4041FACC" w14:textId="77777777">
      <w:pPr>
        <w:keepNext/>
        <w:numPr>
          <w:ilvl w:val="0"/>
          <w:numId w:val="25"/>
        </w:numPr>
        <w:autoSpaceDE w:val="0"/>
        <w:autoSpaceDN w:val="0"/>
        <w:adjustRightInd w:val="0"/>
        <w:spacing w:before="120" w:after="120" w:line="20" w:lineRule="atLeast"/>
        <w:jc w:val="both"/>
        <w:rPr>
          <w:rFonts w:ascii="Arial Bold" w:hAnsi="Arial Bold" w:cs="Arial" w:eastAsiaTheme="minorEastAsia"/>
          <w:caps/>
          <w:kern w:val="14"/>
          <w:sz w:val="20"/>
          <w:szCs w:val="20"/>
          <w:u w:val="single"/>
        </w:rPr>
      </w:pPr>
      <w:r w:rsidRPr="00CE2211">
        <w:rPr>
          <w:rFonts w:ascii="Arial Bold" w:hAnsi="Arial Bold" w:cs="Arial" w:eastAsiaTheme="minorEastAsia"/>
          <w:b/>
          <w:caps/>
          <w:kern w:val="14"/>
          <w:sz w:val="20"/>
          <w:szCs w:val="20"/>
          <w:u w:val="single"/>
          <w:lang w:eastAsia="zh-CN"/>
        </w:rPr>
        <w:t>Solar Photovoltaic</w:t>
      </w:r>
    </w:p>
    <w:p w:rsidRPr="00DA76EF" w:rsidR="004C7660" w:rsidP="006B4F6B" w:rsidRDefault="004C7660" w14:paraId="1EF18158" w14:textId="77777777">
      <w:pPr>
        <w:pStyle w:val="zGBody2"/>
        <w:numPr>
          <w:ilvl w:val="1"/>
          <w:numId w:val="61"/>
        </w:numPr>
        <w:spacing w:before="120" w:line="20" w:lineRule="atLeast"/>
        <w:rPr>
          <w:u w:val="single"/>
        </w:rPr>
      </w:pPr>
      <w:r w:rsidRPr="002D2A8F">
        <w:rPr>
          <w:lang w:eastAsia="zh-CN"/>
        </w:rPr>
        <w:t>Hydrology and Site Drainage</w:t>
      </w:r>
    </w:p>
    <w:p w:rsidRPr="002D2A8F" w:rsidR="004C7660" w:rsidP="006B4F6B" w:rsidRDefault="004C7660" w14:paraId="31FBD7D3" w14:textId="77777777">
      <w:pPr>
        <w:pStyle w:val="zGBody3"/>
        <w:numPr>
          <w:ilvl w:val="2"/>
          <w:numId w:val="61"/>
        </w:numPr>
        <w:spacing w:after="120" w:line="20" w:lineRule="atLeast"/>
        <w:rPr>
          <w:rFonts w:eastAsia="DengXian"/>
          <w:lang w:eastAsia="zh-CN"/>
        </w:rPr>
      </w:pPr>
      <w:r w:rsidRPr="002D2A8F">
        <w:rPr>
          <w:lang w:eastAsia="zh-CN"/>
        </w:rPr>
        <w:t>Site grading must ensure positive drainage of the Site.</w:t>
      </w:r>
    </w:p>
    <w:p w:rsidRPr="002D2A8F" w:rsidR="004C7660" w:rsidP="006B4F6B" w:rsidRDefault="004C7660" w14:paraId="25937EBD" w14:textId="77777777">
      <w:pPr>
        <w:pStyle w:val="zGBody3"/>
        <w:numPr>
          <w:ilvl w:val="2"/>
          <w:numId w:val="61"/>
        </w:numPr>
        <w:spacing w:after="120" w:line="20" w:lineRule="atLeast"/>
        <w:rPr>
          <w:rFonts w:eastAsia="DengXian"/>
          <w:lang w:eastAsia="zh-CN"/>
        </w:rPr>
      </w:pPr>
      <w:r w:rsidRPr="002D2A8F">
        <w:rPr>
          <w:lang w:eastAsia="zh-CN"/>
        </w:rPr>
        <w:t>Site design must ensure no flooding, no standing water, and no increase i</w:t>
      </w:r>
      <w:r w:rsidRPr="002D2A8F">
        <w:rPr>
          <w:rFonts w:eastAsia="DengXian"/>
          <w:lang w:eastAsia="zh-CN"/>
        </w:rPr>
        <w:t>n flows offsite.</w:t>
      </w:r>
    </w:p>
    <w:p w:rsidRPr="002D2A8F" w:rsidR="004C7660" w:rsidP="006B4F6B" w:rsidRDefault="004C7660" w14:paraId="2671DE45" w14:textId="77777777">
      <w:pPr>
        <w:pStyle w:val="zGBody3"/>
        <w:numPr>
          <w:ilvl w:val="2"/>
          <w:numId w:val="61"/>
        </w:numPr>
        <w:spacing w:after="120" w:line="20" w:lineRule="atLeast"/>
        <w:rPr>
          <w:rFonts w:eastAsia="DengXian"/>
          <w:lang w:eastAsia="zh-CN"/>
        </w:rPr>
      </w:pPr>
      <w:r w:rsidRPr="002D2A8F">
        <w:rPr>
          <w:lang w:eastAsia="zh-CN"/>
        </w:rPr>
        <w:t>The drainage design</w:t>
      </w:r>
      <w:r>
        <w:rPr>
          <w:lang w:eastAsia="zh-CN"/>
        </w:rPr>
        <w:t xml:space="preserve"> and all stormwater controls</w:t>
      </w:r>
      <w:r w:rsidRPr="002D2A8F">
        <w:rPr>
          <w:lang w:eastAsia="zh-CN"/>
        </w:rPr>
        <w:t xml:space="preserve"> must be </w:t>
      </w:r>
      <w:r>
        <w:rPr>
          <w:lang w:eastAsia="zh-CN"/>
        </w:rPr>
        <w:t>sized for</w:t>
      </w:r>
      <w:r w:rsidRPr="002D2A8F">
        <w:rPr>
          <w:lang w:eastAsia="zh-CN"/>
        </w:rPr>
        <w:t xml:space="preserve"> a 100-year, 24-hour rain event.</w:t>
      </w:r>
    </w:p>
    <w:p w:rsidRPr="002D2A8F" w:rsidR="004C7660" w:rsidP="006B4F6B" w:rsidRDefault="004C7660" w14:paraId="7968CD16" w14:textId="77777777">
      <w:pPr>
        <w:pStyle w:val="zGBody3"/>
        <w:numPr>
          <w:ilvl w:val="2"/>
          <w:numId w:val="61"/>
        </w:numPr>
        <w:spacing w:after="120" w:line="20" w:lineRule="atLeast"/>
        <w:rPr>
          <w:rFonts w:eastAsia="DengXian"/>
          <w:lang w:eastAsia="zh-CN"/>
        </w:rPr>
      </w:pPr>
      <w:r w:rsidRPr="002D2A8F">
        <w:rPr>
          <w:rFonts w:eastAsia="Arial"/>
        </w:rPr>
        <w:t>No portion of the Facility may be located in a floodplain without the proper permit(s) from the appropriate Governmental Authority</w:t>
      </w:r>
      <w:r w:rsidRPr="002D2A8F">
        <w:rPr>
          <w:rFonts w:eastAsia="DengXian"/>
          <w:lang w:eastAsia="zh-CN"/>
        </w:rPr>
        <w:t>.</w:t>
      </w:r>
    </w:p>
    <w:p w:rsidRPr="002D2A8F" w:rsidR="004C7660" w:rsidP="006B4F6B" w:rsidRDefault="004C7660" w14:paraId="4490C4E5" w14:textId="77777777">
      <w:pPr>
        <w:pStyle w:val="zGBody3"/>
        <w:numPr>
          <w:ilvl w:val="2"/>
          <w:numId w:val="61"/>
        </w:numPr>
        <w:spacing w:after="120" w:line="20" w:lineRule="atLeast"/>
        <w:rPr>
          <w:rFonts w:eastAsia="DengXian"/>
          <w:lang w:eastAsia="zh-CN"/>
        </w:rPr>
      </w:pPr>
      <w:r w:rsidRPr="002D2A8F">
        <w:rPr>
          <w:lang w:eastAsia="zh-CN"/>
        </w:rPr>
        <w:t xml:space="preserve">The construction contract scope must </w:t>
      </w:r>
      <w:r w:rsidRPr="002D2A8F">
        <w:rPr>
          <w:rFonts w:eastAsia="DengXian"/>
          <w:lang w:eastAsia="zh-CN"/>
        </w:rPr>
        <w:t>include responsibility of contractor to close out the National Pollutant Discharge Elimination System (NPDES) permit.</w:t>
      </w:r>
    </w:p>
    <w:p w:rsidRPr="004F1DA9" w:rsidR="004D0905" w:rsidP="006B4F6B" w:rsidRDefault="004D0905" w14:paraId="6CB729A9" w14:textId="77777777">
      <w:pPr>
        <w:pStyle w:val="zGBody2"/>
        <w:numPr>
          <w:ilvl w:val="1"/>
          <w:numId w:val="61"/>
        </w:numPr>
        <w:spacing w:before="120" w:line="20" w:lineRule="atLeast"/>
        <w:rPr>
          <w:u w:val="single"/>
        </w:rPr>
      </w:pPr>
      <w:r w:rsidRPr="002D2A8F">
        <w:rPr>
          <w:lang w:eastAsia="zh-CN"/>
        </w:rPr>
        <w:t>Site Grading and Stabilization</w:t>
      </w:r>
    </w:p>
    <w:p w:rsidRPr="002D2A8F" w:rsidR="00FB03D3" w:rsidP="006B4F6B" w:rsidRDefault="00FB03D3" w14:paraId="4B9940D8" w14:textId="77777777">
      <w:pPr>
        <w:pStyle w:val="zGBody3"/>
        <w:numPr>
          <w:ilvl w:val="2"/>
          <w:numId w:val="61"/>
        </w:numPr>
        <w:spacing w:after="120" w:line="20" w:lineRule="atLeast"/>
        <w:rPr>
          <w:rFonts w:eastAsia="DengXian"/>
          <w:lang w:eastAsia="zh-CN"/>
        </w:rPr>
      </w:pPr>
      <w:r w:rsidRPr="002D2A8F">
        <w:rPr>
          <w:lang w:eastAsia="zh-CN"/>
        </w:rPr>
        <w:t>Measures must be in place to prevent sediment loss.</w:t>
      </w:r>
    </w:p>
    <w:p w:rsidRPr="00B311E1" w:rsidR="004F1DA9" w:rsidP="006B4F6B" w:rsidRDefault="00FB03D3" w14:paraId="7827131E" w14:textId="08C6C097">
      <w:pPr>
        <w:pStyle w:val="zGBody3"/>
        <w:numPr>
          <w:ilvl w:val="2"/>
          <w:numId w:val="61"/>
        </w:numPr>
        <w:spacing w:after="120" w:line="20" w:lineRule="atLeast"/>
        <w:rPr>
          <w:rFonts w:eastAsia="DengXian"/>
          <w:lang w:eastAsia="zh-CN"/>
        </w:rPr>
      </w:pPr>
      <w:r w:rsidRPr="002D2A8F">
        <w:rPr>
          <w:lang w:eastAsia="zh-CN"/>
        </w:rPr>
        <w:t xml:space="preserve">Permanent site </w:t>
      </w:r>
      <w:r w:rsidRPr="002D2A8F">
        <w:rPr>
          <w:rFonts w:eastAsia="DengXian"/>
          <w:lang w:eastAsia="zh-CN"/>
        </w:rPr>
        <w:t>vegetation and site stabilization must be completed before demobilizing.</w:t>
      </w:r>
    </w:p>
    <w:p w:rsidR="0006255D" w:rsidP="006B4F6B" w:rsidRDefault="00B311E1" w14:paraId="535DDD88" w14:textId="453A3D34">
      <w:pPr>
        <w:pStyle w:val="zGBody2"/>
        <w:numPr>
          <w:ilvl w:val="1"/>
          <w:numId w:val="61"/>
        </w:numPr>
        <w:spacing w:before="120" w:line="20" w:lineRule="atLeast"/>
        <w:rPr>
          <w:rFonts w:ascii="Arial" w:hAnsi="Arial" w:eastAsia="DengXian"/>
        </w:rPr>
      </w:pPr>
      <w:r>
        <w:rPr>
          <w:rFonts w:ascii="Arial" w:hAnsi="Arial" w:eastAsia="DengXian"/>
        </w:rPr>
        <w:t>Facility Design</w:t>
      </w:r>
    </w:p>
    <w:p w:rsidRPr="002D2A8F" w:rsidR="002A4CD6" w:rsidP="006B4F6B" w:rsidRDefault="002A4CD6" w14:paraId="51A24B60" w14:textId="77777777">
      <w:pPr>
        <w:pStyle w:val="zGBody3"/>
        <w:numPr>
          <w:ilvl w:val="2"/>
          <w:numId w:val="61"/>
        </w:numPr>
        <w:spacing w:after="120" w:line="20" w:lineRule="atLeast"/>
        <w:rPr>
          <w:rFonts w:eastAsia="DengXian"/>
          <w:lang w:eastAsia="zh-CN"/>
        </w:rPr>
      </w:pPr>
      <w:r w:rsidRPr="002D2A8F">
        <w:rPr>
          <w:lang w:eastAsia="zh-CN"/>
        </w:rPr>
        <w:t xml:space="preserve">Equipment must be sized to deliver rated Facility nameplate power at the POI, accounting for worst-case local </w:t>
      </w:r>
      <w:r>
        <w:rPr>
          <w:lang w:eastAsia="zh-CN"/>
        </w:rPr>
        <w:t xml:space="preserve">historical </w:t>
      </w:r>
      <w:r w:rsidRPr="002D2A8F">
        <w:rPr>
          <w:lang w:eastAsia="zh-CN"/>
        </w:rPr>
        <w:t>ambient temperature.</w:t>
      </w:r>
    </w:p>
    <w:p w:rsidRPr="002D2A8F" w:rsidR="002A4CD6" w:rsidP="006B4F6B" w:rsidRDefault="002A4CD6" w14:paraId="5A328381" w14:textId="77777777">
      <w:pPr>
        <w:pStyle w:val="zGBody3"/>
        <w:numPr>
          <w:ilvl w:val="2"/>
          <w:numId w:val="61"/>
        </w:numPr>
        <w:spacing w:after="120" w:line="20" w:lineRule="atLeast"/>
        <w:rPr>
          <w:rFonts w:eastAsia="DengXian"/>
          <w:lang w:eastAsia="zh-CN"/>
        </w:rPr>
      </w:pPr>
      <w:r w:rsidRPr="002D2A8F">
        <w:rPr>
          <w:lang w:eastAsia="zh-CN"/>
        </w:rPr>
        <w:t>Reactive power requirement must be solely met by the inverters without the use of capacitor banks.</w:t>
      </w:r>
    </w:p>
    <w:p w:rsidR="002A4CD6" w:rsidP="006B4F6B" w:rsidRDefault="002A4CD6" w14:paraId="5EEBDFB3" w14:textId="77777777">
      <w:pPr>
        <w:pStyle w:val="zGBody3"/>
        <w:numPr>
          <w:ilvl w:val="2"/>
          <w:numId w:val="61"/>
        </w:numPr>
        <w:spacing w:after="120" w:line="20" w:lineRule="atLeast"/>
        <w:rPr>
          <w:rFonts w:eastAsia="DengXian"/>
          <w:lang w:eastAsia="zh-CN"/>
        </w:rPr>
      </w:pPr>
      <w:r w:rsidRPr="002D2A8F">
        <w:rPr>
          <w:rFonts w:eastAsia="Arial"/>
        </w:rPr>
        <w:t>All equipment enclosures (e.g., combiner boxes) must be tamperproof and lockable (e.g., a special tool or key is required to open the equipment enclosure)</w:t>
      </w:r>
      <w:r w:rsidRPr="002D2A8F">
        <w:rPr>
          <w:rFonts w:eastAsia="DengXian"/>
          <w:lang w:eastAsia="zh-CN"/>
        </w:rPr>
        <w:t>.</w:t>
      </w:r>
    </w:p>
    <w:p w:rsidRPr="002D2A8F" w:rsidR="002A4CD6" w:rsidDel="00AB7D50" w:rsidP="006B4F6B" w:rsidRDefault="002A4CD6" w14:paraId="19F1CF30" w14:textId="77777777">
      <w:pPr>
        <w:pStyle w:val="zGBody3"/>
        <w:numPr>
          <w:ilvl w:val="2"/>
          <w:numId w:val="61"/>
        </w:numPr>
        <w:spacing w:after="120" w:line="20" w:lineRule="atLeast"/>
        <w:rPr>
          <w:rFonts w:eastAsia="DengXian"/>
          <w:lang w:eastAsia="zh-CN"/>
        </w:rPr>
      </w:pPr>
      <w:r>
        <w:rPr>
          <w:rFonts w:eastAsia="DengXian"/>
          <w:lang w:eastAsia="zh-CN"/>
        </w:rPr>
        <w:t>The Facility must have a hurricane resistance rating and restoration plan</w:t>
      </w:r>
    </w:p>
    <w:p w:rsidR="002A4CD6" w:rsidP="006B4F6B" w:rsidRDefault="005F482A" w14:paraId="7DB2E323" w14:textId="65CBFA19">
      <w:pPr>
        <w:pStyle w:val="zGBody2"/>
        <w:numPr>
          <w:ilvl w:val="1"/>
          <w:numId w:val="61"/>
        </w:numPr>
        <w:spacing w:before="120" w:line="20" w:lineRule="atLeast"/>
        <w:rPr>
          <w:rFonts w:ascii="Arial" w:hAnsi="Arial" w:eastAsia="DengXian"/>
        </w:rPr>
      </w:pPr>
      <w:r>
        <w:rPr>
          <w:rFonts w:ascii="Arial" w:hAnsi="Arial" w:eastAsia="DengXian"/>
        </w:rPr>
        <w:t>Major Equipment Vendors</w:t>
      </w:r>
    </w:p>
    <w:p w:rsidRPr="002D2A8F" w:rsidR="00415F52" w:rsidP="006B4F6B" w:rsidRDefault="00415F52" w14:paraId="23FE806D" w14:textId="77777777">
      <w:pPr>
        <w:pStyle w:val="zGBody3"/>
        <w:numPr>
          <w:ilvl w:val="2"/>
          <w:numId w:val="61"/>
        </w:numPr>
        <w:spacing w:after="120" w:line="20" w:lineRule="atLeast"/>
        <w:rPr>
          <w:rFonts w:eastAsia="DengXian"/>
          <w:lang w:eastAsia="zh-CN"/>
        </w:rPr>
      </w:pPr>
      <w:r w:rsidRPr="002D2A8F">
        <w:rPr>
          <w:lang w:eastAsia="zh-CN"/>
        </w:rPr>
        <w:t>Major equipment vendors must demonstrate quality and performance and be prepared to perform future warranty and maintenance work.</w:t>
      </w:r>
    </w:p>
    <w:p w:rsidRPr="002D2A8F" w:rsidR="00415F52" w:rsidP="006B4F6B" w:rsidRDefault="00415F52" w14:paraId="7591A0E6" w14:textId="77777777">
      <w:pPr>
        <w:pStyle w:val="zGBody3"/>
        <w:numPr>
          <w:ilvl w:val="2"/>
          <w:numId w:val="61"/>
        </w:numPr>
        <w:spacing w:after="120" w:line="20" w:lineRule="atLeast"/>
        <w:rPr>
          <w:rFonts w:eastAsia="DengXian"/>
          <w:lang w:eastAsia="zh-CN"/>
        </w:rPr>
      </w:pPr>
      <w:r w:rsidRPr="002D2A8F">
        <w:rPr>
          <w:lang w:eastAsia="zh-CN"/>
        </w:rPr>
        <w:t xml:space="preserve">Major </w:t>
      </w:r>
      <w:r w:rsidRPr="002D2A8F">
        <w:rPr>
          <w:rFonts w:eastAsia="DengXian"/>
          <w:lang w:eastAsia="zh-CN"/>
        </w:rPr>
        <w:t>equipment must be manufactured in factories certified to both IEC TS 62941 and ISO 9001.</w:t>
      </w:r>
    </w:p>
    <w:p w:rsidR="00280954" w:rsidP="006B4F6B" w:rsidRDefault="00EC0319" w14:paraId="39650EB6" w14:textId="0D097724">
      <w:pPr>
        <w:pStyle w:val="zGBody2"/>
        <w:numPr>
          <w:ilvl w:val="1"/>
          <w:numId w:val="61"/>
        </w:numPr>
        <w:spacing w:before="120" w:line="20" w:lineRule="atLeast"/>
        <w:rPr>
          <w:rFonts w:ascii="Arial" w:hAnsi="Arial" w:eastAsia="DengXian"/>
        </w:rPr>
      </w:pPr>
      <w:r>
        <w:rPr>
          <w:rFonts w:ascii="Arial" w:hAnsi="Arial" w:eastAsia="DengXian"/>
        </w:rPr>
        <w:t>PV Module</w:t>
      </w:r>
    </w:p>
    <w:p w:rsidRPr="002D2A8F" w:rsidR="007D65F0" w:rsidP="006B4F6B" w:rsidRDefault="007D65F0" w14:paraId="0941F68F" w14:textId="77777777">
      <w:pPr>
        <w:pStyle w:val="zGBody3"/>
        <w:numPr>
          <w:ilvl w:val="2"/>
          <w:numId w:val="61"/>
        </w:numPr>
        <w:spacing w:after="120" w:line="20" w:lineRule="atLeast"/>
        <w:rPr>
          <w:rFonts w:eastAsia="DengXian"/>
          <w:lang w:eastAsia="zh-CN"/>
        </w:rPr>
      </w:pPr>
      <w:r w:rsidRPr="002D2A8F">
        <w:rPr>
          <w:lang w:eastAsia="zh-CN"/>
        </w:rPr>
        <w:t xml:space="preserve">Solar modules </w:t>
      </w:r>
      <w:r>
        <w:rPr>
          <w:lang w:eastAsia="zh-CN"/>
        </w:rPr>
        <w:t>must</w:t>
      </w:r>
      <w:r w:rsidRPr="002D2A8F">
        <w:rPr>
          <w:lang w:eastAsia="zh-CN"/>
        </w:rPr>
        <w:t xml:space="preserve"> be sourced from Bloomberg New Energy Finance (BNEF) Tier 1 </w:t>
      </w:r>
      <w:r w:rsidRPr="002D2A8F">
        <w:rPr>
          <w:rFonts w:eastAsia="DengXian"/>
          <w:lang w:eastAsia="zh-CN"/>
        </w:rPr>
        <w:t>photovoltaic manufacturers.</w:t>
      </w:r>
    </w:p>
    <w:p w:rsidRPr="002D2A8F" w:rsidR="007D65F0" w:rsidP="006B4F6B" w:rsidRDefault="007D65F0" w14:paraId="429C9408" w14:textId="14FE5498">
      <w:pPr>
        <w:pStyle w:val="zGBody3"/>
        <w:numPr>
          <w:ilvl w:val="2"/>
          <w:numId w:val="61"/>
        </w:numPr>
        <w:spacing w:after="120" w:line="20" w:lineRule="atLeast"/>
        <w:rPr>
          <w:lang w:eastAsia="zh-CN"/>
        </w:rPr>
      </w:pPr>
      <w:r>
        <w:rPr>
          <w:lang w:eastAsia="zh-CN"/>
        </w:rPr>
        <w:t>An independent third-party testing agency must p</w:t>
      </w:r>
      <w:r w:rsidRPr="002D2A8F">
        <w:rPr>
          <w:lang w:eastAsia="zh-CN"/>
        </w:rPr>
        <w:t xml:space="preserve">rovide </w:t>
      </w:r>
      <w:r>
        <w:rPr>
          <w:lang w:eastAsia="zh-CN"/>
        </w:rPr>
        <w:t xml:space="preserve">a </w:t>
      </w:r>
      <w:r w:rsidRPr="002D2A8F">
        <w:rPr>
          <w:lang w:eastAsia="zh-CN"/>
        </w:rPr>
        <w:t xml:space="preserve">Highly Accelerated Life Test (HALT) report (PVEL or equivalent) for the specific module proposed. </w:t>
      </w:r>
    </w:p>
    <w:p w:rsidRPr="002D2A8F" w:rsidR="007D65F0" w:rsidDel="00F2641E" w:rsidP="006B4F6B" w:rsidRDefault="007D65F0" w14:paraId="0BE7C6B5" w14:textId="77777777">
      <w:pPr>
        <w:pStyle w:val="zGBody3"/>
        <w:numPr>
          <w:ilvl w:val="2"/>
          <w:numId w:val="61"/>
        </w:numPr>
        <w:spacing w:after="120" w:line="20" w:lineRule="atLeast"/>
        <w:rPr>
          <w:lang w:eastAsia="zh-CN"/>
        </w:rPr>
      </w:pPr>
      <w:r w:rsidRPr="002D2A8F">
        <w:rPr>
          <w:lang w:eastAsia="zh-CN"/>
        </w:rPr>
        <w:t>Provide module manufacturing location and</w:t>
      </w:r>
      <w:r>
        <w:rPr>
          <w:lang w:eastAsia="zh-CN"/>
        </w:rPr>
        <w:t xml:space="preserve"> project-specific</w:t>
      </w:r>
      <w:r w:rsidRPr="002D2A8F">
        <w:rPr>
          <w:lang w:eastAsia="zh-CN"/>
        </w:rPr>
        <w:t xml:space="preserve"> Bill of Material (BOM).</w:t>
      </w:r>
    </w:p>
    <w:p w:rsidR="00EC0319" w:rsidP="006B4F6B" w:rsidRDefault="00E15844" w14:paraId="3EFA2F0D" w14:textId="05A43122">
      <w:pPr>
        <w:pStyle w:val="zGBody2"/>
        <w:numPr>
          <w:ilvl w:val="1"/>
          <w:numId w:val="61"/>
        </w:numPr>
        <w:spacing w:before="120" w:line="20" w:lineRule="atLeast"/>
        <w:rPr>
          <w:rFonts w:ascii="Arial" w:hAnsi="Arial" w:eastAsia="DengXian"/>
        </w:rPr>
      </w:pPr>
      <w:r>
        <w:rPr>
          <w:rFonts w:ascii="Arial" w:hAnsi="Arial" w:eastAsia="DengXian"/>
        </w:rPr>
        <w:t>Inverter</w:t>
      </w:r>
    </w:p>
    <w:p w:rsidRPr="002D2A8F" w:rsidR="00E95F27" w:rsidP="006B4F6B" w:rsidRDefault="00E95F27" w14:paraId="79DC4C09" w14:textId="77777777">
      <w:pPr>
        <w:pStyle w:val="zGBody3"/>
        <w:numPr>
          <w:ilvl w:val="2"/>
          <w:numId w:val="61"/>
        </w:numPr>
        <w:spacing w:after="120" w:line="20" w:lineRule="atLeast"/>
        <w:rPr>
          <w:rFonts w:eastAsia="DengXian"/>
          <w:lang w:eastAsia="zh-CN"/>
        </w:rPr>
      </w:pPr>
      <w:r w:rsidRPr="002D2A8F">
        <w:rPr>
          <w:lang w:eastAsia="zh-CN"/>
        </w:rPr>
        <w:t xml:space="preserve">Inverters </w:t>
      </w:r>
      <w:r w:rsidRPr="002D2A8F">
        <w:rPr>
          <w:rFonts w:eastAsia="DengXian"/>
          <w:lang w:eastAsia="zh-CN"/>
        </w:rPr>
        <w:t>must</w:t>
      </w:r>
      <w:r w:rsidRPr="00DA76EF">
        <w:t xml:space="preserve"> be listed to UL1741 latest version.</w:t>
      </w:r>
      <w:r w:rsidRPr="002D2A8F">
        <w:rPr>
          <w:rFonts w:eastAsia="DengXian"/>
          <w:lang w:eastAsia="zh-CN"/>
        </w:rPr>
        <w:t xml:space="preserve"> </w:t>
      </w:r>
    </w:p>
    <w:p w:rsidRPr="001F1F55" w:rsidR="00E95F27" w:rsidP="006B4F6B" w:rsidRDefault="00E95F27" w14:paraId="135DFD0B" w14:textId="77777777">
      <w:pPr>
        <w:pStyle w:val="zGBody3"/>
        <w:numPr>
          <w:ilvl w:val="2"/>
          <w:numId w:val="61"/>
        </w:numPr>
        <w:rPr>
          <w:rFonts w:eastAsia="DengXian"/>
          <w:lang w:eastAsia="zh-CN"/>
        </w:rPr>
      </w:pPr>
      <w:r w:rsidRPr="001F1F55">
        <w:rPr>
          <w:rFonts w:eastAsia="DengXian"/>
          <w:lang w:eastAsia="zh-CN"/>
        </w:rPr>
        <w:lastRenderedPageBreak/>
        <w:t xml:space="preserve">Inverter </w:t>
      </w:r>
      <w:r>
        <w:rPr>
          <w:rFonts w:eastAsia="DengXian"/>
          <w:lang w:eastAsia="zh-CN"/>
        </w:rPr>
        <w:t>must</w:t>
      </w:r>
      <w:r w:rsidRPr="001F1F55">
        <w:rPr>
          <w:rFonts w:eastAsia="DengXian"/>
          <w:lang w:eastAsia="zh-CN"/>
        </w:rPr>
        <w:t xml:space="preserve"> be specified with options that maximize its grid disturbance ride-through capability.</w:t>
      </w:r>
    </w:p>
    <w:p w:rsidRPr="002D2A8F" w:rsidR="00E95F27" w:rsidP="006B4F6B" w:rsidRDefault="00E95F27" w14:paraId="17C14792" w14:textId="77777777">
      <w:pPr>
        <w:pStyle w:val="zGBody3"/>
        <w:numPr>
          <w:ilvl w:val="2"/>
          <w:numId w:val="61"/>
        </w:numPr>
        <w:spacing w:after="120" w:line="20" w:lineRule="atLeast"/>
        <w:rPr>
          <w:rFonts w:eastAsia="DengXian"/>
          <w:lang w:eastAsia="zh-CN"/>
        </w:rPr>
      </w:pPr>
      <w:r w:rsidRPr="002D2A8F">
        <w:rPr>
          <w:rFonts w:eastAsia="DengXian"/>
          <w:lang w:eastAsia="zh-CN"/>
        </w:rPr>
        <w:t>Inverters must be capable of producing their maximum rated reactive power at all active power levels (from 0% to 100% inclusive), when the primary energy source is available and not available.</w:t>
      </w:r>
    </w:p>
    <w:p w:rsidRPr="002D2A8F" w:rsidR="00E95F27" w:rsidP="006B4F6B" w:rsidRDefault="00E95F27" w14:paraId="6CE364D5" w14:textId="77777777">
      <w:pPr>
        <w:pStyle w:val="zGBody3"/>
        <w:numPr>
          <w:ilvl w:val="2"/>
          <w:numId w:val="61"/>
        </w:numPr>
        <w:spacing w:after="120" w:line="20" w:lineRule="atLeast"/>
        <w:rPr>
          <w:rFonts w:eastAsia="DengXian"/>
          <w:lang w:eastAsia="zh-CN"/>
        </w:rPr>
      </w:pPr>
      <w:r w:rsidRPr="002D2A8F">
        <w:rPr>
          <w:rFonts w:eastAsia="DengXian"/>
          <w:lang w:eastAsia="zh-CN"/>
        </w:rPr>
        <w:t>Inverters must be equipped with DC ground detection means through either insulation monitoring or differential current monitoring.</w:t>
      </w:r>
    </w:p>
    <w:p w:rsidRPr="002D2A8F" w:rsidR="00E95F27" w:rsidP="006B4F6B" w:rsidRDefault="00E95F27" w14:paraId="6AA03371" w14:textId="77777777">
      <w:pPr>
        <w:pStyle w:val="zGBody3"/>
        <w:numPr>
          <w:ilvl w:val="2"/>
          <w:numId w:val="61"/>
        </w:numPr>
        <w:spacing w:after="120" w:line="20" w:lineRule="atLeast"/>
        <w:rPr>
          <w:rFonts w:eastAsia="DengXian"/>
          <w:lang w:eastAsia="zh-CN"/>
        </w:rPr>
      </w:pPr>
      <w:r w:rsidRPr="002D2A8F">
        <w:rPr>
          <w:rFonts w:eastAsia="DengXian"/>
          <w:lang w:eastAsia="zh-CN"/>
        </w:rPr>
        <w:t>Facilities that are transmission interconnected must conform to NERC recommendations and requirements pertaining to IBR facilities.</w:t>
      </w:r>
    </w:p>
    <w:p w:rsidR="00E15844" w:rsidP="006B4F6B" w:rsidRDefault="00E95F27" w14:paraId="6206C638" w14:textId="7E077FA5">
      <w:pPr>
        <w:pStyle w:val="zGBody2"/>
        <w:numPr>
          <w:ilvl w:val="1"/>
          <w:numId w:val="61"/>
        </w:numPr>
        <w:spacing w:before="120" w:line="20" w:lineRule="atLeast"/>
        <w:rPr>
          <w:rFonts w:ascii="Arial" w:hAnsi="Arial" w:eastAsia="DengXian"/>
        </w:rPr>
      </w:pPr>
      <w:r>
        <w:rPr>
          <w:rFonts w:ascii="Arial" w:hAnsi="Arial" w:eastAsia="DengXian"/>
        </w:rPr>
        <w:t>Inverter Step-Up Transformer</w:t>
      </w:r>
    </w:p>
    <w:p w:rsidRPr="002D2A8F" w:rsidR="008864E1" w:rsidP="006B4F6B" w:rsidRDefault="008864E1" w14:paraId="7755A579" w14:textId="77777777">
      <w:pPr>
        <w:pStyle w:val="zGBody3"/>
        <w:numPr>
          <w:ilvl w:val="2"/>
          <w:numId w:val="61"/>
        </w:numPr>
        <w:spacing w:after="120" w:line="20" w:lineRule="atLeast"/>
        <w:rPr>
          <w:rFonts w:eastAsia="DengXian"/>
          <w:lang w:eastAsia="zh-CN"/>
        </w:rPr>
      </w:pPr>
      <w:r w:rsidRPr="002D2A8F">
        <w:rPr>
          <w:lang w:eastAsia="zh-CN"/>
        </w:rPr>
        <w:t>Transformers must be two-winding.</w:t>
      </w:r>
    </w:p>
    <w:p w:rsidR="008864E1" w:rsidP="006B4F6B" w:rsidRDefault="008864E1" w14:paraId="2BBA11E3" w14:textId="77777777">
      <w:pPr>
        <w:pStyle w:val="zGBody3"/>
        <w:numPr>
          <w:ilvl w:val="2"/>
          <w:numId w:val="61"/>
        </w:numPr>
        <w:rPr>
          <w:lang w:eastAsia="zh-CN"/>
        </w:rPr>
      </w:pPr>
      <w:r>
        <w:rPr>
          <w:lang w:eastAsia="zh-CN"/>
        </w:rPr>
        <w:t>Internal busbars and terminations/bushings must be the same material as the winding.</w:t>
      </w:r>
    </w:p>
    <w:p w:rsidR="008864E1" w:rsidP="006B4F6B" w:rsidRDefault="008864E1" w14:paraId="1C4CFFEB" w14:textId="77777777">
      <w:pPr>
        <w:pStyle w:val="zGBody3"/>
        <w:numPr>
          <w:ilvl w:val="2"/>
          <w:numId w:val="61"/>
        </w:numPr>
        <w:rPr>
          <w:lang w:eastAsia="zh-CN"/>
        </w:rPr>
      </w:pPr>
      <w:r>
        <w:rPr>
          <w:lang w:eastAsia="zh-CN"/>
        </w:rPr>
        <w:t>Electrostatic shielding must be provided between each winding.</w:t>
      </w:r>
    </w:p>
    <w:p w:rsidR="008864E1" w:rsidP="006B4F6B" w:rsidRDefault="008864E1" w14:paraId="510294AA" w14:textId="77777777">
      <w:pPr>
        <w:pStyle w:val="zGBody3"/>
        <w:numPr>
          <w:ilvl w:val="2"/>
          <w:numId w:val="61"/>
        </w:numPr>
        <w:rPr>
          <w:lang w:eastAsia="zh-CN"/>
        </w:rPr>
      </w:pPr>
      <w:r>
        <w:rPr>
          <w:lang w:eastAsia="zh-CN"/>
        </w:rPr>
        <w:t>All transformers must be tested in accordance to IEEE C57.12.00 and C57.12.90.</w:t>
      </w:r>
    </w:p>
    <w:p w:rsidR="008864E1" w:rsidP="006B4F6B" w:rsidRDefault="008864E1" w14:paraId="6B0E23BC" w14:textId="77777777">
      <w:pPr>
        <w:pStyle w:val="zGBody3"/>
        <w:numPr>
          <w:ilvl w:val="2"/>
          <w:numId w:val="61"/>
        </w:numPr>
        <w:rPr>
          <w:lang w:eastAsia="zh-CN"/>
        </w:rPr>
      </w:pPr>
      <w:r>
        <w:rPr>
          <w:lang w:eastAsia="zh-CN"/>
        </w:rPr>
        <w:t>Oil reservoir for spill containment must be provided for each transformer in accordance with the Spill Prevention, Control, and Countermeasure (SPCC) Rule.</w:t>
      </w:r>
    </w:p>
    <w:p w:rsidR="00E95F27" w:rsidP="006B4F6B" w:rsidRDefault="008864E1" w14:paraId="019E2916" w14:textId="754373A2">
      <w:pPr>
        <w:pStyle w:val="zGBody2"/>
        <w:numPr>
          <w:ilvl w:val="1"/>
          <w:numId w:val="61"/>
        </w:numPr>
        <w:spacing w:before="120" w:line="20" w:lineRule="atLeast"/>
        <w:rPr>
          <w:rFonts w:ascii="Arial" w:hAnsi="Arial" w:eastAsia="DengXian"/>
        </w:rPr>
      </w:pPr>
      <w:r>
        <w:rPr>
          <w:rFonts w:ascii="Arial" w:hAnsi="Arial" w:eastAsia="DengXian"/>
        </w:rPr>
        <w:t>MV Switchgear</w:t>
      </w:r>
    </w:p>
    <w:p w:rsidRPr="002D2A8F" w:rsidR="00D3400A" w:rsidP="006B4F6B" w:rsidRDefault="00D3400A" w14:paraId="6DD77F1C" w14:textId="77777777">
      <w:pPr>
        <w:pStyle w:val="zGBody3"/>
        <w:numPr>
          <w:ilvl w:val="2"/>
          <w:numId w:val="61"/>
        </w:numPr>
        <w:spacing w:after="120" w:line="20" w:lineRule="atLeast"/>
        <w:rPr>
          <w:lang w:eastAsia="zh-CN"/>
        </w:rPr>
      </w:pPr>
      <w:r w:rsidRPr="002D2A8F">
        <w:rPr>
          <w:lang w:eastAsia="zh-CN"/>
        </w:rPr>
        <w:t>MV switchgear protection scheme must at minimum include main break protection, feeder breaker protection, bus differential protection, a dedicated bus lockout, and breaker failure functionality.</w:t>
      </w:r>
    </w:p>
    <w:p w:rsidRPr="002D2A8F" w:rsidR="00D3400A" w:rsidP="006B4F6B" w:rsidRDefault="00D3400A" w14:paraId="7F343F91" w14:textId="77777777">
      <w:pPr>
        <w:pStyle w:val="zGBody3"/>
        <w:numPr>
          <w:ilvl w:val="2"/>
          <w:numId w:val="61"/>
        </w:numPr>
        <w:spacing w:after="120" w:line="20" w:lineRule="atLeast"/>
        <w:rPr>
          <w:lang w:eastAsia="zh-CN"/>
        </w:rPr>
      </w:pPr>
      <w:r w:rsidRPr="002D2A8F">
        <w:rPr>
          <w:lang w:eastAsia="zh-CN"/>
        </w:rPr>
        <w:t>All current transformers (CT) must have an accuracy class of C400 or higher.</w:t>
      </w:r>
    </w:p>
    <w:p w:rsidR="008864E1" w:rsidP="006B4F6B" w:rsidRDefault="00EC6A63" w14:paraId="72F9E3BB" w14:textId="1573917D">
      <w:pPr>
        <w:pStyle w:val="zGBody2"/>
        <w:numPr>
          <w:ilvl w:val="1"/>
          <w:numId w:val="61"/>
        </w:numPr>
        <w:spacing w:before="120" w:line="20" w:lineRule="atLeast"/>
        <w:rPr>
          <w:rFonts w:ascii="Arial" w:hAnsi="Arial" w:eastAsia="DengXian"/>
        </w:rPr>
      </w:pPr>
      <w:r>
        <w:rPr>
          <w:rFonts w:ascii="Arial" w:hAnsi="Arial" w:eastAsia="DengXian"/>
        </w:rPr>
        <w:t>Grounding</w:t>
      </w:r>
    </w:p>
    <w:p w:rsidR="00311FA1" w:rsidP="006B4F6B" w:rsidRDefault="00311FA1" w14:paraId="315B7F24" w14:textId="77777777">
      <w:pPr>
        <w:pStyle w:val="zGBody3"/>
        <w:numPr>
          <w:ilvl w:val="2"/>
          <w:numId w:val="61"/>
        </w:numPr>
        <w:rPr>
          <w:lang w:eastAsia="zh-CN"/>
        </w:rPr>
      </w:pPr>
      <w:r>
        <w:rPr>
          <w:lang w:eastAsia="zh-CN"/>
        </w:rPr>
        <w:t>Dual grounding must be provided in all cases with an equipment grounding conductor (for a reliable ground fault current return path) and an additional local safety ground (for limiting touch potential), as per the requirements of the NESC and IEEE 80 for limiting touch and step potentials inside substations &amp; generation facilities.</w:t>
      </w:r>
    </w:p>
    <w:p w:rsidR="00311FA1" w:rsidP="006B4F6B" w:rsidRDefault="00311FA1" w14:paraId="1E295C26" w14:textId="77777777">
      <w:pPr>
        <w:pStyle w:val="zGBody3"/>
        <w:numPr>
          <w:ilvl w:val="2"/>
          <w:numId w:val="61"/>
        </w:numPr>
        <w:rPr>
          <w:lang w:eastAsia="zh-CN"/>
        </w:rPr>
      </w:pPr>
      <w:r>
        <w:rPr>
          <w:lang w:eastAsia="zh-CN"/>
        </w:rPr>
        <w:t>At a minimum, two separately routed ground connections must be provided between the generating facility and the project substation.</w:t>
      </w:r>
    </w:p>
    <w:p w:rsidR="00311FA1" w:rsidP="006B4F6B" w:rsidRDefault="00311FA1" w14:paraId="33C0F001" w14:textId="77777777">
      <w:pPr>
        <w:pStyle w:val="zGBody3"/>
        <w:numPr>
          <w:ilvl w:val="2"/>
          <w:numId w:val="61"/>
        </w:numPr>
        <w:rPr>
          <w:lang w:eastAsia="zh-CN"/>
        </w:rPr>
      </w:pPr>
      <w:r>
        <w:rPr>
          <w:lang w:eastAsia="zh-CN"/>
        </w:rPr>
        <w:t>Grounding study and surge mitigation assessment must be conducted.</w:t>
      </w:r>
    </w:p>
    <w:p w:rsidR="00EC6A63" w:rsidP="006B4F6B" w:rsidRDefault="00542668" w14:paraId="780C59BC" w14:textId="1731D1D3">
      <w:pPr>
        <w:pStyle w:val="zGBody2"/>
        <w:numPr>
          <w:ilvl w:val="1"/>
          <w:numId w:val="61"/>
        </w:numPr>
        <w:spacing w:before="120" w:line="20" w:lineRule="atLeast"/>
        <w:rPr>
          <w:rFonts w:ascii="Arial" w:hAnsi="Arial" w:eastAsia="DengXian"/>
        </w:rPr>
      </w:pPr>
      <w:r>
        <w:rPr>
          <w:rFonts w:ascii="Arial" w:hAnsi="Arial" w:eastAsia="DengXian"/>
        </w:rPr>
        <w:t xml:space="preserve">PV Monitoring. </w:t>
      </w:r>
    </w:p>
    <w:p w:rsidRPr="002D2A8F" w:rsidR="00874433" w:rsidP="006B4F6B" w:rsidRDefault="00874433" w14:paraId="4C89182D" w14:textId="77777777">
      <w:pPr>
        <w:pStyle w:val="zGBody3"/>
        <w:numPr>
          <w:ilvl w:val="2"/>
          <w:numId w:val="61"/>
        </w:numPr>
        <w:spacing w:after="120" w:line="20" w:lineRule="atLeast"/>
        <w:rPr>
          <w:rFonts w:eastAsia="DengXian"/>
          <w:lang w:eastAsia="zh-CN"/>
        </w:rPr>
      </w:pPr>
      <w:r w:rsidRPr="002D2A8F">
        <w:rPr>
          <w:lang w:eastAsia="zh-CN"/>
        </w:rPr>
        <w:t>Meteorological and performance monitoring equipment/system must conform to IEC61724 and the</w:t>
      </w:r>
      <w:r w:rsidRPr="002D2A8F">
        <w:rPr>
          <w:rFonts w:eastAsia="DengXian"/>
          <w:lang w:eastAsia="zh-CN"/>
        </w:rPr>
        <w:t xml:space="preserve"> requirements defined for a Class A (high) accuracy monitoring system.</w:t>
      </w:r>
    </w:p>
    <w:p w:rsidRPr="002D2A8F" w:rsidR="00874433" w:rsidP="006B4F6B" w:rsidRDefault="00874433" w14:paraId="42715249" w14:textId="77777777">
      <w:pPr>
        <w:pStyle w:val="zGBody3"/>
        <w:numPr>
          <w:ilvl w:val="2"/>
          <w:numId w:val="61"/>
        </w:numPr>
        <w:spacing w:after="120" w:line="20" w:lineRule="atLeast"/>
        <w:rPr>
          <w:rFonts w:eastAsia="DengXian"/>
          <w:lang w:eastAsia="zh-CN"/>
        </w:rPr>
      </w:pPr>
      <w:r w:rsidRPr="002D2A8F">
        <w:rPr>
          <w:lang w:eastAsia="zh-CN"/>
        </w:rPr>
        <w:t>Table 4 of IEC61724 must be used to determine the number of devices required. At minimum two devices of each measurement type must be provided.</w:t>
      </w:r>
    </w:p>
    <w:p w:rsidRPr="002D2A8F" w:rsidR="00874433" w:rsidP="006B4F6B" w:rsidRDefault="00874433" w14:paraId="106E8F7E" w14:textId="77777777">
      <w:pPr>
        <w:pStyle w:val="zGBody3"/>
        <w:numPr>
          <w:ilvl w:val="2"/>
          <w:numId w:val="61"/>
        </w:numPr>
        <w:spacing w:after="120" w:line="20" w:lineRule="atLeast"/>
        <w:rPr>
          <w:rFonts w:eastAsia="DengXian"/>
          <w:lang w:eastAsia="zh-CN"/>
        </w:rPr>
      </w:pPr>
      <w:r w:rsidRPr="002D2A8F">
        <w:rPr>
          <w:lang w:eastAsia="zh-CN"/>
        </w:rPr>
        <w:t xml:space="preserve">At minimum two soiling </w:t>
      </w:r>
      <w:r w:rsidRPr="002D2A8F">
        <w:rPr>
          <w:rFonts w:eastAsia="DengXian"/>
          <w:lang w:eastAsia="zh-CN"/>
        </w:rPr>
        <w:t>stations utilizing full sized modules must be provided.</w:t>
      </w:r>
    </w:p>
    <w:p w:rsidR="00A94EA7" w:rsidP="006B4F6B" w:rsidRDefault="00A94EA7" w14:paraId="1FB0CCD3" w14:textId="079464F1">
      <w:pPr>
        <w:pStyle w:val="zGBody2"/>
        <w:numPr>
          <w:ilvl w:val="1"/>
          <w:numId w:val="61"/>
        </w:numPr>
        <w:spacing w:before="120" w:line="20" w:lineRule="atLeast"/>
        <w:rPr>
          <w:rFonts w:ascii="Arial" w:hAnsi="Arial" w:eastAsia="DengXian"/>
        </w:rPr>
      </w:pPr>
      <w:r>
        <w:rPr>
          <w:rFonts w:ascii="Arial" w:hAnsi="Arial" w:eastAsia="DengXian"/>
        </w:rPr>
        <w:t>Testing</w:t>
      </w:r>
    </w:p>
    <w:p w:rsidR="00C72ECB" w:rsidP="006B4F6B" w:rsidRDefault="00C72ECB" w14:paraId="6A6185E2" w14:textId="77777777">
      <w:pPr>
        <w:pStyle w:val="zGBody3"/>
        <w:numPr>
          <w:ilvl w:val="2"/>
          <w:numId w:val="61"/>
        </w:numPr>
        <w:rPr>
          <w:lang w:eastAsia="zh-CN"/>
        </w:rPr>
      </w:pPr>
      <w:r>
        <w:rPr>
          <w:lang w:eastAsia="zh-CN"/>
        </w:rPr>
        <w:t>Facility balance of system must be commissioned to ANSI/NETA Electrical Commissioning Specifications.</w:t>
      </w:r>
    </w:p>
    <w:p w:rsidR="00C72ECB" w:rsidP="006B4F6B" w:rsidRDefault="00C72ECB" w14:paraId="3A5A12AF" w14:textId="77777777">
      <w:pPr>
        <w:pStyle w:val="zGBody3"/>
        <w:numPr>
          <w:ilvl w:val="2"/>
          <w:numId w:val="61"/>
        </w:numPr>
        <w:rPr>
          <w:lang w:eastAsia="zh-CN"/>
        </w:rPr>
      </w:pPr>
      <w:r>
        <w:rPr>
          <w:lang w:eastAsia="zh-CN"/>
        </w:rPr>
        <w:lastRenderedPageBreak/>
        <w:t>At a minimum, Operational Test and Capacity Test (ASTM Based) must be performed for PV facilities.</w:t>
      </w:r>
    </w:p>
    <w:p w:rsidRPr="002D2A8F" w:rsidR="00C72ECB" w:rsidP="006B4F6B" w:rsidRDefault="00C72ECB" w14:paraId="2C8B8669" w14:textId="77777777">
      <w:pPr>
        <w:pStyle w:val="zGBody3"/>
        <w:numPr>
          <w:ilvl w:val="2"/>
          <w:numId w:val="61"/>
        </w:numPr>
        <w:spacing w:after="120" w:line="20" w:lineRule="atLeast"/>
        <w:rPr>
          <w:rFonts w:eastAsia="DengXian"/>
          <w:lang w:eastAsia="zh-CN"/>
        </w:rPr>
      </w:pPr>
      <w:r w:rsidRPr="002D2A8F">
        <w:rPr>
          <w:lang w:eastAsia="zh-CN"/>
        </w:rPr>
        <w:t>NERC te</w:t>
      </w:r>
      <w:r w:rsidRPr="002D2A8F">
        <w:rPr>
          <w:rFonts w:eastAsia="DengXian"/>
          <w:lang w:eastAsia="zh-CN"/>
        </w:rPr>
        <w:t>sting must be performed for facilities defined as a Bulk Electric System (BES).</w:t>
      </w:r>
    </w:p>
    <w:p w:rsidR="00A94EA7" w:rsidP="006B4F6B" w:rsidRDefault="005D186E" w14:paraId="3F096EFB" w14:textId="399340C6">
      <w:pPr>
        <w:pStyle w:val="zGBody2"/>
        <w:numPr>
          <w:ilvl w:val="1"/>
          <w:numId w:val="61"/>
        </w:numPr>
        <w:spacing w:before="120" w:line="20" w:lineRule="atLeast"/>
        <w:rPr>
          <w:rFonts w:ascii="Arial" w:hAnsi="Arial" w:eastAsia="DengXian"/>
        </w:rPr>
      </w:pPr>
      <w:r>
        <w:rPr>
          <w:rFonts w:ascii="Arial" w:hAnsi="Arial" w:eastAsia="DengXian"/>
        </w:rPr>
        <w:t>Main Power Transformer</w:t>
      </w:r>
    </w:p>
    <w:p w:rsidR="002D2A7A" w:rsidP="006B4F6B" w:rsidRDefault="002D2A7A" w14:paraId="54852461" w14:textId="77777777">
      <w:pPr>
        <w:pStyle w:val="zGBody3"/>
        <w:numPr>
          <w:ilvl w:val="2"/>
          <w:numId w:val="61"/>
        </w:numPr>
        <w:spacing w:after="120"/>
      </w:pPr>
      <w:r>
        <w:t>RIS-type bushings are preferred, but not required.</w:t>
      </w:r>
    </w:p>
    <w:p w:rsidR="002D2A7A" w:rsidP="006B4F6B" w:rsidRDefault="002D2A7A" w14:paraId="12D17AAD" w14:textId="77777777">
      <w:pPr>
        <w:pStyle w:val="zGBody3"/>
        <w:numPr>
          <w:ilvl w:val="2"/>
          <w:numId w:val="61"/>
        </w:numPr>
        <w:spacing w:after="120"/>
      </w:pPr>
      <w:r>
        <w:t xml:space="preserve">Transformer must be tested per IEEE C57.12.00 and C57.12.90. </w:t>
      </w:r>
    </w:p>
    <w:p w:rsidR="002D2A7A" w:rsidP="006B4F6B" w:rsidRDefault="002D2A7A" w14:paraId="095C05BC" w14:textId="77777777">
      <w:pPr>
        <w:pStyle w:val="zGBody3"/>
        <w:numPr>
          <w:ilvl w:val="2"/>
          <w:numId w:val="61"/>
        </w:numPr>
        <w:spacing w:after="120"/>
      </w:pPr>
      <w:r>
        <w:t xml:space="preserve">Transformer overload capability must be unlimited by components (i.e., bushing ratings, DETC rating, etc.) </w:t>
      </w:r>
    </w:p>
    <w:p w:rsidR="002D2A7A" w:rsidP="006B4F6B" w:rsidRDefault="002D2A7A" w14:paraId="2A54AA55" w14:textId="77777777">
      <w:pPr>
        <w:pStyle w:val="zGBody3"/>
        <w:numPr>
          <w:ilvl w:val="2"/>
          <w:numId w:val="61"/>
        </w:numPr>
        <w:spacing w:after="120"/>
      </w:pPr>
      <w:r>
        <w:t>The transformer tank design must be in accordance with IEEE C57.156 Table 1 to mitigate tank rupture if a high-energy arcing fault internal to the tank.</w:t>
      </w:r>
    </w:p>
    <w:p w:rsidR="006802D1" w:rsidP="006B4F6B" w:rsidRDefault="006802D1" w14:paraId="3D848BFE" w14:textId="73705C77">
      <w:pPr>
        <w:pStyle w:val="zGBody2"/>
        <w:numPr>
          <w:ilvl w:val="1"/>
          <w:numId w:val="61"/>
        </w:numPr>
        <w:spacing w:before="120" w:line="20" w:lineRule="atLeast"/>
        <w:rPr>
          <w:rFonts w:ascii="Arial" w:hAnsi="Arial" w:eastAsia="DengXian"/>
        </w:rPr>
      </w:pPr>
      <w:r>
        <w:rPr>
          <w:rFonts w:ascii="Arial" w:hAnsi="Arial" w:eastAsia="DengXian"/>
        </w:rPr>
        <w:t>Facility Substation</w:t>
      </w:r>
    </w:p>
    <w:p w:rsidRPr="00CA10E9" w:rsidR="006802D1" w:rsidP="006B4F6B" w:rsidRDefault="00411B4A" w14:paraId="3A79C220" w14:textId="016882E5">
      <w:pPr>
        <w:pStyle w:val="zGBody2"/>
        <w:numPr>
          <w:ilvl w:val="2"/>
          <w:numId w:val="61"/>
        </w:numPr>
        <w:spacing w:before="120" w:line="20" w:lineRule="atLeast"/>
        <w:rPr>
          <w:rFonts w:ascii="Arial" w:hAnsi="Arial" w:eastAsia="DengXian"/>
        </w:rPr>
      </w:pPr>
      <w:r>
        <w:rPr>
          <w:rFonts w:ascii="Arial" w:hAnsi="Arial" w:eastAsia="DengXian"/>
          <w:b w:val="0"/>
          <w:bCs/>
        </w:rPr>
        <w:t xml:space="preserve">Facility substations must meet safety requirements of the </w:t>
      </w:r>
      <w:r w:rsidRPr="004A2920" w:rsidR="004A2920">
        <w:rPr>
          <w:rFonts w:ascii="Arial" w:hAnsi="Arial" w:eastAsia="DengXian"/>
          <w:b w:val="0"/>
          <w:bCs/>
        </w:rPr>
        <w:t>NESC-2023 and comply with the design principles set forth ASCE 7, ASCE 113, IEEE 605, and IEEE 80.</w:t>
      </w:r>
    </w:p>
    <w:p w:rsidRPr="00247B04" w:rsidR="00CA10E9" w:rsidP="006B4F6B" w:rsidRDefault="00CA10E9" w14:paraId="1141CA48" w14:textId="76A145E7">
      <w:pPr>
        <w:pStyle w:val="zGBody2"/>
        <w:numPr>
          <w:ilvl w:val="2"/>
          <w:numId w:val="61"/>
        </w:numPr>
        <w:spacing w:before="120" w:line="20" w:lineRule="atLeast"/>
        <w:rPr>
          <w:rFonts w:ascii="Arial" w:hAnsi="Arial" w:eastAsia="DengXian"/>
        </w:rPr>
      </w:pPr>
      <w:r>
        <w:rPr>
          <w:rFonts w:ascii="Arial" w:hAnsi="Arial" w:eastAsia="DengXian"/>
          <w:b w:val="0"/>
          <w:bCs/>
        </w:rPr>
        <w:t xml:space="preserve">Facility </w:t>
      </w:r>
      <w:r w:rsidRPr="00247B04" w:rsidR="00247B04">
        <w:rPr>
          <w:rFonts w:ascii="Arial" w:hAnsi="Arial" w:eastAsia="DengXian"/>
          <w:b w:val="0"/>
          <w:bCs/>
        </w:rPr>
        <w:t>substations must be commissioned to NETA ATS 17 standards</w:t>
      </w:r>
      <w:r w:rsidR="00247B04">
        <w:rPr>
          <w:rFonts w:ascii="Arial" w:hAnsi="Arial" w:eastAsia="DengXian"/>
          <w:b w:val="0"/>
          <w:bCs/>
        </w:rPr>
        <w:t>.</w:t>
      </w:r>
    </w:p>
    <w:p w:rsidRPr="009D5C2E" w:rsidR="00247B04" w:rsidP="006B4F6B" w:rsidRDefault="00CB719B" w14:paraId="43B81DF6" w14:textId="66A90F53">
      <w:pPr>
        <w:pStyle w:val="zGBody2"/>
        <w:numPr>
          <w:ilvl w:val="2"/>
          <w:numId w:val="61"/>
        </w:numPr>
        <w:spacing w:before="120" w:line="20" w:lineRule="atLeast"/>
        <w:rPr>
          <w:rFonts w:ascii="Arial" w:hAnsi="Arial" w:eastAsia="DengXian"/>
        </w:rPr>
      </w:pPr>
      <w:r>
        <w:rPr>
          <w:rFonts w:ascii="Arial" w:hAnsi="Arial" w:eastAsia="DengXian"/>
          <w:b w:val="0"/>
          <w:bCs/>
        </w:rPr>
        <w:t xml:space="preserve">All </w:t>
      </w:r>
      <w:r w:rsidRPr="009D5C2E" w:rsidR="009D5C2E">
        <w:rPr>
          <w:rFonts w:ascii="Arial" w:hAnsi="Arial" w:eastAsia="DengXian"/>
          <w:b w:val="0"/>
          <w:bCs/>
        </w:rPr>
        <w:t>bus and cable sizes must be designed with a maximum operating temperature of 80 °C with a 40 °C ambient, with no sun and 2 ft/s wind.</w:t>
      </w:r>
    </w:p>
    <w:p w:rsidRPr="00F446AA" w:rsidR="009D5C2E" w:rsidP="006B4F6B" w:rsidRDefault="00F12801" w14:paraId="134EF61A" w14:textId="2F7EAACD">
      <w:pPr>
        <w:pStyle w:val="zGBody2"/>
        <w:numPr>
          <w:ilvl w:val="2"/>
          <w:numId w:val="61"/>
        </w:numPr>
        <w:spacing w:before="120" w:line="20" w:lineRule="atLeast"/>
        <w:rPr>
          <w:rFonts w:ascii="Arial" w:hAnsi="Arial" w:eastAsia="DengXian"/>
        </w:rPr>
      </w:pPr>
      <w:r>
        <w:rPr>
          <w:rFonts w:ascii="Arial" w:hAnsi="Arial" w:eastAsia="DengXian"/>
          <w:b w:val="0"/>
          <w:bCs/>
        </w:rPr>
        <w:t xml:space="preserve">Spatial separation from oil-filled electrical equipment must be compliant with IEEE </w:t>
      </w:r>
      <w:r w:rsidR="00F446AA">
        <w:rPr>
          <w:rFonts w:ascii="Arial" w:hAnsi="Arial" w:eastAsia="DengXian"/>
          <w:b w:val="0"/>
          <w:bCs/>
        </w:rPr>
        <w:t>979-2012.</w:t>
      </w:r>
    </w:p>
    <w:p w:rsidRPr="00F446AA" w:rsidR="00F446AA" w:rsidP="006B4F6B" w:rsidRDefault="00F446AA" w14:paraId="30863FDD" w14:textId="57901F23">
      <w:pPr>
        <w:pStyle w:val="zGBody2"/>
        <w:numPr>
          <w:ilvl w:val="1"/>
          <w:numId w:val="61"/>
        </w:numPr>
        <w:spacing w:before="120" w:line="20" w:lineRule="atLeast"/>
        <w:rPr>
          <w:rFonts w:ascii="Arial" w:hAnsi="Arial" w:eastAsia="DengXian"/>
        </w:rPr>
      </w:pPr>
      <w:r w:rsidRPr="00F446AA">
        <w:rPr>
          <w:rFonts w:ascii="Arial" w:hAnsi="Arial" w:eastAsia="DengXian"/>
        </w:rPr>
        <w:t>Cyber Security</w:t>
      </w:r>
    </w:p>
    <w:p w:rsidR="0006255D" w:rsidP="006B4F6B" w:rsidRDefault="00543562" w14:paraId="55EB2B69" w14:textId="4A51DC13">
      <w:pPr>
        <w:pStyle w:val="zGBody3"/>
        <w:numPr>
          <w:ilvl w:val="2"/>
          <w:numId w:val="61"/>
        </w:numPr>
        <w:spacing w:after="120" w:line="20" w:lineRule="atLeast"/>
        <w:rPr>
          <w:lang w:eastAsia="zh-CN"/>
        </w:rPr>
      </w:pPr>
      <w:r>
        <w:rPr>
          <w:lang w:eastAsia="zh-CN"/>
        </w:rPr>
        <w:t>Facility</w:t>
      </w:r>
      <w:r w:rsidRPr="002D2A8F">
        <w:rPr>
          <w:lang w:eastAsia="zh-CN"/>
        </w:rPr>
        <w:t xml:space="preserve"> connectivity must be in compliance with NERC CIP policies.</w:t>
      </w:r>
    </w:p>
    <w:p w:rsidR="000A05CC" w:rsidP="006B4F6B" w:rsidRDefault="000A05CC" w14:paraId="4465E23D" w14:textId="3D9CB2C8">
      <w:pPr>
        <w:pStyle w:val="zGBody2"/>
        <w:numPr>
          <w:ilvl w:val="1"/>
          <w:numId w:val="61"/>
        </w:numPr>
        <w:spacing w:before="120" w:line="20" w:lineRule="atLeast"/>
        <w:rPr>
          <w:rFonts w:ascii="Arial" w:hAnsi="Arial" w:eastAsia="DengXian"/>
        </w:rPr>
      </w:pPr>
      <w:r>
        <w:rPr>
          <w:rFonts w:ascii="Arial" w:hAnsi="Arial" w:eastAsia="DengXian"/>
        </w:rPr>
        <w:t>End-of-Life Disposal</w:t>
      </w:r>
    </w:p>
    <w:p w:rsidRPr="002D2A8F" w:rsidR="00253925" w:rsidP="006B4F6B" w:rsidRDefault="00253925" w14:paraId="7AAA5E8A" w14:textId="77777777">
      <w:pPr>
        <w:pStyle w:val="zGBody3"/>
        <w:numPr>
          <w:ilvl w:val="2"/>
          <w:numId w:val="61"/>
        </w:numPr>
        <w:spacing w:after="120" w:line="20" w:lineRule="atLeast"/>
        <w:rPr>
          <w:rFonts w:eastAsia="DengXian"/>
          <w:lang w:eastAsia="zh-CN"/>
        </w:rPr>
      </w:pPr>
      <w:r w:rsidRPr="002D2A8F">
        <w:rPr>
          <w:lang w:eastAsia="zh-CN"/>
        </w:rPr>
        <w:t>The Toxicity Characteristic Leaching Procedure (TCLP) testing</w:t>
      </w:r>
      <w:r w:rsidRPr="002D2A8F">
        <w:rPr>
          <w:rFonts w:eastAsia="DengXian"/>
          <w:lang w:eastAsia="zh-CN"/>
        </w:rPr>
        <w:t xml:space="preserve"> procedure and results for modules must be submitted.</w:t>
      </w:r>
    </w:p>
    <w:p w:rsidRPr="002D2A8F" w:rsidR="00253925" w:rsidP="006B4F6B" w:rsidRDefault="00253925" w14:paraId="74F9D6BB" w14:textId="77777777">
      <w:pPr>
        <w:pStyle w:val="zGBody3"/>
        <w:numPr>
          <w:ilvl w:val="2"/>
          <w:numId w:val="61"/>
        </w:numPr>
        <w:spacing w:after="120" w:line="20" w:lineRule="atLeast"/>
        <w:rPr>
          <w:rFonts w:eastAsia="DengXian"/>
          <w:lang w:eastAsia="zh-CN"/>
        </w:rPr>
      </w:pPr>
      <w:r w:rsidRPr="002D2A8F">
        <w:rPr>
          <w:lang w:eastAsia="zh-CN"/>
        </w:rPr>
        <w:t>Description of the end-of-life disposal/recycling pl</w:t>
      </w:r>
      <w:r w:rsidRPr="002D2A8F">
        <w:rPr>
          <w:rFonts w:eastAsia="DengXian"/>
          <w:lang w:eastAsia="zh-CN"/>
        </w:rPr>
        <w:t xml:space="preserve">an </w:t>
      </w:r>
      <w:r>
        <w:rPr>
          <w:rFonts w:eastAsia="DengXian"/>
          <w:lang w:eastAsia="zh-CN"/>
        </w:rPr>
        <w:t>must</w:t>
      </w:r>
      <w:r w:rsidRPr="002D2A8F">
        <w:rPr>
          <w:rFonts w:eastAsia="DengXian"/>
          <w:lang w:eastAsia="zh-CN"/>
        </w:rPr>
        <w:t xml:space="preserve"> be</w:t>
      </w:r>
      <w:r>
        <w:rPr>
          <w:rFonts w:eastAsia="DengXian"/>
          <w:lang w:eastAsia="zh-CN"/>
        </w:rPr>
        <w:t xml:space="preserve"> submitted</w:t>
      </w:r>
      <w:r w:rsidRPr="002D2A8F">
        <w:rPr>
          <w:rFonts w:eastAsia="DengXian"/>
          <w:lang w:eastAsia="zh-CN"/>
        </w:rPr>
        <w:t>.</w:t>
      </w:r>
    </w:p>
    <w:p w:rsidR="000A05CC" w:rsidP="008F0D20" w:rsidRDefault="00D63E78" w14:paraId="5E8BEDAC" w14:textId="0A4A7047">
      <w:pPr>
        <w:keepNext/>
        <w:autoSpaceDE w:val="0"/>
        <w:autoSpaceDN w:val="0"/>
        <w:adjustRightInd w:val="0"/>
        <w:spacing w:before="120" w:after="120" w:line="20" w:lineRule="atLeast"/>
        <w:ind w:left="1152"/>
        <w:jc w:val="both"/>
        <w:rPr>
          <w:rFonts w:ascii="Arial Bold" w:hAnsi="Arial Bold" w:cs="Arial" w:eastAsiaTheme="minorEastAsia"/>
          <w:b/>
          <w:caps/>
          <w:kern w:val="14"/>
          <w:sz w:val="20"/>
          <w:szCs w:val="20"/>
          <w:u w:val="single"/>
          <w:lang w:eastAsia="zh-CN"/>
        </w:rPr>
      </w:pPr>
      <w:r>
        <w:rPr>
          <w:rFonts w:ascii="Arial Bold" w:hAnsi="Arial Bold" w:cs="Arial" w:eastAsiaTheme="minorEastAsia"/>
          <w:b/>
          <w:caps/>
          <w:kern w:val="14"/>
          <w:sz w:val="20"/>
          <w:szCs w:val="20"/>
          <w:u w:val="single"/>
          <w:lang w:eastAsia="zh-CN"/>
        </w:rPr>
        <w:t xml:space="preserve"> </w:t>
      </w:r>
    </w:p>
    <w:p w:rsidRPr="001D6BE8" w:rsidR="002878EA" w:rsidP="006B4F6B" w:rsidRDefault="002878EA" w14:paraId="2E7209C8" w14:textId="3238004B">
      <w:pPr>
        <w:pStyle w:val="zGBody2"/>
        <w:numPr>
          <w:ilvl w:val="1"/>
          <w:numId w:val="61"/>
        </w:numPr>
        <w:spacing w:before="120" w:line="20" w:lineRule="atLeast"/>
        <w:rPr>
          <w:rFonts w:ascii="Arial" w:hAnsi="Arial" w:eastAsia="DengXian"/>
        </w:rPr>
      </w:pPr>
      <w:r w:rsidRPr="001D6BE8">
        <w:rPr>
          <w:rFonts w:ascii="Arial" w:hAnsi="Arial" w:eastAsia="DengXian"/>
        </w:rPr>
        <w:t>Battery Energy Storage System (BESS)</w:t>
      </w:r>
    </w:p>
    <w:p w:rsidRPr="002D2A8F" w:rsidR="001B027E" w:rsidP="006B4F6B" w:rsidRDefault="001B027E" w14:paraId="4F409D16" w14:textId="77777777">
      <w:pPr>
        <w:pStyle w:val="zGBody3"/>
        <w:numPr>
          <w:ilvl w:val="2"/>
          <w:numId w:val="61"/>
        </w:numPr>
        <w:spacing w:after="120" w:line="20" w:lineRule="atLeast"/>
        <w:rPr>
          <w:rFonts w:eastAsia="DengXian"/>
          <w:lang w:eastAsia="zh-CN"/>
        </w:rPr>
      </w:pPr>
      <w:r w:rsidRPr="002D2A8F">
        <w:rPr>
          <w:lang w:eastAsia="zh-CN"/>
        </w:rPr>
        <w:t xml:space="preserve">Units listed to </w:t>
      </w:r>
      <w:r w:rsidRPr="00FB7823">
        <w:rPr>
          <w:lang w:eastAsia="zh-CN"/>
        </w:rPr>
        <w:t>ANSI/VAN/UL UL 9540 Standard for Safety for Energy Storage Systems and Equipment</w:t>
      </w:r>
      <w:r w:rsidRPr="002D2A8F">
        <w:rPr>
          <w:rFonts w:eastAsia="DengXian"/>
          <w:lang w:eastAsia="zh-CN"/>
        </w:rPr>
        <w:t>.</w:t>
      </w:r>
    </w:p>
    <w:p w:rsidRPr="00952F06" w:rsidR="001B027E" w:rsidP="006B4F6B" w:rsidRDefault="001B027E" w14:paraId="7CD744B5" w14:textId="77777777">
      <w:pPr>
        <w:pStyle w:val="zGBody3"/>
        <w:numPr>
          <w:ilvl w:val="2"/>
          <w:numId w:val="61"/>
        </w:numPr>
        <w:spacing w:after="120" w:line="20" w:lineRule="atLeast"/>
        <w:rPr>
          <w:lang w:eastAsia="zh-CN"/>
        </w:rPr>
      </w:pPr>
      <w:r w:rsidRPr="00952F06">
        <w:rPr>
          <w:lang w:eastAsia="zh-CN"/>
        </w:rPr>
        <w:t xml:space="preserve">Battery and battery enclosures </w:t>
      </w:r>
      <w:r>
        <w:rPr>
          <w:lang w:eastAsia="zh-CN"/>
        </w:rPr>
        <w:t>must</w:t>
      </w:r>
      <w:r w:rsidRPr="00952F06">
        <w:rPr>
          <w:lang w:eastAsia="zh-CN"/>
        </w:rPr>
        <w:t xml:space="preserve"> be tested in accordance with ANSI/CAN/UL 9540A Standard for Safety for Test Method Evaluating Thermal Runaway Fire Propagation in Battery Energy Storage Systems. The test report shall be accompanied by a supplemental report prepared by a registered design professional with expertise in fire protection engineering that provides interpretation of the test data in relation to the installation requirements for the energy storage system.</w:t>
      </w:r>
    </w:p>
    <w:p w:rsidRPr="002D2A8F" w:rsidR="001B027E" w:rsidP="006B4F6B" w:rsidRDefault="001B027E" w14:paraId="6973CD49" w14:textId="77777777">
      <w:pPr>
        <w:pStyle w:val="zGBody3"/>
        <w:numPr>
          <w:ilvl w:val="2"/>
          <w:numId w:val="61"/>
        </w:numPr>
        <w:spacing w:after="120" w:line="20" w:lineRule="atLeast"/>
        <w:rPr>
          <w:rFonts w:eastAsia="DengXian"/>
          <w:lang w:eastAsia="zh-CN"/>
        </w:rPr>
      </w:pPr>
      <w:r>
        <w:rPr>
          <w:lang w:eastAsia="zh-CN"/>
        </w:rPr>
        <w:t>The Facility</w:t>
      </w:r>
      <w:r w:rsidRPr="002D2A8F">
        <w:rPr>
          <w:lang w:eastAsia="zh-CN"/>
        </w:rPr>
        <w:t xml:space="preserve"> complies with </w:t>
      </w:r>
      <w:r w:rsidRPr="002D2A8F">
        <w:rPr>
          <w:rFonts w:eastAsia="DengXian"/>
          <w:lang w:eastAsia="zh-CN"/>
        </w:rPr>
        <w:t>the version of NFPA 855 in effect at the time of Commercial Operation</w:t>
      </w:r>
      <w:r>
        <w:rPr>
          <w:rFonts w:eastAsia="DengXian"/>
          <w:lang w:eastAsia="zh-CN"/>
        </w:rPr>
        <w:t xml:space="preserve"> in addition to state and local fire codes</w:t>
      </w:r>
      <w:r w:rsidRPr="002D2A8F">
        <w:rPr>
          <w:rFonts w:eastAsia="DengXian"/>
          <w:lang w:eastAsia="zh-CN"/>
        </w:rPr>
        <w:t>.</w:t>
      </w:r>
    </w:p>
    <w:p w:rsidRPr="002D2A8F" w:rsidR="001B027E" w:rsidP="006B4F6B" w:rsidRDefault="001B027E" w14:paraId="1A975B57" w14:textId="77777777">
      <w:pPr>
        <w:pStyle w:val="zGBody3"/>
        <w:numPr>
          <w:ilvl w:val="2"/>
          <w:numId w:val="61"/>
        </w:numPr>
        <w:spacing w:after="120" w:line="20" w:lineRule="atLeast"/>
        <w:rPr>
          <w:rFonts w:eastAsia="DengXian"/>
          <w:lang w:eastAsia="zh-CN"/>
        </w:rPr>
      </w:pPr>
      <w:r>
        <w:rPr>
          <w:rFonts w:eastAsia="DengXian"/>
          <w:lang w:eastAsia="zh-CN"/>
        </w:rPr>
        <w:t>A permanent source of water for fire protection must be provided</w:t>
      </w:r>
      <w:r w:rsidRPr="002D2A8F">
        <w:rPr>
          <w:rFonts w:eastAsia="DengXian"/>
          <w:lang w:eastAsia="zh-CN"/>
        </w:rPr>
        <w:t>.</w:t>
      </w:r>
    </w:p>
    <w:p w:rsidR="001B027E" w:rsidP="006B4F6B" w:rsidRDefault="001B027E" w14:paraId="3B97C8B6" w14:textId="77777777">
      <w:pPr>
        <w:pStyle w:val="zGBody3"/>
        <w:numPr>
          <w:ilvl w:val="2"/>
          <w:numId w:val="61"/>
        </w:numPr>
        <w:spacing w:after="120" w:line="20" w:lineRule="atLeast"/>
        <w:rPr>
          <w:lang w:eastAsia="zh-CN"/>
        </w:rPr>
      </w:pPr>
      <w:r>
        <w:rPr>
          <w:lang w:eastAsia="zh-CN"/>
        </w:rPr>
        <w:t xml:space="preserve">Identify any redundancy, operational margins, and contingency modes within the ESS thermal management system (TMS). All operational constraints should be specified in the </w:t>
      </w:r>
      <w:r>
        <w:rPr>
          <w:lang w:eastAsia="zh-CN"/>
        </w:rPr>
        <w:lastRenderedPageBreak/>
        <w:t xml:space="preserve">event of a partial or complete TMS outage. The TMS design should include redundancy and/or contingency plans for TMS component failures (e.g., HVAC systems, fans, or the ability to operate in a reduced capacity if a TMS component fails). </w:t>
      </w:r>
    </w:p>
    <w:p w:rsidR="001B027E" w:rsidP="006B4F6B" w:rsidRDefault="001B027E" w14:paraId="48FBB91F" w14:textId="77777777">
      <w:pPr>
        <w:pStyle w:val="zGBody3"/>
        <w:numPr>
          <w:ilvl w:val="2"/>
          <w:numId w:val="61"/>
        </w:numPr>
        <w:spacing w:after="120" w:line="20" w:lineRule="atLeast"/>
        <w:rPr>
          <w:lang w:eastAsia="zh-CN"/>
        </w:rPr>
      </w:pPr>
      <w:r>
        <w:rPr>
          <w:lang w:eastAsia="zh-CN"/>
        </w:rPr>
        <w:t xml:space="preserve">Provide all documentation and training materials required by the relevant standards. This includes, but is not limited to, the Hazard Mitigation Analysis (HMA), and Failure Mode and Effects Analysis (FMEA). The development of a site specific HMA shall require the participation of the Supplier, the Company, the OEM of the inverter, and the EPC contractor, if applicable. </w:t>
      </w:r>
    </w:p>
    <w:p w:rsidR="001B027E" w:rsidP="006B4F6B" w:rsidRDefault="001B027E" w14:paraId="7BF9AD47" w14:textId="77777777">
      <w:pPr>
        <w:pStyle w:val="zGBody3"/>
        <w:numPr>
          <w:ilvl w:val="2"/>
          <w:numId w:val="61"/>
        </w:numPr>
        <w:spacing w:after="120" w:line="20" w:lineRule="atLeast"/>
        <w:rPr>
          <w:lang w:eastAsia="zh-CN"/>
        </w:rPr>
      </w:pPr>
      <w:r>
        <w:rPr>
          <w:lang w:eastAsia="zh-CN"/>
        </w:rPr>
        <w:t>Provide detailed augmentation plan for the Facility over the PPA Term.</w:t>
      </w:r>
    </w:p>
    <w:p w:rsidR="001B027E" w:rsidP="006B4F6B" w:rsidRDefault="006F7952" w14:paraId="347986E3" w14:textId="1BD2AA09">
      <w:pPr>
        <w:pStyle w:val="zGBody3"/>
        <w:numPr>
          <w:ilvl w:val="2"/>
          <w:numId w:val="61"/>
        </w:numPr>
        <w:spacing w:after="120" w:line="20" w:lineRule="atLeast"/>
        <w:rPr>
          <w:lang w:eastAsia="zh-CN"/>
        </w:rPr>
      </w:pPr>
      <w:r>
        <w:rPr>
          <w:lang w:eastAsia="zh-CN"/>
        </w:rPr>
        <w:t xml:space="preserve"> </w:t>
      </w:r>
      <w:r w:rsidR="001B027E">
        <w:rPr>
          <w:lang w:eastAsia="zh-CN"/>
        </w:rPr>
        <w:t>ESS must be appropriately sized and configured to ensure that it consistently maintains its rated nameplate instantaneous energy output capacity at the designated POI, thereby guaranteeing that the system can reliably meet the specified energy demands and operational requirements without any degradation in performance or efficiency. ESS must be sized to maintain rated nameplate instantaneous Energy output capacity at the POI.</w:t>
      </w:r>
    </w:p>
    <w:p w:rsidR="002878EA" w:rsidP="006B4F6B" w:rsidRDefault="0031654C" w14:paraId="6AB2DD34" w14:textId="2E5F32E7">
      <w:pPr>
        <w:pStyle w:val="zGBody2"/>
        <w:numPr>
          <w:ilvl w:val="1"/>
          <w:numId w:val="61"/>
        </w:numPr>
        <w:spacing w:before="120" w:line="20" w:lineRule="atLeast"/>
        <w:rPr>
          <w:rFonts w:ascii="Arial" w:hAnsi="Arial" w:eastAsia="DengXian"/>
        </w:rPr>
      </w:pPr>
      <w:r>
        <w:rPr>
          <w:rFonts w:ascii="Arial" w:hAnsi="Arial" w:eastAsia="DengXian"/>
        </w:rPr>
        <w:t>Inverter</w:t>
      </w:r>
    </w:p>
    <w:p w:rsidR="00BE6D75" w:rsidP="006B4F6B" w:rsidRDefault="00BE6D75" w14:paraId="1D26E0E0" w14:textId="77777777">
      <w:pPr>
        <w:pStyle w:val="zGBody3"/>
        <w:numPr>
          <w:ilvl w:val="2"/>
          <w:numId w:val="61"/>
        </w:numPr>
        <w:spacing w:after="120" w:line="20" w:lineRule="atLeast"/>
        <w:rPr>
          <w:lang w:eastAsia="zh-CN"/>
        </w:rPr>
      </w:pPr>
      <w:r>
        <w:rPr>
          <w:lang w:eastAsia="zh-CN"/>
        </w:rPr>
        <w:t>BESS inverters must be specified to be grid forming capable. Seller must provide documentation demonstrating the inverter is specified with grid forming capability.</w:t>
      </w:r>
    </w:p>
    <w:p w:rsidR="00BE6D75" w:rsidP="006B4F6B" w:rsidRDefault="00BE6D75" w14:paraId="778DA61F" w14:textId="77777777">
      <w:pPr>
        <w:pStyle w:val="zGBody3"/>
        <w:numPr>
          <w:ilvl w:val="2"/>
          <w:numId w:val="61"/>
        </w:numPr>
        <w:spacing w:after="120" w:line="20" w:lineRule="atLeast"/>
        <w:rPr>
          <w:lang w:eastAsia="zh-CN"/>
        </w:rPr>
      </w:pPr>
      <w:r>
        <w:rPr>
          <w:lang w:eastAsia="zh-CN"/>
        </w:rPr>
        <w:t>Unless the inverter is fully integrated as part of the battery supplier’s product offering, proven integration experience must be provided between the inverter OEM and the battery supplier.</w:t>
      </w:r>
    </w:p>
    <w:p w:rsidR="00BE6D75" w:rsidP="006B4F6B" w:rsidRDefault="00BE6D75" w14:paraId="102AEEAC" w14:textId="77777777">
      <w:pPr>
        <w:pStyle w:val="zGBody3"/>
        <w:numPr>
          <w:ilvl w:val="2"/>
          <w:numId w:val="61"/>
        </w:numPr>
        <w:spacing w:after="120" w:line="20" w:lineRule="atLeast"/>
        <w:rPr>
          <w:lang w:eastAsia="zh-CN"/>
        </w:rPr>
      </w:pPr>
      <w:r>
        <w:rPr>
          <w:lang w:eastAsia="zh-CN"/>
        </w:rPr>
        <w:t>Inverter grid forming control points must be integrated into the Facility site control scheme, such that only controls change and site tuning will be required when GPC decides to enable grid forming features.</w:t>
      </w:r>
    </w:p>
    <w:p w:rsidR="00BE6D75" w:rsidP="006B4F6B" w:rsidRDefault="00BE6D75" w14:paraId="5A12F641" w14:textId="77777777">
      <w:pPr>
        <w:pStyle w:val="zGBody3"/>
        <w:numPr>
          <w:ilvl w:val="2"/>
          <w:numId w:val="61"/>
        </w:numPr>
        <w:spacing w:after="120" w:line="20" w:lineRule="atLeast"/>
        <w:rPr>
          <w:lang w:eastAsia="zh-CN"/>
        </w:rPr>
      </w:pPr>
      <w:r>
        <w:rPr>
          <w:lang w:eastAsia="zh-CN"/>
        </w:rPr>
        <w:t>Inverter must be capable of providing reactive power support at zero active power, without reducing the state of charge of the battery (additional auxiliary power consumption shall be from the grid).</w:t>
      </w:r>
    </w:p>
    <w:p w:rsidR="0031654C" w:rsidP="006B4F6B" w:rsidRDefault="00F543F9" w14:paraId="4A30E290" w14:textId="66367E6D">
      <w:pPr>
        <w:pStyle w:val="zGBody2"/>
        <w:numPr>
          <w:ilvl w:val="1"/>
          <w:numId w:val="61"/>
        </w:numPr>
        <w:spacing w:before="120" w:line="20" w:lineRule="atLeast"/>
        <w:rPr>
          <w:rFonts w:ascii="Arial" w:hAnsi="Arial" w:eastAsia="DengXian"/>
        </w:rPr>
      </w:pPr>
      <w:r>
        <w:rPr>
          <w:rFonts w:ascii="Arial" w:hAnsi="Arial" w:eastAsia="DengXian"/>
        </w:rPr>
        <w:t>Facility Design</w:t>
      </w:r>
    </w:p>
    <w:p w:rsidRPr="002D2A8F" w:rsidR="00745D70" w:rsidP="006B4F6B" w:rsidRDefault="00745D70" w14:paraId="0A9AB0CB" w14:textId="77777777">
      <w:pPr>
        <w:pStyle w:val="zGBody3"/>
        <w:numPr>
          <w:ilvl w:val="2"/>
          <w:numId w:val="61"/>
        </w:numPr>
        <w:spacing w:after="120" w:line="20" w:lineRule="atLeast"/>
        <w:rPr>
          <w:rFonts w:eastAsia="DengXian"/>
          <w:lang w:eastAsia="zh-CN"/>
        </w:rPr>
      </w:pPr>
      <w:r w:rsidRPr="002D2A8F">
        <w:rPr>
          <w:lang w:eastAsia="zh-CN"/>
        </w:rPr>
        <w:t xml:space="preserve">Facility engineering and design must account for BESS augmentation plan, including but not limited to site layout, </w:t>
      </w:r>
      <w:r w:rsidRPr="002D2A8F">
        <w:rPr>
          <w:rFonts w:eastAsia="DengXian"/>
          <w:lang w:eastAsia="zh-CN"/>
        </w:rPr>
        <w:t>block design, collection system design, aux power design, and controls design.</w:t>
      </w:r>
    </w:p>
    <w:p w:rsidRPr="002D2A8F" w:rsidR="00745D70" w:rsidP="006B4F6B" w:rsidRDefault="00745D70" w14:paraId="6B7D0195" w14:textId="77777777">
      <w:pPr>
        <w:pStyle w:val="zGBody3"/>
        <w:numPr>
          <w:ilvl w:val="2"/>
          <w:numId w:val="61"/>
        </w:numPr>
        <w:spacing w:after="120" w:line="20" w:lineRule="atLeast"/>
        <w:rPr>
          <w:rFonts w:eastAsia="DengXian"/>
          <w:lang w:eastAsia="zh-CN"/>
        </w:rPr>
      </w:pPr>
      <w:r w:rsidRPr="002D2A8F">
        <w:rPr>
          <w:lang w:eastAsia="zh-CN"/>
        </w:rPr>
        <w:t xml:space="preserve">Battery enclosures must be spaced per </w:t>
      </w:r>
      <w:r>
        <w:rPr>
          <w:lang w:eastAsia="zh-CN"/>
        </w:rPr>
        <w:t xml:space="preserve">NFPA 855, </w:t>
      </w:r>
      <w:r>
        <w:rPr>
          <w:rFonts w:eastAsia="DengXian"/>
          <w:lang w:eastAsia="zh-CN"/>
        </w:rPr>
        <w:t>UL9540A testing results, state and local code, and AHJ requirements</w:t>
      </w:r>
      <w:r w:rsidRPr="002D2A8F">
        <w:rPr>
          <w:rFonts w:eastAsia="DengXian"/>
          <w:lang w:eastAsia="zh-CN"/>
        </w:rPr>
        <w:t>.</w:t>
      </w:r>
    </w:p>
    <w:p w:rsidR="00745D70" w:rsidP="006B4F6B" w:rsidRDefault="00745D70" w14:paraId="35B2A6EB" w14:textId="77777777">
      <w:pPr>
        <w:pStyle w:val="zGBody3"/>
        <w:numPr>
          <w:ilvl w:val="2"/>
          <w:numId w:val="61"/>
        </w:numPr>
        <w:spacing w:after="120" w:line="20" w:lineRule="atLeast"/>
        <w:rPr>
          <w:rFonts w:eastAsia="DengXian"/>
          <w:lang w:eastAsia="zh-CN"/>
        </w:rPr>
      </w:pPr>
      <w:r w:rsidRPr="002D2A8F">
        <w:rPr>
          <w:lang w:eastAsia="zh-CN"/>
        </w:rPr>
        <w:t xml:space="preserve">Backup source must be provided for the BESS auxiliary power in case of extended grid outage to maintain </w:t>
      </w:r>
      <w:r w:rsidRPr="002D2A8F">
        <w:rPr>
          <w:rFonts w:eastAsia="DengXian"/>
          <w:lang w:eastAsia="zh-CN"/>
        </w:rPr>
        <w:t>power to the BESS BMS, EMS, fire protection system, and thermal management system (if required</w:t>
      </w:r>
      <w:r>
        <w:rPr>
          <w:rFonts w:eastAsia="DengXian"/>
          <w:lang w:eastAsia="zh-CN"/>
        </w:rPr>
        <w:t xml:space="preserve"> by BESS vendor</w:t>
      </w:r>
      <w:r w:rsidRPr="002D2A8F">
        <w:rPr>
          <w:rFonts w:eastAsia="DengXian"/>
          <w:lang w:eastAsia="zh-CN"/>
        </w:rPr>
        <w:t>).</w:t>
      </w:r>
    </w:p>
    <w:p w:rsidR="0051123E" w:rsidP="006B4F6B" w:rsidRDefault="0051123E" w14:paraId="76DFB898" w14:textId="547170C0">
      <w:pPr>
        <w:pStyle w:val="zGBody2"/>
        <w:numPr>
          <w:ilvl w:val="1"/>
          <w:numId w:val="61"/>
        </w:numPr>
        <w:spacing w:before="120" w:line="20" w:lineRule="atLeast"/>
        <w:rPr>
          <w:rFonts w:ascii="Arial" w:hAnsi="Arial" w:eastAsia="DengXian"/>
        </w:rPr>
      </w:pPr>
      <w:r>
        <w:rPr>
          <w:rFonts w:ascii="Arial" w:hAnsi="Arial" w:eastAsia="DengXian"/>
        </w:rPr>
        <w:t>Testing</w:t>
      </w:r>
    </w:p>
    <w:p w:rsidRPr="004D2BF6" w:rsidR="00797DCF" w:rsidP="006B4F6B" w:rsidRDefault="00797DCF" w14:paraId="458C0470" w14:textId="77777777">
      <w:pPr>
        <w:pStyle w:val="zGBody3"/>
        <w:numPr>
          <w:ilvl w:val="2"/>
          <w:numId w:val="61"/>
        </w:numPr>
        <w:spacing w:after="120" w:line="20" w:lineRule="atLeast"/>
      </w:pPr>
      <w:r w:rsidRPr="004D2BF6">
        <w:t xml:space="preserve">Continuous </w:t>
      </w:r>
      <w:r>
        <w:t>p</w:t>
      </w:r>
      <w:r w:rsidRPr="004D2BF6">
        <w:t xml:space="preserve">ower </w:t>
      </w:r>
      <w:r>
        <w:t>t</w:t>
      </w:r>
      <w:r w:rsidRPr="004D2BF6">
        <w:t xml:space="preserve">est, </w:t>
      </w:r>
      <w:r>
        <w:t>e</w:t>
      </w:r>
      <w:r w:rsidRPr="004D2BF6">
        <w:t xml:space="preserve">nergy </w:t>
      </w:r>
      <w:r>
        <w:t>c</w:t>
      </w:r>
      <w:r w:rsidRPr="004D2BF6">
        <w:t xml:space="preserve">apacity </w:t>
      </w:r>
      <w:r>
        <w:t>t</w:t>
      </w:r>
      <w:r w:rsidRPr="004D2BF6">
        <w:t xml:space="preserve">est, and RTE </w:t>
      </w:r>
      <w:r>
        <w:t>t</w:t>
      </w:r>
      <w:r w:rsidRPr="004D2BF6">
        <w:t xml:space="preserve">est must be performed for the </w:t>
      </w:r>
      <w:r>
        <w:t>BESS</w:t>
      </w:r>
      <w:r w:rsidRPr="004D2BF6">
        <w:t>.</w:t>
      </w:r>
    </w:p>
    <w:p w:rsidRPr="004D2BF6" w:rsidR="00797DCF" w:rsidP="006B4F6B" w:rsidRDefault="00797DCF" w14:paraId="27931A6D" w14:textId="77777777">
      <w:pPr>
        <w:pStyle w:val="zGBody3"/>
        <w:numPr>
          <w:ilvl w:val="2"/>
          <w:numId w:val="61"/>
        </w:numPr>
        <w:spacing w:after="120" w:line="20" w:lineRule="atLeast"/>
      </w:pPr>
      <w:r w:rsidRPr="004D2BF6">
        <w:t xml:space="preserve">Testing must be performed to demonstrate the combined output of </w:t>
      </w:r>
      <w:r>
        <w:t>B</w:t>
      </w:r>
      <w:r w:rsidRPr="004D2BF6">
        <w:t>ESS and the Renewable Resource are controlled to mitigate equipment overload.</w:t>
      </w:r>
    </w:p>
    <w:p w:rsidRPr="004D2BF6" w:rsidR="00797DCF" w:rsidP="006B4F6B" w:rsidRDefault="00797DCF" w14:paraId="516983FD" w14:textId="77777777">
      <w:pPr>
        <w:pStyle w:val="zGBody3"/>
        <w:numPr>
          <w:ilvl w:val="2"/>
          <w:numId w:val="61"/>
        </w:numPr>
        <w:spacing w:after="120" w:line="20" w:lineRule="atLeast"/>
      </w:pPr>
      <w:r w:rsidRPr="004D2BF6">
        <w:t>Technology specific characterization testing must be performed. (e.g., ramp rate testing) as per interconnection testing requirements.</w:t>
      </w:r>
    </w:p>
    <w:p w:rsidRPr="004D2BF6" w:rsidR="00797DCF" w:rsidP="006B4F6B" w:rsidRDefault="00797DCF" w14:paraId="57F96A2F" w14:textId="77777777">
      <w:pPr>
        <w:pStyle w:val="zGBody3"/>
        <w:numPr>
          <w:ilvl w:val="2"/>
          <w:numId w:val="61"/>
        </w:numPr>
        <w:spacing w:after="120" w:line="20" w:lineRule="atLeast"/>
      </w:pPr>
      <w:r w:rsidRPr="004D2BF6">
        <w:t>Additional testing must be performed as required by any applicable interconnection testing requirement and to demonstrate the Facility complies with the operational requirements set forth in the PPA (e.g., AGC testing).</w:t>
      </w:r>
    </w:p>
    <w:p w:rsidR="0051123E" w:rsidP="006B4F6B" w:rsidRDefault="00797DCF" w14:paraId="74EB4BC9" w14:textId="5256E3D8">
      <w:pPr>
        <w:pStyle w:val="zGBody2"/>
        <w:numPr>
          <w:ilvl w:val="1"/>
          <w:numId w:val="61"/>
        </w:numPr>
        <w:spacing w:before="120" w:line="20" w:lineRule="atLeast"/>
        <w:rPr>
          <w:rFonts w:ascii="Arial" w:hAnsi="Arial" w:eastAsia="DengXian"/>
        </w:rPr>
      </w:pPr>
      <w:r>
        <w:rPr>
          <w:rFonts w:ascii="Arial" w:hAnsi="Arial" w:eastAsia="DengXian"/>
        </w:rPr>
        <w:lastRenderedPageBreak/>
        <w:t>End-of-Life Disposal/ Demolition</w:t>
      </w:r>
    </w:p>
    <w:p w:rsidRPr="001E5670" w:rsidR="00B879AA" w:rsidP="006B4F6B" w:rsidRDefault="00B879AA" w14:paraId="0CB87796" w14:textId="77777777">
      <w:pPr>
        <w:pStyle w:val="zGBody3"/>
        <w:numPr>
          <w:ilvl w:val="2"/>
          <w:numId w:val="61"/>
        </w:numPr>
        <w:spacing w:after="120" w:line="20" w:lineRule="atLeast"/>
        <w:rPr>
          <w:rFonts w:eastAsia="DengXian"/>
          <w:lang w:eastAsia="zh-CN"/>
        </w:rPr>
      </w:pPr>
      <w:r w:rsidRPr="002D2A8F">
        <w:rPr>
          <w:lang w:eastAsia="zh-CN"/>
        </w:rPr>
        <w:t>Description of the end-of-life disposal/recycling plan to be included in the bid form.</w:t>
      </w:r>
    </w:p>
    <w:p w:rsidR="00797DCF" w:rsidP="006B4F6B" w:rsidRDefault="0079363B" w14:paraId="3CBF28F5" w14:textId="627BC8A6">
      <w:pPr>
        <w:pStyle w:val="zGBody2"/>
        <w:numPr>
          <w:ilvl w:val="1"/>
          <w:numId w:val="61"/>
        </w:numPr>
        <w:spacing w:before="120" w:line="20" w:lineRule="atLeast"/>
        <w:rPr>
          <w:rFonts w:ascii="Arial" w:hAnsi="Arial" w:eastAsia="DengXian"/>
        </w:rPr>
      </w:pPr>
      <w:r>
        <w:rPr>
          <w:rFonts w:ascii="Arial" w:hAnsi="Arial" w:eastAsia="DengXian"/>
        </w:rPr>
        <w:t>Sourcing Restrictions</w:t>
      </w:r>
    </w:p>
    <w:p w:rsidRPr="0057633B" w:rsidR="008E161F" w:rsidP="006B4F6B" w:rsidRDefault="008E161F" w14:paraId="6903BEB8" w14:textId="7DA6BF26">
      <w:pPr>
        <w:pStyle w:val="zGBody3"/>
        <w:numPr>
          <w:ilvl w:val="2"/>
          <w:numId w:val="61"/>
        </w:numPr>
        <w:spacing w:after="120" w:line="20" w:lineRule="atLeast"/>
        <w:rPr>
          <w:lang w:eastAsia="zh-CN"/>
        </w:rPr>
      </w:pPr>
      <w:r>
        <w:rPr>
          <w:lang w:eastAsia="zh-CN"/>
        </w:rPr>
        <w:t>Programmable electronic components of the (i) BMS, (ii) BESS Controller, and (iii) Site Controller (including controls, hardware</w:t>
      </w:r>
      <w:r w:rsidR="00AC071D">
        <w:rPr>
          <w:lang w:eastAsia="zh-CN"/>
        </w:rPr>
        <w:t>,</w:t>
      </w:r>
      <w:r>
        <w:rPr>
          <w:lang w:eastAsia="zh-CN"/>
        </w:rPr>
        <w:t xml:space="preserve"> and software) must not be sourced from or manufactured by Foreign Entities of Concern or other restricted countries, as further described in PPA Section 10.13.1 (Sourcing Restrictions).  </w:t>
      </w:r>
    </w:p>
    <w:p w:rsidR="0079363B" w:rsidP="006B4F6B" w:rsidRDefault="00AC7A63" w14:paraId="4E2F67EA" w14:textId="0CC9093E">
      <w:pPr>
        <w:pStyle w:val="ListParagraph"/>
        <w:keepNext/>
        <w:numPr>
          <w:ilvl w:val="0"/>
          <w:numId w:val="61"/>
        </w:numPr>
        <w:autoSpaceDE w:val="0"/>
        <w:autoSpaceDN w:val="0"/>
        <w:adjustRightInd w:val="0"/>
        <w:spacing w:before="120" w:after="120" w:line="20" w:lineRule="atLeast"/>
        <w:jc w:val="both"/>
        <w:rPr>
          <w:rFonts w:ascii="Arial Bold" w:hAnsi="Arial Bold" w:cs="Arial" w:eastAsiaTheme="minorEastAsia"/>
          <w:b/>
          <w:caps/>
          <w:kern w:val="14"/>
          <w:sz w:val="20"/>
          <w:szCs w:val="20"/>
          <w:u w:val="single"/>
          <w:lang w:eastAsia="zh-CN"/>
        </w:rPr>
      </w:pPr>
      <w:r>
        <w:rPr>
          <w:rFonts w:ascii="Arial Bold" w:hAnsi="Arial Bold" w:cs="Arial" w:eastAsiaTheme="minorEastAsia"/>
          <w:b/>
          <w:caps/>
          <w:kern w:val="14"/>
          <w:sz w:val="20"/>
          <w:szCs w:val="20"/>
          <w:u w:val="single"/>
          <w:lang w:eastAsia="zh-CN"/>
        </w:rPr>
        <w:t>ACKNOWLEDGEMENT:</w:t>
      </w:r>
    </w:p>
    <w:p w:rsidRPr="002D2A8F" w:rsidR="0027717A" w:rsidP="0027717A" w:rsidRDefault="0027717A" w14:paraId="428F167C" w14:textId="77777777">
      <w:pPr>
        <w:suppressAutoHyphens/>
        <w:spacing w:after="240"/>
        <w:rPr>
          <w:rFonts w:ascii="Arial" w:hAnsi="Arial" w:eastAsia="DengXian" w:cs="Arial"/>
          <w:sz w:val="20"/>
          <w:szCs w:val="20"/>
          <w:lang w:eastAsia="zh-CN"/>
        </w:rPr>
      </w:pPr>
      <w:r w:rsidRPr="002D2A8F">
        <w:rPr>
          <w:rFonts w:ascii="Arial" w:hAnsi="Arial" w:eastAsia="DengXian" w:cs="Arial"/>
          <w:sz w:val="20"/>
          <w:szCs w:val="20"/>
          <w:lang w:eastAsia="zh-CN"/>
        </w:rPr>
        <w:t>Seller hereby confirms that it will meet these requirements and provide evidence of Seller’s compliance with all referenced information to GPC upon request.</w:t>
      </w:r>
    </w:p>
    <w:tbl>
      <w:tblPr>
        <w:tblW w:w="5130" w:type="dxa"/>
        <w:tblLayout w:type="fixed"/>
        <w:tblCellMar>
          <w:left w:w="29" w:type="dxa"/>
          <w:right w:w="29" w:type="dxa"/>
        </w:tblCellMar>
        <w:tblLook w:val="01E0" w:firstRow="1" w:lastRow="1" w:firstColumn="1" w:lastColumn="1" w:noHBand="0" w:noVBand="0"/>
      </w:tblPr>
      <w:tblGrid>
        <w:gridCol w:w="1008"/>
        <w:gridCol w:w="4093"/>
        <w:gridCol w:w="29"/>
      </w:tblGrid>
      <w:tr w:rsidRPr="005F2E29" w:rsidR="00681EF6" w:rsidTr="00681EF6" w14:paraId="5EA0ADBC" w14:textId="77777777">
        <w:trPr>
          <w:cantSplit/>
          <w:trHeight w:val="432"/>
        </w:trPr>
        <w:tc>
          <w:tcPr>
            <w:tcW w:w="5130" w:type="dxa"/>
            <w:gridSpan w:val="3"/>
          </w:tcPr>
          <w:p w:rsidRPr="005F2E29" w:rsidR="00681EF6" w:rsidP="00681EF6" w:rsidRDefault="00681EF6" w14:paraId="754E79B9" w14:textId="77777777">
            <w:pPr>
              <w:keepNext/>
              <w:keepLines/>
              <w:widowControl w:val="0"/>
              <w:autoSpaceDE w:val="0"/>
              <w:autoSpaceDN w:val="0"/>
              <w:adjustRightInd w:val="0"/>
              <w:rPr>
                <w:rFonts w:ascii="Arial" w:hAnsi="Arial" w:eastAsia="Yu Mincho" w:cs="Arial"/>
                <w:b/>
                <w:spacing w:val="-6"/>
                <w:kern w:val="14"/>
                <w:sz w:val="24"/>
                <w:szCs w:val="24"/>
              </w:rPr>
            </w:pPr>
            <w:r w:rsidRPr="005F2E29">
              <w:rPr>
                <w:rFonts w:ascii="Arial" w:hAnsi="Arial" w:eastAsia="Yu Mincho" w:cs="Arial"/>
                <w:b/>
                <w:spacing w:val="-6"/>
                <w:kern w:val="14"/>
                <w:sz w:val="24"/>
                <w:szCs w:val="24"/>
                <w:highlight w:val="yellow"/>
              </w:rPr>
              <w:t>#SellerLegalName#</w:t>
            </w:r>
          </w:p>
        </w:tc>
      </w:tr>
      <w:tr w:rsidRPr="002D2A8F" w:rsidR="00681EF6" w:rsidTr="00681EF6" w14:paraId="22FBAD9C" w14:textId="77777777">
        <w:trPr>
          <w:gridAfter w:val="1"/>
          <w:wAfter w:w="29" w:type="dxa"/>
          <w:cantSplit/>
          <w:trHeight w:val="504"/>
        </w:trPr>
        <w:tc>
          <w:tcPr>
            <w:tcW w:w="1008" w:type="dxa"/>
            <w:vAlign w:val="bottom"/>
          </w:tcPr>
          <w:p w:rsidRPr="002D2A8F" w:rsidR="00681EF6" w:rsidP="00681EF6" w:rsidRDefault="00681EF6" w14:paraId="5535E521" w14:textId="77777777">
            <w:pPr>
              <w:autoSpaceDE w:val="0"/>
              <w:autoSpaceDN w:val="0"/>
              <w:adjustRightInd w:val="0"/>
              <w:rPr>
                <w:rFonts w:ascii="Arial" w:hAnsi="Arial" w:eastAsia="Yu Mincho" w:cs="Arial"/>
                <w:kern w:val="14"/>
                <w:sz w:val="20"/>
                <w:szCs w:val="20"/>
              </w:rPr>
            </w:pPr>
            <w:r w:rsidRPr="002D2A8F">
              <w:rPr>
                <w:rFonts w:ascii="Arial" w:hAnsi="Arial" w:eastAsia="Yu Mincho" w:cs="Arial"/>
                <w:kern w:val="14"/>
                <w:sz w:val="20"/>
                <w:szCs w:val="20"/>
              </w:rPr>
              <w:t>By:</w:t>
            </w:r>
          </w:p>
        </w:tc>
        <w:tc>
          <w:tcPr>
            <w:tcW w:w="4093" w:type="dxa"/>
            <w:tcBorders>
              <w:bottom w:val="single" w:color="auto" w:sz="4" w:space="0"/>
            </w:tcBorders>
            <w:vAlign w:val="bottom"/>
          </w:tcPr>
          <w:p w:rsidRPr="002D2A8F" w:rsidR="00681EF6" w:rsidP="00681EF6" w:rsidRDefault="00681EF6" w14:paraId="0FA4090B" w14:textId="77777777">
            <w:pPr>
              <w:keepLines/>
              <w:rPr>
                <w:rFonts w:ascii="Arial" w:hAnsi="Arial" w:eastAsia="Calibri" w:cs="Arial"/>
                <w:sz w:val="20"/>
                <w:szCs w:val="20"/>
              </w:rPr>
            </w:pPr>
          </w:p>
        </w:tc>
      </w:tr>
      <w:tr w:rsidRPr="002D2A8F" w:rsidR="00681EF6" w:rsidTr="00681EF6" w14:paraId="0B0D4F06" w14:textId="77777777">
        <w:trPr>
          <w:gridAfter w:val="1"/>
          <w:wAfter w:w="29" w:type="dxa"/>
          <w:cantSplit/>
          <w:trHeight w:val="504"/>
        </w:trPr>
        <w:tc>
          <w:tcPr>
            <w:tcW w:w="1008" w:type="dxa"/>
            <w:vAlign w:val="bottom"/>
          </w:tcPr>
          <w:p w:rsidRPr="002D2A8F" w:rsidR="00681EF6" w:rsidP="00681EF6" w:rsidRDefault="00681EF6" w14:paraId="2C3FFF82" w14:textId="77777777">
            <w:pPr>
              <w:autoSpaceDE w:val="0"/>
              <w:autoSpaceDN w:val="0"/>
              <w:adjustRightInd w:val="0"/>
              <w:rPr>
                <w:rFonts w:ascii="Arial" w:hAnsi="Arial" w:eastAsia="Yu Mincho" w:cs="Arial"/>
                <w:kern w:val="14"/>
                <w:sz w:val="20"/>
                <w:szCs w:val="20"/>
              </w:rPr>
            </w:pPr>
            <w:r w:rsidRPr="002D2A8F">
              <w:rPr>
                <w:rFonts w:ascii="Arial" w:hAnsi="Arial" w:eastAsia="Yu Mincho" w:cs="Arial"/>
                <w:kern w:val="14"/>
                <w:sz w:val="20"/>
                <w:szCs w:val="20"/>
              </w:rPr>
              <w:t>Name</w:t>
            </w:r>
          </w:p>
          <w:p w:rsidRPr="002D2A8F" w:rsidR="00681EF6" w:rsidP="00681EF6" w:rsidRDefault="00681EF6" w14:paraId="2E39DCCB" w14:textId="77777777">
            <w:pPr>
              <w:autoSpaceDE w:val="0"/>
              <w:autoSpaceDN w:val="0"/>
              <w:adjustRightInd w:val="0"/>
              <w:rPr>
                <w:rFonts w:ascii="Arial" w:hAnsi="Arial" w:eastAsia="Yu Mincho" w:cs="Arial"/>
                <w:kern w:val="14"/>
                <w:sz w:val="20"/>
                <w:szCs w:val="20"/>
              </w:rPr>
            </w:pPr>
            <w:r w:rsidRPr="002D2A8F">
              <w:rPr>
                <w:rFonts w:ascii="Arial" w:hAnsi="Arial" w:eastAsia="Yu Mincho" w:cs="Arial"/>
                <w:kern w:val="14"/>
                <w:sz w:val="20"/>
                <w:szCs w:val="20"/>
              </w:rPr>
              <w:t>Printed:</w:t>
            </w:r>
          </w:p>
        </w:tc>
        <w:tc>
          <w:tcPr>
            <w:tcW w:w="4093" w:type="dxa"/>
            <w:tcBorders>
              <w:top w:val="single" w:color="auto" w:sz="4" w:space="0"/>
              <w:bottom w:val="single" w:color="auto" w:sz="4" w:space="0"/>
            </w:tcBorders>
            <w:vAlign w:val="bottom"/>
          </w:tcPr>
          <w:p w:rsidRPr="002D2A8F" w:rsidR="00681EF6" w:rsidP="00681EF6" w:rsidRDefault="00681EF6" w14:paraId="7CD824EB" w14:textId="77777777">
            <w:pPr>
              <w:keepLines/>
              <w:rPr>
                <w:rFonts w:ascii="Arial" w:hAnsi="Arial" w:eastAsia="Calibri" w:cs="Arial"/>
                <w:sz w:val="20"/>
                <w:szCs w:val="20"/>
              </w:rPr>
            </w:pPr>
          </w:p>
        </w:tc>
      </w:tr>
      <w:tr w:rsidRPr="002D2A8F" w:rsidR="00681EF6" w:rsidTr="00681EF6" w14:paraId="24A060B1" w14:textId="77777777">
        <w:trPr>
          <w:gridAfter w:val="1"/>
          <w:wAfter w:w="29" w:type="dxa"/>
          <w:cantSplit/>
          <w:trHeight w:val="504"/>
        </w:trPr>
        <w:tc>
          <w:tcPr>
            <w:tcW w:w="1008" w:type="dxa"/>
            <w:vAlign w:val="bottom"/>
          </w:tcPr>
          <w:p w:rsidRPr="002D2A8F" w:rsidR="00681EF6" w:rsidP="00681EF6" w:rsidRDefault="00681EF6" w14:paraId="189D5234" w14:textId="77777777">
            <w:pPr>
              <w:autoSpaceDE w:val="0"/>
              <w:autoSpaceDN w:val="0"/>
              <w:adjustRightInd w:val="0"/>
              <w:rPr>
                <w:rFonts w:ascii="Arial" w:hAnsi="Arial" w:eastAsia="Yu Mincho" w:cs="Arial"/>
                <w:kern w:val="14"/>
                <w:sz w:val="20"/>
                <w:szCs w:val="20"/>
              </w:rPr>
            </w:pPr>
            <w:r w:rsidRPr="002D2A8F">
              <w:rPr>
                <w:rFonts w:ascii="Arial" w:hAnsi="Arial" w:eastAsia="Yu Mincho" w:cs="Arial"/>
                <w:kern w:val="14"/>
                <w:sz w:val="20"/>
                <w:szCs w:val="20"/>
              </w:rPr>
              <w:t>Title:</w:t>
            </w:r>
          </w:p>
        </w:tc>
        <w:tc>
          <w:tcPr>
            <w:tcW w:w="4093" w:type="dxa"/>
            <w:tcBorders>
              <w:top w:val="single" w:color="auto" w:sz="4" w:space="0"/>
              <w:bottom w:val="single" w:color="auto" w:sz="4" w:space="0"/>
            </w:tcBorders>
            <w:vAlign w:val="bottom"/>
          </w:tcPr>
          <w:p w:rsidRPr="002D2A8F" w:rsidR="00681EF6" w:rsidP="00681EF6" w:rsidRDefault="00681EF6" w14:paraId="66675122" w14:textId="77777777">
            <w:pPr>
              <w:keepLines/>
              <w:rPr>
                <w:rFonts w:ascii="Arial" w:hAnsi="Arial" w:eastAsia="Calibri" w:cs="Arial"/>
                <w:sz w:val="20"/>
                <w:szCs w:val="20"/>
              </w:rPr>
            </w:pPr>
          </w:p>
        </w:tc>
      </w:tr>
      <w:tr w:rsidRPr="002D2A8F" w:rsidR="00681EF6" w:rsidTr="00681EF6" w14:paraId="5B06A39C" w14:textId="77777777">
        <w:trPr>
          <w:gridAfter w:val="1"/>
          <w:wAfter w:w="29" w:type="dxa"/>
          <w:cantSplit/>
          <w:trHeight w:val="504"/>
        </w:trPr>
        <w:tc>
          <w:tcPr>
            <w:tcW w:w="1008" w:type="dxa"/>
            <w:vAlign w:val="bottom"/>
          </w:tcPr>
          <w:p w:rsidRPr="002D2A8F" w:rsidR="00681EF6" w:rsidP="00681EF6" w:rsidRDefault="00681EF6" w14:paraId="37AA29E3" w14:textId="77777777">
            <w:pPr>
              <w:autoSpaceDE w:val="0"/>
              <w:autoSpaceDN w:val="0"/>
              <w:adjustRightInd w:val="0"/>
              <w:rPr>
                <w:rFonts w:ascii="Arial" w:hAnsi="Arial" w:eastAsia="Yu Mincho" w:cs="Arial"/>
                <w:kern w:val="14"/>
                <w:sz w:val="20"/>
                <w:szCs w:val="20"/>
              </w:rPr>
            </w:pPr>
            <w:r w:rsidRPr="002D2A8F">
              <w:rPr>
                <w:rFonts w:ascii="Arial" w:hAnsi="Arial" w:eastAsia="Yu Mincho" w:cs="Arial"/>
                <w:kern w:val="14"/>
                <w:sz w:val="20"/>
                <w:szCs w:val="20"/>
              </w:rPr>
              <w:t>Date:</w:t>
            </w:r>
          </w:p>
        </w:tc>
        <w:tc>
          <w:tcPr>
            <w:tcW w:w="4093" w:type="dxa"/>
            <w:tcBorders>
              <w:top w:val="single" w:color="auto" w:sz="4" w:space="0"/>
              <w:bottom w:val="single" w:color="auto" w:sz="4" w:space="0"/>
            </w:tcBorders>
            <w:vAlign w:val="bottom"/>
          </w:tcPr>
          <w:p w:rsidRPr="002D2A8F" w:rsidR="00681EF6" w:rsidP="00681EF6" w:rsidRDefault="00681EF6" w14:paraId="1615BD2A" w14:textId="77777777">
            <w:pPr>
              <w:keepLines/>
              <w:rPr>
                <w:rFonts w:ascii="Arial" w:hAnsi="Arial" w:eastAsia="Calibri" w:cs="Arial"/>
                <w:sz w:val="20"/>
                <w:szCs w:val="20"/>
              </w:rPr>
            </w:pPr>
          </w:p>
        </w:tc>
      </w:tr>
    </w:tbl>
    <w:p w:rsidRPr="00AC7A63" w:rsidR="00AC7A63" w:rsidP="00AC7A63" w:rsidRDefault="00AC7A63" w14:paraId="1E3706EA" w14:textId="77777777">
      <w:pPr>
        <w:keepNext/>
        <w:autoSpaceDE w:val="0"/>
        <w:autoSpaceDN w:val="0"/>
        <w:adjustRightInd w:val="0"/>
        <w:spacing w:before="120" w:after="120" w:line="20" w:lineRule="atLeast"/>
        <w:jc w:val="both"/>
        <w:rPr>
          <w:rFonts w:ascii="Arial Bold" w:hAnsi="Arial Bold" w:cs="Arial" w:eastAsiaTheme="minorEastAsia"/>
          <w:b/>
          <w:caps/>
          <w:kern w:val="14"/>
          <w:sz w:val="20"/>
          <w:szCs w:val="20"/>
          <w:u w:val="single"/>
          <w:lang w:eastAsia="zh-CN"/>
        </w:rPr>
      </w:pPr>
    </w:p>
    <w:p w:rsidRPr="002878EA" w:rsidR="00F543F9" w:rsidP="00F543F9" w:rsidRDefault="00F543F9" w14:paraId="38832C18" w14:textId="77777777">
      <w:pPr>
        <w:pStyle w:val="zGBody2"/>
        <w:spacing w:before="120" w:line="20" w:lineRule="atLeast"/>
        <w:ind w:left="1152"/>
        <w:rPr>
          <w:rFonts w:ascii="Arial" w:hAnsi="Arial" w:eastAsia="DengXian"/>
        </w:rPr>
      </w:pPr>
    </w:p>
    <w:p w:rsidR="0006255D" w:rsidP="00D81774" w:rsidRDefault="0006255D" w14:paraId="76535B74" w14:textId="77777777">
      <w:pPr>
        <w:jc w:val="both"/>
        <w:rPr>
          <w:rFonts w:ascii="Arial" w:hAnsi="Arial" w:eastAsia="DengXian" w:cs="Arial"/>
          <w:sz w:val="20"/>
          <w:szCs w:val="20"/>
        </w:rPr>
      </w:pPr>
    </w:p>
    <w:p w:rsidR="0006255D" w:rsidP="00D81774" w:rsidRDefault="0006255D" w14:paraId="3C7B9712" w14:textId="77777777">
      <w:pPr>
        <w:jc w:val="both"/>
        <w:rPr>
          <w:rFonts w:ascii="Arial" w:hAnsi="Arial" w:eastAsia="DengXian" w:cs="Arial"/>
          <w:sz w:val="20"/>
          <w:szCs w:val="20"/>
        </w:rPr>
      </w:pPr>
    </w:p>
    <w:p w:rsidR="0006255D" w:rsidP="00D81774" w:rsidRDefault="0006255D" w14:paraId="3B66C512" w14:textId="77777777">
      <w:pPr>
        <w:jc w:val="both"/>
        <w:rPr>
          <w:rFonts w:ascii="Arial" w:hAnsi="Arial" w:eastAsia="DengXian" w:cs="Arial"/>
          <w:sz w:val="20"/>
          <w:szCs w:val="20"/>
        </w:rPr>
      </w:pPr>
    </w:p>
    <w:p w:rsidR="0006255D" w:rsidP="00D81774" w:rsidRDefault="0006255D" w14:paraId="1E2F2557" w14:textId="77777777">
      <w:pPr>
        <w:jc w:val="both"/>
        <w:rPr>
          <w:rFonts w:ascii="Arial" w:hAnsi="Arial" w:eastAsia="DengXian" w:cs="Arial"/>
          <w:sz w:val="20"/>
          <w:szCs w:val="20"/>
        </w:rPr>
      </w:pPr>
    </w:p>
    <w:p w:rsidR="0006255D" w:rsidP="00D81774" w:rsidRDefault="0006255D" w14:paraId="233D5860" w14:textId="77777777">
      <w:pPr>
        <w:jc w:val="both"/>
        <w:rPr>
          <w:rFonts w:ascii="Arial" w:hAnsi="Arial" w:eastAsia="DengXian" w:cs="Arial"/>
          <w:sz w:val="20"/>
          <w:szCs w:val="20"/>
        </w:rPr>
      </w:pPr>
    </w:p>
    <w:p w:rsidR="0006255D" w:rsidP="00D81774" w:rsidRDefault="0006255D" w14:paraId="209300E8" w14:textId="77777777">
      <w:pPr>
        <w:jc w:val="both"/>
        <w:rPr>
          <w:rFonts w:ascii="Arial" w:hAnsi="Arial" w:eastAsia="DengXian" w:cs="Arial"/>
          <w:sz w:val="20"/>
          <w:szCs w:val="20"/>
        </w:rPr>
        <w:sectPr w:rsidR="0006255D" w:rsidSect="003B614F">
          <w:pgSz w:w="12240" w:h="15840" w:code="1"/>
          <w:pgMar w:top="1440" w:right="1440" w:bottom="1440" w:left="1440" w:header="720" w:footer="720" w:gutter="0"/>
          <w:paperSrc w:first="15" w:other="15"/>
          <w:cols w:space="1440"/>
        </w:sectPr>
      </w:pPr>
    </w:p>
    <w:p w:rsidRPr="002D2A8F" w:rsidR="002D54C4" w:rsidP="002D54C4" w:rsidRDefault="002D54C4" w14:paraId="2DC3E03C" w14:textId="69AB3D76">
      <w:pPr>
        <w:pStyle w:val="zGTitleExhibit"/>
        <w:rPr>
          <w:rFonts w:cs="Arial"/>
        </w:rPr>
      </w:pPr>
      <w:bookmarkStart w:name="_Toc153987178" w:id="1119"/>
      <w:bookmarkStart w:name="_Toc169778725" w:id="1120"/>
      <w:bookmarkStart w:name="_Toc227451497" w:id="1121"/>
      <w:bookmarkStart w:name="_Hlk140686690" w:id="1122"/>
      <w:r w:rsidRPr="002D2A8F">
        <w:rPr>
          <w:rFonts w:cs="Arial"/>
        </w:rPr>
        <w:lastRenderedPageBreak/>
        <w:t xml:space="preserve">Exhibit </w:t>
      </w:r>
      <w:r w:rsidR="00316F5D">
        <w:rPr>
          <w:rFonts w:cs="Arial"/>
        </w:rPr>
        <w:t>J</w:t>
      </w:r>
      <w:r w:rsidRPr="002D2A8F" w:rsidR="00316F5D">
        <w:rPr>
          <w:rFonts w:cs="Arial"/>
        </w:rPr>
        <w:t xml:space="preserve"> </w:t>
      </w:r>
      <w:r w:rsidRPr="002D2A8F">
        <w:rPr>
          <w:rFonts w:cs="Arial"/>
        </w:rPr>
        <w:t>– form OF COMMERCIAL OPERATION COMPLETION CERTIFICATE</w:t>
      </w:r>
      <w:bookmarkEnd w:id="1119"/>
      <w:bookmarkEnd w:id="1120"/>
      <w:bookmarkEnd w:id="1121"/>
    </w:p>
    <w:bookmarkEnd w:id="1122"/>
    <w:p w:rsidRPr="002D2A8F" w:rsidR="002D54C4" w:rsidP="002D54C4" w:rsidRDefault="002D54C4" w14:paraId="4E7E2F18" w14:textId="77777777">
      <w:pPr>
        <w:tabs>
          <w:tab w:val="left" w:pos="4130"/>
        </w:tabs>
        <w:rPr>
          <w:rFonts w:ascii="Arial" w:hAnsi="Arial" w:eastAsia="Times New Roman" w:cs="Arial"/>
          <w:b/>
        </w:rPr>
      </w:pPr>
    </w:p>
    <w:p w:rsidRPr="002D2A8F" w:rsidR="000C3EE1" w:rsidP="000C3EE1" w:rsidRDefault="000C3EE1" w14:paraId="5AF36E96" w14:textId="77777777">
      <w:pPr>
        <w:spacing w:after="0"/>
        <w:rPr>
          <w:rFonts w:ascii="Arial" w:hAnsi="Arial" w:eastAsia="Times New Roman" w:cs="Arial"/>
          <w:sz w:val="20"/>
          <w:szCs w:val="20"/>
        </w:rPr>
      </w:pPr>
      <w:bookmarkStart w:name="_DV_M340" w:id="1123"/>
      <w:bookmarkEnd w:id="1123"/>
      <w:r w:rsidRPr="002D2A8F">
        <w:rPr>
          <w:rFonts w:ascii="Arial" w:hAnsi="Arial" w:eastAsia="Times New Roman" w:cs="Arial"/>
          <w:sz w:val="20"/>
          <w:szCs w:val="20"/>
        </w:rPr>
        <w:t>Georgia Power Company</w:t>
      </w:r>
    </w:p>
    <w:p w:rsidRPr="003C7374" w:rsidR="000C3EE1" w:rsidP="000C3EE1" w:rsidRDefault="000C3EE1" w14:paraId="47E65785" w14:textId="77777777">
      <w:pPr>
        <w:pStyle w:val="zGTableTxt10"/>
        <w:widowControl/>
        <w:autoSpaceDE/>
        <w:autoSpaceDN/>
        <w:adjustRightInd/>
        <w:spacing w:line="276" w:lineRule="auto"/>
        <w:rPr>
          <w:rFonts w:eastAsia="Times New Roman"/>
        </w:rPr>
      </w:pPr>
      <w:r w:rsidRPr="003C7374">
        <w:rPr>
          <w:rFonts w:eastAsia="Times New Roman"/>
          <w:spacing w:val="0"/>
          <w:kern w:val="0"/>
        </w:rPr>
        <w:t>Resource Planning Director/</w:t>
      </w:r>
      <w:r w:rsidRPr="003C7374">
        <w:rPr>
          <w:rFonts w:eastAsia="Times New Roman"/>
        </w:rPr>
        <w:t>Capacity Procurement Manager</w:t>
      </w:r>
    </w:p>
    <w:p w:rsidRPr="002D2A8F" w:rsidR="000C3EE1" w:rsidP="000C3EE1" w:rsidRDefault="000C3EE1" w14:paraId="6AB859CA" w14:textId="77777777">
      <w:pPr>
        <w:spacing w:after="0"/>
        <w:rPr>
          <w:rFonts w:ascii="Arial" w:hAnsi="Arial" w:eastAsia="Times New Roman" w:cs="Arial"/>
          <w:sz w:val="20"/>
          <w:szCs w:val="20"/>
        </w:rPr>
      </w:pPr>
      <w:r w:rsidRPr="002D2A8F">
        <w:rPr>
          <w:rFonts w:ascii="Arial" w:hAnsi="Arial" w:eastAsia="Times New Roman" w:cs="Arial"/>
          <w:sz w:val="20"/>
          <w:szCs w:val="20"/>
        </w:rPr>
        <w:t>Bin 10196</w:t>
      </w:r>
    </w:p>
    <w:p w:rsidRPr="002D2A8F" w:rsidR="000C3EE1" w:rsidP="000C3EE1" w:rsidRDefault="000C3EE1" w14:paraId="3D59775F" w14:textId="77777777">
      <w:pPr>
        <w:spacing w:after="0"/>
        <w:rPr>
          <w:rFonts w:ascii="Arial" w:hAnsi="Arial" w:eastAsia="Times New Roman" w:cs="Arial"/>
          <w:sz w:val="20"/>
          <w:szCs w:val="20"/>
        </w:rPr>
      </w:pPr>
      <w:r w:rsidRPr="002D2A8F">
        <w:rPr>
          <w:rFonts w:ascii="Arial" w:hAnsi="Arial" w:eastAsia="Times New Roman" w:cs="Arial"/>
          <w:sz w:val="20"/>
          <w:szCs w:val="20"/>
        </w:rPr>
        <w:t>241 Ralph McGill Blvd.</w:t>
      </w:r>
    </w:p>
    <w:p w:rsidRPr="005B048C" w:rsidR="000C3EE1" w:rsidP="000C3EE1" w:rsidRDefault="000C3EE1" w14:paraId="2C453AF3" w14:textId="77777777">
      <w:pPr>
        <w:pStyle w:val="zGTableTxt10"/>
        <w:widowControl/>
        <w:autoSpaceDE/>
        <w:autoSpaceDN/>
        <w:adjustRightInd/>
        <w:spacing w:line="276" w:lineRule="auto"/>
        <w:rPr>
          <w:rFonts w:eastAsia="Times New Roman"/>
        </w:rPr>
      </w:pPr>
      <w:r w:rsidRPr="005B048C">
        <w:rPr>
          <w:rFonts w:eastAsia="Times New Roman"/>
          <w:spacing w:val="0"/>
          <w:kern w:val="0"/>
        </w:rPr>
        <w:t>Atlanta, Georgia 30308</w:t>
      </w:r>
    </w:p>
    <w:p w:rsidRPr="002D2A8F" w:rsidR="002D54C4" w:rsidP="001A071C" w:rsidRDefault="002D54C4" w14:paraId="5FCC610E" w14:textId="77777777">
      <w:pPr>
        <w:spacing w:after="0"/>
        <w:rPr>
          <w:rFonts w:ascii="Arial" w:hAnsi="Arial" w:eastAsia="Times New Roman" w:cs="Arial"/>
          <w:sz w:val="20"/>
          <w:szCs w:val="20"/>
        </w:rPr>
      </w:pPr>
      <w:bookmarkStart w:name="_DV_M341" w:id="1124"/>
      <w:bookmarkStart w:name="_DV_M342" w:id="1125"/>
      <w:bookmarkStart w:name="_DV_M343" w:id="1126"/>
      <w:bookmarkStart w:name="_DV_M344" w:id="1127"/>
      <w:bookmarkEnd w:id="1124"/>
      <w:bookmarkEnd w:id="1125"/>
      <w:bookmarkEnd w:id="1126"/>
      <w:bookmarkEnd w:id="1127"/>
    </w:p>
    <w:p w:rsidRPr="002D2A8F" w:rsidR="002D54C4" w:rsidP="00C9376F" w:rsidRDefault="002D54C4" w14:paraId="3EB445B1" w14:textId="1C922511">
      <w:pPr>
        <w:jc w:val="both"/>
        <w:rPr>
          <w:rFonts w:ascii="Arial" w:hAnsi="Arial" w:eastAsia="Times New Roman" w:cs="Arial"/>
          <w:sz w:val="20"/>
          <w:szCs w:val="20"/>
        </w:rPr>
      </w:pPr>
      <w:bookmarkStart w:name="_DV_M345" w:id="1128"/>
      <w:bookmarkStart w:name="_DV_M346" w:id="1129"/>
      <w:bookmarkEnd w:id="1128"/>
      <w:bookmarkEnd w:id="1129"/>
      <w:r w:rsidRPr="002D2A8F">
        <w:rPr>
          <w:rFonts w:ascii="Arial" w:hAnsi="Arial" w:eastAsia="Times New Roman" w:cs="Arial"/>
          <w:sz w:val="20"/>
          <w:szCs w:val="20"/>
        </w:rPr>
        <w:t>Re:</w:t>
      </w:r>
      <w:r w:rsidRPr="002D2A8F">
        <w:rPr>
          <w:rFonts w:ascii="Arial" w:hAnsi="Arial" w:eastAsia="Times New Roman" w:cs="Arial"/>
          <w:b/>
          <w:sz w:val="20"/>
          <w:szCs w:val="20"/>
        </w:rPr>
        <w:t xml:space="preserve"> </w:t>
      </w:r>
      <w:r w:rsidRPr="002D2A8F">
        <w:rPr>
          <w:rFonts w:ascii="Arial" w:hAnsi="Arial" w:eastAsia="Times New Roman" w:cs="Arial"/>
          <w:sz w:val="20"/>
          <w:szCs w:val="20"/>
        </w:rPr>
        <w:t xml:space="preserve">Commercial Operation Completion Certificate – </w:t>
      </w:r>
      <w:r w:rsidRPr="002D2A8F" w:rsidR="00E220F3">
        <w:rPr>
          <w:rFonts w:ascii="Arial" w:hAnsi="Arial" w:eastAsia="Times New Roman" w:cs="Arial"/>
          <w:sz w:val="20"/>
          <w:szCs w:val="20"/>
        </w:rPr>
        <w:t xml:space="preserve">Power </w:t>
      </w:r>
      <w:r w:rsidRPr="002D2A8F" w:rsidR="001D7F17">
        <w:rPr>
          <w:rFonts w:ascii="Arial" w:hAnsi="Arial" w:cs="Arial"/>
          <w:bCs/>
          <w:sz w:val="20"/>
          <w:szCs w:val="20"/>
        </w:rPr>
        <w:t>Purchase Agreement for Firm Capacity, Associated Energy, and Ancillary Services from a</w:t>
      </w:r>
      <w:r w:rsidR="004B20B7">
        <w:rPr>
          <w:rFonts w:ascii="Arial" w:hAnsi="Arial" w:cs="Arial"/>
          <w:bCs/>
          <w:sz w:val="20"/>
          <w:szCs w:val="20"/>
        </w:rPr>
        <w:t xml:space="preserve"> Battery</w:t>
      </w:r>
      <w:r w:rsidRPr="002D2A8F" w:rsidR="00C9376F">
        <w:rPr>
          <w:rFonts w:ascii="Arial" w:hAnsi="Arial" w:cs="Arial"/>
          <w:bCs/>
          <w:sz w:val="20"/>
          <w:szCs w:val="20"/>
        </w:rPr>
        <w:t xml:space="preserve"> </w:t>
      </w:r>
      <w:r w:rsidRPr="002D2A8F" w:rsidR="001D7F17">
        <w:rPr>
          <w:rFonts w:ascii="Arial" w:hAnsi="Arial" w:cs="Arial"/>
          <w:bCs/>
          <w:sz w:val="20"/>
          <w:szCs w:val="20"/>
        </w:rPr>
        <w:t xml:space="preserve">Energy Storage System with </w:t>
      </w:r>
      <w:r w:rsidR="00C13C66">
        <w:rPr>
          <w:rFonts w:ascii="Arial" w:hAnsi="Arial" w:cs="Arial"/>
          <w:bCs/>
          <w:sz w:val="20"/>
          <w:szCs w:val="20"/>
        </w:rPr>
        <w:t xml:space="preserve">a </w:t>
      </w:r>
      <w:r w:rsidRPr="002D2A8F" w:rsidR="001D7F17">
        <w:rPr>
          <w:rFonts w:ascii="Arial" w:hAnsi="Arial" w:cs="Arial"/>
          <w:bCs/>
          <w:sz w:val="20"/>
          <w:szCs w:val="20"/>
        </w:rPr>
        <w:t>Renewable Resource</w:t>
      </w:r>
      <w:r w:rsidR="00C13C66">
        <w:rPr>
          <w:rFonts w:ascii="Arial" w:hAnsi="Arial" w:cs="Arial"/>
          <w:bCs/>
          <w:sz w:val="20"/>
          <w:szCs w:val="20"/>
        </w:rPr>
        <w:t xml:space="preserve"> for </w:t>
      </w:r>
      <w:r w:rsidRPr="00A13878" w:rsidR="00A13878">
        <w:rPr>
          <w:rFonts w:ascii="Arial" w:hAnsi="Arial" w:cs="Arial"/>
          <w:bCs/>
          <w:sz w:val="20"/>
          <w:szCs w:val="20"/>
        </w:rPr>
        <w:t>2026 All-Source Capacity Request for Proposals for Need Years 2032</w:t>
      </w:r>
      <w:r w:rsidR="00AF65EB">
        <w:rPr>
          <w:rFonts w:ascii="Arial" w:hAnsi="Arial" w:cs="Arial"/>
          <w:bCs/>
          <w:sz w:val="20"/>
          <w:szCs w:val="20"/>
        </w:rPr>
        <w:t>-</w:t>
      </w:r>
      <w:r w:rsidRPr="00A13878" w:rsidR="00A13878">
        <w:rPr>
          <w:rFonts w:ascii="Arial" w:hAnsi="Arial" w:cs="Arial"/>
          <w:bCs/>
          <w:sz w:val="20"/>
          <w:szCs w:val="20"/>
        </w:rPr>
        <w:t>2033</w:t>
      </w:r>
      <w:r w:rsidR="002905DD">
        <w:rPr>
          <w:rFonts w:ascii="Arial" w:hAnsi="Arial" w:cs="Arial"/>
          <w:bCs/>
          <w:sz w:val="20"/>
          <w:szCs w:val="20"/>
        </w:rPr>
        <w:t xml:space="preserve"> </w:t>
      </w:r>
      <w:r w:rsidRPr="002D2A8F">
        <w:rPr>
          <w:rFonts w:ascii="Arial" w:hAnsi="Arial" w:cs="Arial"/>
          <w:bCs/>
          <w:sz w:val="20"/>
          <w:szCs w:val="20"/>
        </w:rPr>
        <w:t>at</w:t>
      </w:r>
      <w:r w:rsidRPr="002D2A8F">
        <w:rPr>
          <w:rFonts w:ascii="Arial" w:hAnsi="Arial" w:cs="Arial"/>
          <w:b/>
          <w:sz w:val="20"/>
          <w:szCs w:val="20"/>
        </w:rPr>
        <w:t xml:space="preserve"> </w:t>
      </w:r>
      <w:r w:rsidRPr="004A7BE4">
        <w:rPr>
          <w:rFonts w:ascii="Arial" w:hAnsi="Arial" w:cs="Arial"/>
          <w:b/>
          <w:sz w:val="20"/>
          <w:szCs w:val="20"/>
          <w:highlight w:val="yellow"/>
        </w:rPr>
        <w:t>#FacilityName#</w:t>
      </w:r>
      <w:r w:rsidRPr="002D2A8F">
        <w:rPr>
          <w:rFonts w:ascii="Arial" w:hAnsi="Arial" w:cs="Arial"/>
          <w:sz w:val="20"/>
          <w:szCs w:val="20"/>
        </w:rPr>
        <w:t xml:space="preserve"> dated as of </w:t>
      </w:r>
      <w:r w:rsidRPr="002D2A8F">
        <w:rPr>
          <w:rFonts w:ascii="Arial" w:hAnsi="Arial" w:cs="Arial"/>
          <w:color w:val="000000" w:themeColor="text1"/>
          <w:sz w:val="20"/>
          <w:szCs w:val="20"/>
        </w:rPr>
        <w:t xml:space="preserve">______ ___, </w:t>
      </w:r>
      <w:r w:rsidRPr="002D2A8F">
        <w:rPr>
          <w:rFonts w:ascii="Arial" w:hAnsi="Arial" w:cs="Arial"/>
          <w:sz w:val="20"/>
          <w:szCs w:val="20"/>
        </w:rPr>
        <w:t>20__</w:t>
      </w:r>
      <w:r w:rsidRPr="002D2A8F">
        <w:rPr>
          <w:rFonts w:ascii="Arial" w:hAnsi="Arial" w:eastAsia="Times New Roman" w:cs="Arial"/>
          <w:sz w:val="20"/>
          <w:szCs w:val="20"/>
        </w:rPr>
        <w:t xml:space="preserve"> between </w:t>
      </w:r>
      <w:r w:rsidRPr="002D2A8F">
        <w:rPr>
          <w:rFonts w:ascii="Arial" w:hAnsi="Arial" w:eastAsia="Times New Roman" w:cs="Arial"/>
          <w:b/>
          <w:sz w:val="20"/>
          <w:szCs w:val="20"/>
        </w:rPr>
        <w:t>Georgia Power Company</w:t>
      </w:r>
      <w:r w:rsidRPr="002D2A8F">
        <w:rPr>
          <w:rFonts w:ascii="Arial" w:hAnsi="Arial" w:eastAsia="Times New Roman" w:cs="Arial"/>
          <w:sz w:val="20"/>
          <w:szCs w:val="20"/>
        </w:rPr>
        <w:t xml:space="preserve"> (“</w:t>
      </w:r>
      <w:r w:rsidRPr="002D2A8F">
        <w:rPr>
          <w:rFonts w:ascii="Arial" w:hAnsi="Arial" w:eastAsia="Times New Roman" w:cs="Arial"/>
          <w:b/>
          <w:sz w:val="20"/>
          <w:szCs w:val="20"/>
        </w:rPr>
        <w:t>GPC</w:t>
      </w:r>
      <w:r w:rsidRPr="002D2A8F">
        <w:rPr>
          <w:rFonts w:ascii="Arial" w:hAnsi="Arial" w:eastAsia="Times New Roman" w:cs="Arial"/>
          <w:sz w:val="20"/>
          <w:szCs w:val="20"/>
        </w:rPr>
        <w:t xml:space="preserve">”) and </w:t>
      </w:r>
      <w:r w:rsidRPr="004A7BE4">
        <w:rPr>
          <w:rFonts w:ascii="Arial" w:hAnsi="Arial" w:eastAsia="Calibri" w:cs="Arial"/>
          <w:b/>
          <w:color w:val="000000"/>
          <w:sz w:val="20"/>
          <w:szCs w:val="20"/>
          <w:highlight w:val="yellow"/>
        </w:rPr>
        <w:t>#SellerLegalName#</w:t>
      </w:r>
      <w:r w:rsidRPr="002D2A8F">
        <w:rPr>
          <w:rFonts w:ascii="Arial" w:hAnsi="Arial" w:eastAsia="Times New Roman" w:cs="Arial"/>
          <w:sz w:val="20"/>
          <w:szCs w:val="20"/>
        </w:rPr>
        <w:t xml:space="preserve"> (“</w:t>
      </w:r>
      <w:r w:rsidRPr="002D2A8F">
        <w:rPr>
          <w:rFonts w:ascii="Arial" w:hAnsi="Arial" w:eastAsia="Times New Roman" w:cs="Arial"/>
          <w:b/>
          <w:sz w:val="20"/>
          <w:szCs w:val="20"/>
        </w:rPr>
        <w:t>Seller</w:t>
      </w:r>
      <w:r w:rsidRPr="002D2A8F">
        <w:rPr>
          <w:rFonts w:ascii="Arial" w:hAnsi="Arial" w:eastAsia="Times New Roman" w:cs="Arial"/>
          <w:sz w:val="20"/>
          <w:szCs w:val="20"/>
        </w:rPr>
        <w:t xml:space="preserve">”) </w:t>
      </w:r>
      <w:r w:rsidRPr="002D2A8F">
        <w:rPr>
          <w:rFonts w:ascii="Arial" w:hAnsi="Arial" w:cs="Arial"/>
          <w:sz w:val="20"/>
          <w:szCs w:val="20"/>
        </w:rPr>
        <w:t>(“</w:t>
      </w:r>
      <w:r w:rsidRPr="002D2A8F">
        <w:rPr>
          <w:rFonts w:ascii="Arial" w:hAnsi="Arial" w:cs="Arial"/>
          <w:b/>
          <w:sz w:val="20"/>
          <w:szCs w:val="20"/>
        </w:rPr>
        <w:t>PPA</w:t>
      </w:r>
      <w:r w:rsidRPr="002D2A8F">
        <w:rPr>
          <w:rFonts w:ascii="Arial" w:hAnsi="Arial" w:cs="Arial"/>
          <w:sz w:val="20"/>
          <w:szCs w:val="20"/>
        </w:rPr>
        <w:t>”).</w:t>
      </w:r>
    </w:p>
    <w:p w:rsidRPr="0003763C" w:rsidR="002D54C4" w:rsidP="006C1112" w:rsidRDefault="002D54C4" w14:paraId="24E2732A" w14:textId="7C8E0095">
      <w:pPr>
        <w:spacing w:after="240"/>
        <w:jc w:val="both"/>
        <w:rPr>
          <w:rFonts w:ascii="Arial" w:hAnsi="Arial" w:eastAsia="Times New Roman" w:cs="Arial"/>
          <w:sz w:val="20"/>
          <w:szCs w:val="20"/>
        </w:rPr>
      </w:pPr>
      <w:bookmarkStart w:name="_DV_M347" w:id="1130"/>
      <w:bookmarkEnd w:id="1130"/>
      <w:r w:rsidRPr="002D2A8F">
        <w:rPr>
          <w:rFonts w:ascii="Arial" w:hAnsi="Arial" w:eastAsia="Times New Roman" w:cs="Arial"/>
          <w:sz w:val="20"/>
          <w:szCs w:val="20"/>
        </w:rPr>
        <w:t xml:space="preserve">In </w:t>
      </w:r>
      <w:r w:rsidRPr="0003763C">
        <w:rPr>
          <w:rFonts w:ascii="Arial" w:hAnsi="Arial" w:eastAsia="Times New Roman" w:cs="Arial"/>
          <w:sz w:val="20"/>
          <w:szCs w:val="20"/>
        </w:rPr>
        <w:t xml:space="preserve">accordance with PPA Section </w:t>
      </w:r>
      <w:r w:rsidRPr="0003763C" w:rsidR="00784FEE">
        <w:rPr>
          <w:rFonts w:ascii="Arial" w:hAnsi="Arial" w:eastAsia="Times New Roman" w:cs="Arial"/>
          <w:sz w:val="20"/>
          <w:szCs w:val="20"/>
        </w:rPr>
        <w:t>7.1.</w:t>
      </w:r>
      <w:r w:rsidR="00E64313">
        <w:rPr>
          <w:rFonts w:ascii="Arial" w:hAnsi="Arial" w:eastAsia="Times New Roman" w:cs="Arial"/>
          <w:sz w:val="20"/>
          <w:szCs w:val="20"/>
        </w:rPr>
        <w:t>5</w:t>
      </w:r>
      <w:r w:rsidRPr="0003763C">
        <w:rPr>
          <w:rFonts w:ascii="Arial" w:hAnsi="Arial" w:eastAsia="Times New Roman" w:cs="Arial"/>
          <w:sz w:val="20"/>
          <w:szCs w:val="20"/>
        </w:rPr>
        <w:t xml:space="preserve"> (</w:t>
      </w:r>
      <w:r w:rsidRPr="0003763C">
        <w:rPr>
          <w:rFonts w:ascii="Arial" w:hAnsi="Arial" w:eastAsia="Times New Roman" w:cs="Arial"/>
          <w:i/>
          <w:sz w:val="20"/>
          <w:szCs w:val="20"/>
        </w:rPr>
        <w:t>C</w:t>
      </w:r>
      <w:r w:rsidRPr="0003763C" w:rsidR="00784FEE">
        <w:rPr>
          <w:rFonts w:ascii="Arial" w:hAnsi="Arial" w:eastAsia="Times New Roman" w:cs="Arial"/>
          <w:i/>
          <w:sz w:val="20"/>
          <w:szCs w:val="20"/>
        </w:rPr>
        <w:t>ommercial Operation</w:t>
      </w:r>
      <w:r w:rsidRPr="0003763C">
        <w:rPr>
          <w:rFonts w:ascii="Arial" w:hAnsi="Arial" w:eastAsia="Times New Roman" w:cs="Arial"/>
          <w:sz w:val="20"/>
          <w:szCs w:val="20"/>
        </w:rPr>
        <w:t>), Seller certifies to GPC that Seller fully satisfied the criteria for Commercial Operation of the Facility</w:t>
      </w:r>
      <w:r w:rsidR="00905653">
        <w:rPr>
          <w:rFonts w:ascii="Arial" w:hAnsi="Arial" w:eastAsia="Times New Roman" w:cs="Arial"/>
          <w:sz w:val="20"/>
          <w:szCs w:val="20"/>
        </w:rPr>
        <w:t>, including the following</w:t>
      </w:r>
      <w:r w:rsidRPr="0003763C">
        <w:rPr>
          <w:rFonts w:ascii="Arial" w:hAnsi="Arial" w:eastAsia="Times New Roman" w:cs="Arial"/>
          <w:sz w:val="20"/>
          <w:szCs w:val="20"/>
        </w:rPr>
        <w:t>:</w:t>
      </w:r>
      <w:bookmarkStart w:name="_DV_M348" w:id="1131"/>
      <w:bookmarkEnd w:id="1131"/>
    </w:p>
    <w:p w:rsidRPr="0003763C" w:rsidR="002D54C4" w:rsidP="007E75EB" w:rsidRDefault="2EB10EBE" w14:paraId="1E68E043" w14:textId="46400FAF">
      <w:pPr>
        <w:pStyle w:val="zGListi"/>
      </w:pPr>
      <w:bookmarkStart w:name="_DV_M349" w:id="1132"/>
      <w:bookmarkEnd w:id="1132"/>
      <w:r w:rsidRPr="0003763C">
        <w:t>Seller has demonstrated to GPC’s reasonable satisfaction that the Facility is capable of producing</w:t>
      </w:r>
      <w:r w:rsidRPr="0003763C" w:rsidR="000A44D4">
        <w:t>, receiving</w:t>
      </w:r>
      <w:r w:rsidRPr="0003763C" w:rsidR="00453578">
        <w:t>,</w:t>
      </w:r>
      <w:r w:rsidRPr="0003763C">
        <w:t xml:space="preserve"> and delivering all of the </w:t>
      </w:r>
      <w:r w:rsidRPr="0003763C" w:rsidR="57FD21AD">
        <w:t>e</w:t>
      </w:r>
      <w:r w:rsidRPr="0003763C">
        <w:t xml:space="preserve">nergy obligated to be delivered pursuant to this PPA to the </w:t>
      </w:r>
      <w:r w:rsidRPr="0003763C" w:rsidR="000B2934">
        <w:t>POI</w:t>
      </w:r>
      <w:r w:rsidRPr="0003763C">
        <w:t xml:space="preserve"> on a reliable basis in accordance with the </w:t>
      </w:r>
      <w:r w:rsidRPr="0003763C" w:rsidR="004878ED">
        <w:t>IA</w:t>
      </w:r>
      <w:r w:rsidRPr="0003763C">
        <w:t xml:space="preserve"> and Prudent Industry Practices;</w:t>
      </w:r>
    </w:p>
    <w:p w:rsidRPr="0003763C" w:rsidR="002D54C4" w:rsidP="007E75EB" w:rsidRDefault="002D54C4" w14:paraId="38702130" w14:textId="427A116E">
      <w:pPr>
        <w:pStyle w:val="zGListi"/>
      </w:pPr>
      <w:r w:rsidRPr="0003763C">
        <w:t xml:space="preserve"> the Facility’s AGC system, as approved by GPC under PPA Section </w:t>
      </w:r>
      <w:r w:rsidRPr="0003763C" w:rsidR="00FB4F90">
        <w:t>10.</w:t>
      </w:r>
      <w:r w:rsidRPr="0003763C" w:rsidR="007F27EA">
        <w:t>8</w:t>
      </w:r>
      <w:r w:rsidRPr="0003763C">
        <w:t xml:space="preserve"> (</w:t>
      </w:r>
      <w:r w:rsidRPr="0003763C">
        <w:rPr>
          <w:i/>
        </w:rPr>
        <w:t>AGC</w:t>
      </w:r>
      <w:r w:rsidRPr="0003763C">
        <w:t xml:space="preserve">), is completely installed and fully operational and is connected to GPC’s AGC RTU, and Seller has demonstrated to GPC that the Facility is capable of responding to and following GPC’s AGC Setpoint signals and that the Facility’s AGC system otherwise satisfies PPA Section </w:t>
      </w:r>
      <w:r w:rsidRPr="0003763C" w:rsidR="00436EE9">
        <w:t>10.</w:t>
      </w:r>
      <w:r w:rsidRPr="0003763C" w:rsidR="007F27EA">
        <w:t>8</w:t>
      </w:r>
      <w:r w:rsidRPr="0003763C">
        <w:t xml:space="preserve"> </w:t>
      </w:r>
      <w:r w:rsidR="002053C3">
        <w:t>(</w:t>
      </w:r>
      <w:r w:rsidRPr="002053C3" w:rsidR="002053C3">
        <w:rPr>
          <w:i/>
          <w:iCs/>
        </w:rPr>
        <w:t>AGC</w:t>
      </w:r>
      <w:r w:rsidR="002053C3">
        <w:t xml:space="preserve">) </w:t>
      </w:r>
      <w:r w:rsidRPr="0003763C">
        <w:t xml:space="preserve">and PPA Exhibit </w:t>
      </w:r>
      <w:r w:rsidRPr="0003763C" w:rsidR="004520E5">
        <w:t>G</w:t>
      </w:r>
      <w:r w:rsidRPr="0003763C">
        <w:rPr>
          <w:b/>
        </w:rPr>
        <w:t xml:space="preserve"> </w:t>
      </w:r>
      <w:r w:rsidRPr="0003763C">
        <w:t>(</w:t>
      </w:r>
      <w:r w:rsidRPr="0003763C">
        <w:rPr>
          <w:i/>
        </w:rPr>
        <w:t xml:space="preserve">AGC and </w:t>
      </w:r>
      <w:r w:rsidRPr="0003763C" w:rsidR="007F27EA">
        <w:rPr>
          <w:i/>
        </w:rPr>
        <w:t xml:space="preserve">Facility </w:t>
      </w:r>
      <w:r w:rsidRPr="0003763C">
        <w:rPr>
          <w:i/>
        </w:rPr>
        <w:t>Minimum Data Requirements</w:t>
      </w:r>
      <w:r w:rsidRPr="0003763C">
        <w:t>);</w:t>
      </w:r>
    </w:p>
    <w:p w:rsidRPr="0003763C" w:rsidR="002D54C4" w:rsidP="007E75EB" w:rsidRDefault="002D54C4" w14:paraId="40B606C7" w14:textId="6183CB7B">
      <w:pPr>
        <w:pStyle w:val="zGListi"/>
      </w:pPr>
      <w:r w:rsidRPr="0003763C">
        <w:t>the Facility’s PHL estimation system, as approved by GPC under PPA Section 4.14 (</w:t>
      </w:r>
      <w:r w:rsidRPr="0003763C">
        <w:rPr>
          <w:i/>
        </w:rPr>
        <w:t>Potential High Limit; Curtailed Energy</w:t>
      </w:r>
      <w:r w:rsidRPr="0003763C">
        <w:t xml:space="preserve">), is completely installed and fully operational and Seller has provided to GPC a detailed analysis and verification pursuant to PPA Section 4.14 that demonstrates that the PHL estimation system is capable of satisfying the performance and accuracy requirements of PPA Section </w:t>
      </w:r>
      <w:r w:rsidRPr="0003763C" w:rsidR="00DE4A09">
        <w:t>10.10</w:t>
      </w:r>
      <w:r w:rsidRPr="0003763C" w:rsidR="000A69A2">
        <w:t>.1 (</w:t>
      </w:r>
      <w:r w:rsidRPr="0003763C" w:rsidR="000A69A2">
        <w:rPr>
          <w:i/>
        </w:rPr>
        <w:t>PHL Estimation System</w:t>
      </w:r>
      <w:r w:rsidRPr="0003763C" w:rsidR="000A69A2">
        <w:t>)</w:t>
      </w:r>
      <w:r w:rsidRPr="0003763C">
        <w:t>;</w:t>
      </w:r>
    </w:p>
    <w:p w:rsidRPr="0003763C" w:rsidR="002D54C4" w:rsidP="007E75EB" w:rsidRDefault="002D54C4" w14:paraId="7B5631CE" w14:textId="72285F88">
      <w:pPr>
        <w:pStyle w:val="zGListi"/>
      </w:pPr>
      <w:r w:rsidRPr="0003763C">
        <w:t xml:space="preserve">GPC is able to receive such Energy at the </w:t>
      </w:r>
      <w:r w:rsidRPr="0003763C" w:rsidR="008505A3">
        <w:t>POI</w:t>
      </w:r>
      <w:r w:rsidRPr="0003763C">
        <w:t xml:space="preserve"> on a reliable basis in accordance with Prudent Industry Practices; </w:t>
      </w:r>
    </w:p>
    <w:p w:rsidRPr="0003763C" w:rsidR="002D54C4" w:rsidP="007E75EB" w:rsidRDefault="002D54C4" w14:paraId="34C198EF" w14:textId="57ED86BA">
      <w:pPr>
        <w:pStyle w:val="zGListi"/>
      </w:pPr>
      <w:r w:rsidRPr="0003763C">
        <w:t xml:space="preserve">Seller has delivered to GPC a certificate from a responsible officer of Seller that is reasonably acceptable to GPC, stating that the Facility has been designed, engineered, constructed, and tested in accordance with Prudent Industry Practices and the terms of the PPA, including the Facility </w:t>
      </w:r>
      <w:r w:rsidR="008000CC">
        <w:t>t</w:t>
      </w:r>
      <w:r w:rsidRPr="0003763C">
        <w:t xml:space="preserve">echnical and </w:t>
      </w:r>
      <w:r w:rsidR="008000CC">
        <w:t>d</w:t>
      </w:r>
      <w:r w:rsidRPr="0003763C">
        <w:t xml:space="preserve">esign </w:t>
      </w:r>
      <w:r w:rsidR="008000CC">
        <w:t>r</w:t>
      </w:r>
      <w:r w:rsidRPr="0003763C">
        <w:t>equirements;</w:t>
      </w:r>
    </w:p>
    <w:p w:rsidRPr="0003763C" w:rsidR="002D54C4" w:rsidP="007E75EB" w:rsidRDefault="002D54C4" w14:paraId="0214CE49" w14:textId="64C21906">
      <w:pPr>
        <w:pStyle w:val="zGListi"/>
      </w:pPr>
      <w:r w:rsidRPr="0003763C">
        <w:t>Seller has delivered to GPC a</w:t>
      </w:r>
      <w:r w:rsidR="00E65C1B">
        <w:t>ny</w:t>
      </w:r>
      <w:r w:rsidRPr="0003763C">
        <w:t xml:space="preserve"> as-built drawings with respect to the Facility, as may be requested by GPC; and</w:t>
      </w:r>
    </w:p>
    <w:p w:rsidR="00806F5A" w:rsidP="007E75EB" w:rsidRDefault="002D54C4" w14:paraId="21B70F3D" w14:textId="79ACC63B">
      <w:pPr>
        <w:pStyle w:val="zGListi"/>
      </w:pPr>
      <w:r w:rsidRPr="0003763C">
        <w:t>Seller has delivered to GPC a certificate from a responsible officer of Seller that is reasonably acceptable to GPC certifying that Seller</w:t>
      </w:r>
      <w:r w:rsidRPr="002D2A8F">
        <w:t xml:space="preserve"> is in compliance with the </w:t>
      </w:r>
      <w:r w:rsidR="004878ED">
        <w:t>IA</w:t>
      </w:r>
      <w:r w:rsidRPr="002D2A8F">
        <w:t xml:space="preserve"> and Seller has obtained all applicable Consents required under applicable law to be obtained by Seller at the time of Commercial Operation of the Facility for the construction, ownership, operation and maintenance of the Facility in accordance with this PPA</w:t>
      </w:r>
      <w:r w:rsidR="005E17E1">
        <w:t>.</w:t>
      </w:r>
      <w:r w:rsidRPr="002D2A8F">
        <w:t xml:space="preserve"> </w:t>
      </w:r>
      <w:bookmarkStart w:name="_DV_M354" w:id="1133"/>
      <w:bookmarkEnd w:id="1133"/>
    </w:p>
    <w:p w:rsidR="0020577A" w:rsidP="0020577A" w:rsidRDefault="0020577A" w14:paraId="2CFB2AB3" w14:textId="77777777">
      <w:pPr>
        <w:pStyle w:val="zGNormal"/>
      </w:pPr>
    </w:p>
    <w:p w:rsidRPr="002D2A8F" w:rsidR="002D54C4" w:rsidP="0020577A" w:rsidRDefault="002D54C4" w14:paraId="7AB358C5" w14:textId="578F4499">
      <w:pPr>
        <w:pStyle w:val="zGNormal"/>
        <w:rPr>
          <w:rFonts w:eastAsia="Calibri"/>
        </w:rPr>
      </w:pPr>
      <w:r w:rsidRPr="002D2A8F">
        <w:t xml:space="preserve">Seller </w:t>
      </w:r>
      <w:r w:rsidRPr="002D2A8F" w:rsidR="00652375">
        <w:rPr>
          <w:rFonts w:eastAsia="Times New Roman"/>
        </w:rPr>
        <w:t>certifies</w:t>
      </w:r>
      <w:r w:rsidRPr="002D2A8F">
        <w:rPr>
          <w:rFonts w:eastAsia="Times New Roman"/>
        </w:rPr>
        <w:t xml:space="preserve"> that Commercial Operation of the Facility was achieved as of </w:t>
      </w:r>
      <w:r w:rsidRPr="004A7BE4">
        <w:rPr>
          <w:rFonts w:eastAsia="Times New Roman"/>
          <w:b/>
          <w:highlight w:val="yellow"/>
        </w:rPr>
        <w:t>#CommercialOperationDate#</w:t>
      </w:r>
      <w:r w:rsidRPr="002D2A8F">
        <w:rPr>
          <w:rFonts w:eastAsia="Times New Roman"/>
        </w:rPr>
        <w:t xml:space="preserve">. Seller agrees to provide photographs of the Facility and Site at GPC’s request. The electrical inspection documentation in support of Seller’s certification of Commercial Operation is attached. Seller </w:t>
      </w:r>
      <w:r w:rsidRPr="002D2A8F">
        <w:rPr>
          <w:rFonts w:eastAsia="Calibri"/>
        </w:rPr>
        <w:t xml:space="preserve">grants to GPC </w:t>
      </w:r>
      <w:r w:rsidRPr="002D2A8F">
        <w:rPr>
          <w:rFonts w:eastAsia="Calibri"/>
          <w:spacing w:val="-1"/>
        </w:rPr>
        <w:t>an</w:t>
      </w:r>
      <w:r w:rsidRPr="002D2A8F">
        <w:rPr>
          <w:rFonts w:eastAsia="Calibri"/>
        </w:rPr>
        <w:t xml:space="preserve">d </w:t>
      </w:r>
      <w:r w:rsidRPr="002D2A8F">
        <w:rPr>
          <w:rFonts w:eastAsia="Calibri"/>
          <w:spacing w:val="-1"/>
        </w:rPr>
        <w:t>i</w:t>
      </w:r>
      <w:r w:rsidRPr="002D2A8F">
        <w:rPr>
          <w:rFonts w:eastAsia="Calibri"/>
        </w:rPr>
        <w:t xml:space="preserve">ts </w:t>
      </w:r>
      <w:r w:rsidRPr="002D2A8F">
        <w:rPr>
          <w:rFonts w:eastAsia="Calibri"/>
          <w:spacing w:val="-1"/>
        </w:rPr>
        <w:t>agen</w:t>
      </w:r>
      <w:r w:rsidRPr="002D2A8F">
        <w:rPr>
          <w:rFonts w:eastAsia="Calibri"/>
        </w:rPr>
        <w:t>ts,</w:t>
      </w:r>
      <w:r w:rsidRPr="002D2A8F">
        <w:rPr>
          <w:rFonts w:eastAsia="Calibri"/>
          <w:spacing w:val="1"/>
        </w:rPr>
        <w:t xml:space="preserve"> affiliates, </w:t>
      </w:r>
      <w:r w:rsidRPr="002D2A8F">
        <w:rPr>
          <w:rFonts w:eastAsia="Calibri"/>
        </w:rPr>
        <w:t>s</w:t>
      </w:r>
      <w:r w:rsidRPr="002D2A8F">
        <w:rPr>
          <w:rFonts w:eastAsia="Calibri"/>
          <w:spacing w:val="-1"/>
        </w:rPr>
        <w:t>u</w:t>
      </w:r>
      <w:r w:rsidRPr="002D2A8F">
        <w:rPr>
          <w:rFonts w:eastAsia="Calibri"/>
        </w:rPr>
        <w:t>cc</w:t>
      </w:r>
      <w:r w:rsidRPr="002D2A8F">
        <w:rPr>
          <w:rFonts w:eastAsia="Calibri"/>
          <w:spacing w:val="-1"/>
        </w:rPr>
        <w:t>e</w:t>
      </w:r>
      <w:r w:rsidRPr="002D2A8F">
        <w:rPr>
          <w:rFonts w:eastAsia="Calibri"/>
        </w:rPr>
        <w:t>s</w:t>
      </w:r>
      <w:r w:rsidRPr="002D2A8F">
        <w:rPr>
          <w:rFonts w:eastAsia="Calibri"/>
          <w:spacing w:val="2"/>
        </w:rPr>
        <w:t>s</w:t>
      </w:r>
      <w:r w:rsidRPr="002D2A8F">
        <w:rPr>
          <w:rFonts w:eastAsia="Calibri"/>
          <w:spacing w:val="-1"/>
        </w:rPr>
        <w:t>o</w:t>
      </w:r>
      <w:r w:rsidRPr="002D2A8F">
        <w:rPr>
          <w:rFonts w:eastAsia="Calibri"/>
        </w:rPr>
        <w:t>rs,</w:t>
      </w:r>
      <w:r w:rsidRPr="002D2A8F">
        <w:rPr>
          <w:rFonts w:eastAsia="Calibri"/>
          <w:spacing w:val="1"/>
        </w:rPr>
        <w:t xml:space="preserve"> </w:t>
      </w:r>
      <w:r w:rsidRPr="002D2A8F">
        <w:rPr>
          <w:rFonts w:eastAsia="Calibri"/>
          <w:spacing w:val="-1"/>
        </w:rPr>
        <w:t>an</w:t>
      </w:r>
      <w:r w:rsidRPr="002D2A8F">
        <w:rPr>
          <w:rFonts w:eastAsia="Calibri"/>
        </w:rPr>
        <w:t xml:space="preserve">d </w:t>
      </w:r>
      <w:r w:rsidRPr="002D2A8F">
        <w:rPr>
          <w:rFonts w:eastAsia="Calibri"/>
          <w:spacing w:val="-1"/>
        </w:rPr>
        <w:t>a</w:t>
      </w:r>
      <w:r w:rsidRPr="002D2A8F">
        <w:rPr>
          <w:rFonts w:eastAsia="Calibri"/>
        </w:rPr>
        <w:t>ss</w:t>
      </w:r>
      <w:r w:rsidRPr="002D2A8F">
        <w:rPr>
          <w:rFonts w:eastAsia="Calibri"/>
          <w:spacing w:val="-1"/>
        </w:rPr>
        <w:t>ign</w:t>
      </w:r>
      <w:r w:rsidRPr="002D2A8F">
        <w:rPr>
          <w:rFonts w:eastAsia="Calibri"/>
        </w:rPr>
        <w:t xml:space="preserve">s an irrevocable, worldwide, royalty-free, and unrestricted right and license to use, duplicate, modify, sublicense, distribute, </w:t>
      </w:r>
      <w:r w:rsidRPr="002D2A8F">
        <w:rPr>
          <w:rFonts w:eastAsia="Calibri"/>
        </w:rPr>
        <w:lastRenderedPageBreak/>
        <w:t>display, and otherwise engage the photographs and related intellectual property, including the creation of derivative works. Seller represents and warrants that it has the exclusive right to grant the license to GPC for the purposes stated in the PPA.</w:t>
      </w:r>
    </w:p>
    <w:p w:rsidRPr="002D2A8F" w:rsidR="002D54C4" w:rsidP="002D54C4" w:rsidRDefault="002D54C4" w14:paraId="4D61656B" w14:textId="77777777">
      <w:pPr>
        <w:keepNext/>
        <w:rPr>
          <w:rFonts w:ascii="Arial" w:hAnsi="Arial" w:eastAsia="Calibri" w:cs="Arial"/>
          <w:b/>
          <w:sz w:val="20"/>
          <w:szCs w:val="20"/>
          <w:u w:val="single"/>
        </w:rPr>
      </w:pPr>
    </w:p>
    <w:tbl>
      <w:tblPr>
        <w:tblW w:w="5130" w:type="dxa"/>
        <w:tblLayout w:type="fixed"/>
        <w:tblCellMar>
          <w:left w:w="29" w:type="dxa"/>
          <w:right w:w="29" w:type="dxa"/>
        </w:tblCellMar>
        <w:tblLook w:val="01E0" w:firstRow="1" w:lastRow="1" w:firstColumn="1" w:lastColumn="1" w:noHBand="0" w:noVBand="0"/>
      </w:tblPr>
      <w:tblGrid>
        <w:gridCol w:w="1008"/>
        <w:gridCol w:w="4093"/>
        <w:gridCol w:w="29"/>
      </w:tblGrid>
      <w:tr w:rsidRPr="00DD3024" w:rsidR="002D54C4" w14:paraId="40D70ED3" w14:textId="77777777">
        <w:trPr>
          <w:cantSplit/>
          <w:trHeight w:val="432"/>
        </w:trPr>
        <w:tc>
          <w:tcPr>
            <w:tcW w:w="5130" w:type="dxa"/>
            <w:gridSpan w:val="3"/>
          </w:tcPr>
          <w:p w:rsidRPr="004A7BE4" w:rsidR="002D54C4" w:rsidRDefault="002D54C4" w14:paraId="2C7C8A6C" w14:textId="77777777">
            <w:pPr>
              <w:keepNext/>
              <w:keepLines/>
              <w:widowControl w:val="0"/>
              <w:autoSpaceDE w:val="0"/>
              <w:autoSpaceDN w:val="0"/>
              <w:adjustRightInd w:val="0"/>
              <w:rPr>
                <w:rFonts w:ascii="Arial" w:hAnsi="Arial" w:eastAsia="Yu Mincho" w:cs="Arial"/>
                <w:b/>
                <w:spacing w:val="-6"/>
                <w:kern w:val="14"/>
                <w:sz w:val="24"/>
                <w:szCs w:val="24"/>
                <w:highlight w:val="yellow"/>
              </w:rPr>
            </w:pPr>
            <w:bookmarkStart w:name="_DV_M360" w:id="1134"/>
            <w:bookmarkEnd w:id="1134"/>
            <w:r w:rsidRPr="004A7BE4">
              <w:rPr>
                <w:rFonts w:ascii="Arial" w:hAnsi="Arial" w:eastAsia="Yu Mincho" w:cs="Arial"/>
                <w:b/>
                <w:spacing w:val="-6"/>
                <w:kern w:val="14"/>
                <w:sz w:val="24"/>
                <w:szCs w:val="24"/>
                <w:highlight w:val="yellow"/>
              </w:rPr>
              <w:t>#SellerLegalName#</w:t>
            </w:r>
          </w:p>
        </w:tc>
      </w:tr>
      <w:tr w:rsidRPr="002D2A8F" w:rsidR="002D54C4" w14:paraId="3D4ECE87" w14:textId="77777777">
        <w:trPr>
          <w:gridAfter w:val="1"/>
          <w:wAfter w:w="29" w:type="dxa"/>
          <w:cantSplit/>
          <w:trHeight w:val="504"/>
        </w:trPr>
        <w:tc>
          <w:tcPr>
            <w:tcW w:w="1008" w:type="dxa"/>
            <w:vAlign w:val="bottom"/>
          </w:tcPr>
          <w:p w:rsidRPr="002D2A8F" w:rsidR="002D54C4" w:rsidRDefault="002D54C4" w14:paraId="15609A55" w14:textId="77777777">
            <w:pPr>
              <w:autoSpaceDE w:val="0"/>
              <w:autoSpaceDN w:val="0"/>
              <w:adjustRightInd w:val="0"/>
              <w:rPr>
                <w:rFonts w:ascii="Arial" w:hAnsi="Arial" w:eastAsia="Yu Mincho" w:cs="Arial"/>
                <w:kern w:val="14"/>
                <w:sz w:val="20"/>
                <w:szCs w:val="20"/>
              </w:rPr>
            </w:pPr>
            <w:r w:rsidRPr="002D2A8F">
              <w:rPr>
                <w:rFonts w:ascii="Arial" w:hAnsi="Arial" w:eastAsia="Yu Mincho" w:cs="Arial"/>
                <w:kern w:val="14"/>
                <w:sz w:val="20"/>
                <w:szCs w:val="20"/>
              </w:rPr>
              <w:t>By:</w:t>
            </w:r>
          </w:p>
        </w:tc>
        <w:tc>
          <w:tcPr>
            <w:tcW w:w="4093" w:type="dxa"/>
            <w:tcBorders>
              <w:bottom w:val="single" w:color="auto" w:sz="4" w:space="0"/>
            </w:tcBorders>
            <w:vAlign w:val="bottom"/>
          </w:tcPr>
          <w:p w:rsidRPr="002D2A8F" w:rsidR="002D54C4" w:rsidRDefault="002D54C4" w14:paraId="360D7503" w14:textId="77777777">
            <w:pPr>
              <w:keepLines/>
              <w:rPr>
                <w:rFonts w:ascii="Arial" w:hAnsi="Arial" w:eastAsia="Calibri" w:cs="Arial"/>
                <w:sz w:val="20"/>
                <w:szCs w:val="20"/>
              </w:rPr>
            </w:pPr>
          </w:p>
        </w:tc>
      </w:tr>
      <w:tr w:rsidRPr="002D2A8F" w:rsidR="002D54C4" w14:paraId="1C4BEAF5" w14:textId="77777777">
        <w:trPr>
          <w:gridAfter w:val="1"/>
          <w:wAfter w:w="29" w:type="dxa"/>
          <w:cantSplit/>
          <w:trHeight w:val="504"/>
        </w:trPr>
        <w:tc>
          <w:tcPr>
            <w:tcW w:w="1008" w:type="dxa"/>
            <w:vAlign w:val="bottom"/>
          </w:tcPr>
          <w:p w:rsidRPr="002D2A8F" w:rsidR="002D54C4" w:rsidRDefault="002D54C4" w14:paraId="1355F41A" w14:textId="77777777">
            <w:pPr>
              <w:autoSpaceDE w:val="0"/>
              <w:autoSpaceDN w:val="0"/>
              <w:adjustRightInd w:val="0"/>
              <w:rPr>
                <w:rFonts w:ascii="Arial" w:hAnsi="Arial" w:eastAsia="Yu Mincho" w:cs="Arial"/>
                <w:kern w:val="14"/>
                <w:sz w:val="20"/>
                <w:szCs w:val="20"/>
              </w:rPr>
            </w:pPr>
            <w:r w:rsidRPr="002D2A8F">
              <w:rPr>
                <w:rFonts w:ascii="Arial" w:hAnsi="Arial" w:eastAsia="Yu Mincho" w:cs="Arial"/>
                <w:kern w:val="14"/>
                <w:sz w:val="20"/>
                <w:szCs w:val="20"/>
              </w:rPr>
              <w:t>Name</w:t>
            </w:r>
          </w:p>
          <w:p w:rsidRPr="002D2A8F" w:rsidR="002D54C4" w:rsidRDefault="002D54C4" w14:paraId="638241DD" w14:textId="77777777">
            <w:pPr>
              <w:autoSpaceDE w:val="0"/>
              <w:autoSpaceDN w:val="0"/>
              <w:adjustRightInd w:val="0"/>
              <w:rPr>
                <w:rFonts w:ascii="Arial" w:hAnsi="Arial" w:eastAsia="Yu Mincho" w:cs="Arial"/>
                <w:kern w:val="14"/>
                <w:sz w:val="20"/>
                <w:szCs w:val="20"/>
              </w:rPr>
            </w:pPr>
            <w:r w:rsidRPr="002D2A8F">
              <w:rPr>
                <w:rFonts w:ascii="Arial" w:hAnsi="Arial" w:eastAsia="Yu Mincho" w:cs="Arial"/>
                <w:kern w:val="14"/>
                <w:sz w:val="20"/>
                <w:szCs w:val="20"/>
              </w:rPr>
              <w:t>Printed:</w:t>
            </w:r>
          </w:p>
        </w:tc>
        <w:tc>
          <w:tcPr>
            <w:tcW w:w="4093" w:type="dxa"/>
            <w:tcBorders>
              <w:top w:val="single" w:color="auto" w:sz="4" w:space="0"/>
              <w:bottom w:val="single" w:color="auto" w:sz="4" w:space="0"/>
            </w:tcBorders>
            <w:vAlign w:val="bottom"/>
          </w:tcPr>
          <w:p w:rsidRPr="002D2A8F" w:rsidR="002D54C4" w:rsidRDefault="002D54C4" w14:paraId="1725B2E0" w14:textId="77777777">
            <w:pPr>
              <w:keepLines/>
              <w:rPr>
                <w:rFonts w:ascii="Arial" w:hAnsi="Arial" w:eastAsia="Calibri" w:cs="Arial"/>
                <w:sz w:val="20"/>
                <w:szCs w:val="20"/>
              </w:rPr>
            </w:pPr>
          </w:p>
        </w:tc>
      </w:tr>
      <w:tr w:rsidRPr="002D2A8F" w:rsidR="002D54C4" w14:paraId="2070EB51" w14:textId="77777777">
        <w:trPr>
          <w:gridAfter w:val="1"/>
          <w:wAfter w:w="29" w:type="dxa"/>
          <w:cantSplit/>
          <w:trHeight w:val="504"/>
        </w:trPr>
        <w:tc>
          <w:tcPr>
            <w:tcW w:w="1008" w:type="dxa"/>
            <w:vAlign w:val="bottom"/>
          </w:tcPr>
          <w:p w:rsidRPr="002D2A8F" w:rsidR="002D54C4" w:rsidRDefault="002D54C4" w14:paraId="27817998" w14:textId="77777777">
            <w:pPr>
              <w:autoSpaceDE w:val="0"/>
              <w:autoSpaceDN w:val="0"/>
              <w:adjustRightInd w:val="0"/>
              <w:rPr>
                <w:rFonts w:ascii="Arial" w:hAnsi="Arial" w:eastAsia="Yu Mincho" w:cs="Arial"/>
                <w:kern w:val="14"/>
                <w:sz w:val="20"/>
                <w:szCs w:val="20"/>
              </w:rPr>
            </w:pPr>
            <w:r w:rsidRPr="002D2A8F">
              <w:rPr>
                <w:rFonts w:ascii="Arial" w:hAnsi="Arial" w:eastAsia="Yu Mincho" w:cs="Arial"/>
                <w:kern w:val="14"/>
                <w:sz w:val="20"/>
                <w:szCs w:val="20"/>
              </w:rPr>
              <w:t>Title:</w:t>
            </w:r>
          </w:p>
        </w:tc>
        <w:tc>
          <w:tcPr>
            <w:tcW w:w="4093" w:type="dxa"/>
            <w:tcBorders>
              <w:top w:val="single" w:color="auto" w:sz="4" w:space="0"/>
              <w:bottom w:val="single" w:color="auto" w:sz="4" w:space="0"/>
            </w:tcBorders>
            <w:vAlign w:val="bottom"/>
          </w:tcPr>
          <w:p w:rsidRPr="002D2A8F" w:rsidR="002D54C4" w:rsidRDefault="002D54C4" w14:paraId="2D2285BA" w14:textId="77777777">
            <w:pPr>
              <w:keepLines/>
              <w:rPr>
                <w:rFonts w:ascii="Arial" w:hAnsi="Arial" w:eastAsia="Calibri" w:cs="Arial"/>
                <w:sz w:val="20"/>
                <w:szCs w:val="20"/>
              </w:rPr>
            </w:pPr>
          </w:p>
        </w:tc>
      </w:tr>
      <w:tr w:rsidRPr="002D2A8F" w:rsidR="002D54C4" w14:paraId="70597380" w14:textId="77777777">
        <w:trPr>
          <w:gridAfter w:val="1"/>
          <w:wAfter w:w="29" w:type="dxa"/>
          <w:cantSplit/>
          <w:trHeight w:val="504"/>
        </w:trPr>
        <w:tc>
          <w:tcPr>
            <w:tcW w:w="1008" w:type="dxa"/>
            <w:vAlign w:val="bottom"/>
          </w:tcPr>
          <w:p w:rsidRPr="002D2A8F" w:rsidR="002D54C4" w:rsidRDefault="002D54C4" w14:paraId="2700457D" w14:textId="77777777">
            <w:pPr>
              <w:autoSpaceDE w:val="0"/>
              <w:autoSpaceDN w:val="0"/>
              <w:adjustRightInd w:val="0"/>
              <w:rPr>
                <w:rFonts w:ascii="Arial" w:hAnsi="Arial" w:eastAsia="Yu Mincho" w:cs="Arial"/>
                <w:kern w:val="14"/>
                <w:sz w:val="20"/>
                <w:szCs w:val="20"/>
              </w:rPr>
            </w:pPr>
            <w:r w:rsidRPr="002D2A8F">
              <w:rPr>
                <w:rFonts w:ascii="Arial" w:hAnsi="Arial" w:eastAsia="Yu Mincho" w:cs="Arial"/>
                <w:kern w:val="14"/>
                <w:sz w:val="20"/>
                <w:szCs w:val="20"/>
              </w:rPr>
              <w:t>Date:</w:t>
            </w:r>
          </w:p>
        </w:tc>
        <w:tc>
          <w:tcPr>
            <w:tcW w:w="4093" w:type="dxa"/>
            <w:tcBorders>
              <w:top w:val="single" w:color="auto" w:sz="4" w:space="0"/>
              <w:bottom w:val="single" w:color="auto" w:sz="4" w:space="0"/>
            </w:tcBorders>
            <w:vAlign w:val="bottom"/>
          </w:tcPr>
          <w:p w:rsidRPr="002D2A8F" w:rsidR="002D54C4" w:rsidRDefault="002D54C4" w14:paraId="507695B0" w14:textId="77777777">
            <w:pPr>
              <w:keepLines/>
              <w:rPr>
                <w:rFonts w:ascii="Arial" w:hAnsi="Arial" w:eastAsia="Calibri" w:cs="Arial"/>
                <w:sz w:val="20"/>
                <w:szCs w:val="20"/>
              </w:rPr>
            </w:pPr>
          </w:p>
        </w:tc>
      </w:tr>
    </w:tbl>
    <w:p w:rsidRPr="002D2A8F" w:rsidR="002D54C4" w:rsidP="002D54C4" w:rsidRDefault="002D54C4" w14:paraId="483F3E0A" w14:textId="77777777">
      <w:pPr>
        <w:rPr>
          <w:rFonts w:ascii="Arial" w:hAnsi="Arial" w:eastAsia="Calibri" w:cs="Arial"/>
          <w:sz w:val="20"/>
          <w:szCs w:val="20"/>
        </w:rPr>
      </w:pPr>
    </w:p>
    <w:p w:rsidRPr="002D2A8F" w:rsidR="002D54C4" w:rsidP="002D54C4" w:rsidRDefault="002D54C4" w14:paraId="3D3BDC66" w14:textId="77777777">
      <w:pPr>
        <w:suppressAutoHyphens/>
        <w:spacing w:after="240"/>
        <w:rPr>
          <w:rFonts w:ascii="Arial" w:hAnsi="Arial" w:eastAsia="DengXian" w:cs="Arial"/>
          <w:lang w:eastAsia="zh-CN"/>
        </w:rPr>
      </w:pPr>
    </w:p>
    <w:p w:rsidRPr="002D2A8F" w:rsidR="002D54C4" w:rsidP="002D54C4" w:rsidRDefault="002D54C4" w14:paraId="3C831BEF" w14:textId="77777777">
      <w:pPr>
        <w:rPr>
          <w:rFonts w:ascii="Arial" w:hAnsi="Arial" w:eastAsia="Times New Roman" w:cs="Arial"/>
        </w:rPr>
      </w:pPr>
      <w:r w:rsidRPr="002D2A8F">
        <w:rPr>
          <w:rFonts w:ascii="Arial" w:hAnsi="Arial" w:eastAsia="Times New Roman" w:cs="Arial"/>
        </w:rPr>
        <w:br w:type="page"/>
      </w:r>
    </w:p>
    <w:p w:rsidRPr="002D2A8F" w:rsidR="002D54C4" w:rsidP="00506657" w:rsidRDefault="002D54C4" w14:paraId="0CD3625D" w14:textId="77777777">
      <w:pPr>
        <w:adjustRightInd w:val="0"/>
        <w:spacing w:after="240" w:line="480" w:lineRule="auto"/>
        <w:textAlignment w:val="baseline"/>
        <w:rPr>
          <w:rFonts w:ascii="Arial" w:hAnsi="Arial" w:eastAsia="Times New Roman" w:cs="Arial"/>
        </w:rPr>
        <w:sectPr w:rsidRPr="002D2A8F" w:rsidR="002D54C4" w:rsidSect="003B614F">
          <w:pgSz w:w="12240" w:h="15840" w:code="1"/>
          <w:pgMar w:top="1440" w:right="1440" w:bottom="1440" w:left="1440" w:header="720" w:footer="720" w:gutter="0"/>
          <w:paperSrc w:first="15" w:other="15"/>
          <w:cols w:space="1440"/>
        </w:sectPr>
      </w:pPr>
    </w:p>
    <w:p w:rsidRPr="002D2A8F" w:rsidR="002D54C4" w:rsidP="002D54C4" w:rsidRDefault="002D54C4" w14:paraId="247148A7" w14:textId="7B369255">
      <w:pPr>
        <w:pStyle w:val="zGTitleExhibit"/>
        <w:rPr>
          <w:rFonts w:cs="Arial"/>
        </w:rPr>
      </w:pPr>
      <w:bookmarkStart w:name="_Toc169778726" w:id="1135"/>
      <w:bookmarkStart w:name="_Toc227451498" w:id="1136"/>
      <w:r w:rsidRPr="002D2A8F">
        <w:rPr>
          <w:rFonts w:cs="Arial"/>
        </w:rPr>
        <w:lastRenderedPageBreak/>
        <w:t xml:space="preserve">Exhibit </w:t>
      </w:r>
      <w:bookmarkStart w:name="_Hlk39149545" w:id="1137"/>
      <w:r w:rsidR="00316F5D">
        <w:rPr>
          <w:rFonts w:cs="Arial"/>
        </w:rPr>
        <w:t>K</w:t>
      </w:r>
      <w:r w:rsidRPr="002D2A8F" w:rsidR="00316F5D">
        <w:rPr>
          <w:rFonts w:cs="Arial"/>
        </w:rPr>
        <w:t xml:space="preserve"> </w:t>
      </w:r>
      <w:r w:rsidRPr="002D2A8F">
        <w:rPr>
          <w:rFonts w:cs="Arial"/>
        </w:rPr>
        <w:t>– Form of Standby Letter of Credit</w:t>
      </w:r>
      <w:bookmarkEnd w:id="1135"/>
      <w:bookmarkEnd w:id="1136"/>
    </w:p>
    <w:bookmarkEnd w:id="1137"/>
    <w:p w:rsidRPr="002D2A8F" w:rsidR="002D54C4" w:rsidP="00777BBC" w:rsidRDefault="002D54C4" w14:paraId="0AC3FCDD" w14:textId="696F25A5">
      <w:pPr>
        <w:spacing w:after="0" w:line="20" w:lineRule="atLeast"/>
        <w:rPr>
          <w:rFonts w:ascii="Arial" w:hAnsi="Arial" w:eastAsia="Times New Roman" w:cs="Arial"/>
          <w:sz w:val="20"/>
          <w:szCs w:val="20"/>
        </w:rPr>
      </w:pPr>
      <w:r w:rsidRPr="002D2A8F">
        <w:rPr>
          <w:rFonts w:ascii="Arial" w:hAnsi="Arial" w:eastAsia="Times New Roman" w:cs="Arial"/>
          <w:sz w:val="20"/>
          <w:szCs w:val="20"/>
        </w:rPr>
        <w:t>[</w:t>
      </w:r>
      <w:r w:rsidRPr="004A7BE4">
        <w:rPr>
          <w:rFonts w:ascii="Arial" w:hAnsi="Arial" w:eastAsia="Times New Roman" w:cs="Arial"/>
          <w:sz w:val="20"/>
          <w:szCs w:val="20"/>
          <w:highlight w:val="yellow"/>
        </w:rPr>
        <w:t>Bank Letterhead</w:t>
      </w:r>
      <w:r w:rsidRPr="002D2A8F">
        <w:rPr>
          <w:rFonts w:ascii="Arial" w:hAnsi="Arial" w:eastAsia="Times New Roman" w:cs="Arial"/>
          <w:sz w:val="20"/>
          <w:szCs w:val="20"/>
        </w:rPr>
        <w:t>]</w:t>
      </w:r>
    </w:p>
    <w:p w:rsidRPr="002D2A8F" w:rsidR="002D54C4" w:rsidP="00777BBC" w:rsidRDefault="002D54C4" w14:paraId="1BC864BB" w14:textId="77777777">
      <w:pPr>
        <w:spacing w:after="0" w:line="20" w:lineRule="atLeast"/>
        <w:rPr>
          <w:rFonts w:ascii="Arial" w:hAnsi="Arial" w:eastAsia="Times New Roman" w:cs="Arial"/>
          <w:sz w:val="20"/>
          <w:szCs w:val="20"/>
        </w:rPr>
      </w:pPr>
      <w:bookmarkStart w:name="_DV_M750" w:id="1138"/>
      <w:bookmarkEnd w:id="1138"/>
      <w:r w:rsidRPr="002D2A8F">
        <w:rPr>
          <w:rFonts w:ascii="Arial" w:hAnsi="Arial" w:eastAsia="Times New Roman" w:cs="Arial"/>
          <w:sz w:val="20"/>
          <w:szCs w:val="20"/>
        </w:rPr>
        <w:t>Date of issuance:</w:t>
      </w:r>
      <w:r w:rsidRPr="002D2A8F">
        <w:rPr>
          <w:rFonts w:ascii="Arial" w:hAnsi="Arial" w:eastAsia="Times New Roman" w:cs="Arial"/>
          <w:sz w:val="20"/>
          <w:szCs w:val="20"/>
        </w:rPr>
        <w:tab/>
        <w:t>________, 20__</w:t>
      </w:r>
    </w:p>
    <w:p w:rsidRPr="002D2A8F" w:rsidR="002D54C4" w:rsidP="00777BBC" w:rsidRDefault="002D54C4" w14:paraId="08C98B6B" w14:textId="77777777">
      <w:pPr>
        <w:spacing w:after="0" w:line="20" w:lineRule="atLeast"/>
        <w:rPr>
          <w:rFonts w:ascii="Arial" w:hAnsi="Arial" w:eastAsia="Times New Roman" w:cs="Arial"/>
          <w:sz w:val="20"/>
          <w:szCs w:val="20"/>
        </w:rPr>
      </w:pPr>
    </w:p>
    <w:p w:rsidRPr="002D2A8F" w:rsidR="007E2E0C" w:rsidP="00777BBC" w:rsidRDefault="007E2E0C" w14:paraId="26626BB0" w14:textId="77777777">
      <w:pPr>
        <w:spacing w:after="0" w:line="20" w:lineRule="atLeast"/>
        <w:rPr>
          <w:rFonts w:ascii="Arial" w:hAnsi="Arial" w:eastAsia="Times New Roman" w:cs="Arial"/>
          <w:sz w:val="20"/>
          <w:szCs w:val="20"/>
        </w:rPr>
      </w:pPr>
      <w:bookmarkStart w:name="_DV_M751" w:id="1139"/>
      <w:bookmarkEnd w:id="1139"/>
    </w:p>
    <w:p w:rsidRPr="002D2A8F" w:rsidR="007E2E0C" w:rsidP="00777BBC" w:rsidRDefault="007E2E0C" w14:paraId="6A061468" w14:textId="77777777">
      <w:pPr>
        <w:spacing w:after="0" w:line="20" w:lineRule="atLeast"/>
        <w:rPr>
          <w:rFonts w:ascii="Arial" w:hAnsi="Arial" w:eastAsia="Times New Roman" w:cs="Arial"/>
          <w:sz w:val="20"/>
          <w:szCs w:val="20"/>
        </w:rPr>
      </w:pPr>
    </w:p>
    <w:p w:rsidRPr="002D2A8F" w:rsidR="002D54C4" w:rsidP="00777BBC" w:rsidRDefault="002D54C4" w14:paraId="36F64CF5" w14:textId="77777777">
      <w:pPr>
        <w:spacing w:after="0" w:line="20" w:lineRule="atLeast"/>
        <w:rPr>
          <w:rFonts w:ascii="Arial" w:hAnsi="Arial" w:eastAsia="Times New Roman" w:cs="Arial"/>
          <w:sz w:val="20"/>
          <w:szCs w:val="20"/>
        </w:rPr>
      </w:pPr>
      <w:r w:rsidRPr="002D2A8F">
        <w:rPr>
          <w:rFonts w:ascii="Arial" w:hAnsi="Arial" w:eastAsia="Times New Roman" w:cs="Arial"/>
          <w:sz w:val="20"/>
          <w:szCs w:val="20"/>
        </w:rPr>
        <w:t>Irrevocable Standby Letter of Credit No:_____________________</w:t>
      </w:r>
    </w:p>
    <w:p w:rsidRPr="002D2A8F" w:rsidR="002D54C4" w:rsidP="00777BBC" w:rsidRDefault="002D54C4" w14:paraId="21F3189D" w14:textId="77777777">
      <w:pPr>
        <w:spacing w:after="0" w:line="20" w:lineRule="atLeast"/>
        <w:rPr>
          <w:rFonts w:ascii="Arial" w:hAnsi="Arial" w:eastAsia="Times New Roman" w:cs="Arial"/>
          <w:sz w:val="20"/>
          <w:szCs w:val="20"/>
        </w:rPr>
      </w:pPr>
    </w:p>
    <w:p w:rsidRPr="002D2A8F" w:rsidR="002D54C4" w:rsidP="00777BBC" w:rsidRDefault="002D54C4" w14:paraId="06040F10" w14:textId="77777777">
      <w:pPr>
        <w:tabs>
          <w:tab w:val="left" w:pos="2160"/>
        </w:tabs>
        <w:spacing w:after="0" w:line="20" w:lineRule="atLeast"/>
        <w:rPr>
          <w:rFonts w:ascii="Arial" w:hAnsi="Arial" w:eastAsia="Times New Roman" w:cs="Arial"/>
          <w:sz w:val="20"/>
          <w:szCs w:val="20"/>
          <w:u w:val="single"/>
        </w:rPr>
      </w:pPr>
      <w:bookmarkStart w:name="_DV_M752" w:id="1140"/>
      <w:bookmarkEnd w:id="1140"/>
      <w:r w:rsidRPr="002D2A8F">
        <w:rPr>
          <w:rFonts w:ascii="Arial" w:hAnsi="Arial" w:eastAsia="Times New Roman" w:cs="Arial"/>
          <w:sz w:val="20"/>
          <w:szCs w:val="20"/>
        </w:rPr>
        <w:t>“Issuer”:</w:t>
      </w:r>
      <w:r w:rsidRPr="002D2A8F">
        <w:rPr>
          <w:rFonts w:ascii="Arial" w:hAnsi="Arial" w:eastAsia="Times New Roman" w:cs="Arial"/>
          <w:sz w:val="20"/>
          <w:szCs w:val="20"/>
        </w:rPr>
        <w:tab/>
      </w:r>
      <w:r w:rsidRPr="002D2A8F">
        <w:rPr>
          <w:rFonts w:ascii="Arial" w:hAnsi="Arial" w:eastAsia="Times New Roman" w:cs="Arial"/>
          <w:sz w:val="20"/>
          <w:szCs w:val="20"/>
          <w:u w:val="single"/>
        </w:rPr>
        <w:tab/>
      </w:r>
      <w:r w:rsidRPr="002D2A8F">
        <w:rPr>
          <w:rFonts w:ascii="Arial" w:hAnsi="Arial" w:eastAsia="Times New Roman" w:cs="Arial"/>
          <w:sz w:val="20"/>
          <w:szCs w:val="20"/>
          <w:u w:val="single"/>
        </w:rPr>
        <w:tab/>
      </w:r>
      <w:r w:rsidRPr="002D2A8F">
        <w:rPr>
          <w:rFonts w:ascii="Arial" w:hAnsi="Arial" w:eastAsia="Times New Roman" w:cs="Arial"/>
          <w:sz w:val="20"/>
          <w:szCs w:val="20"/>
          <w:u w:val="single"/>
        </w:rPr>
        <w:tab/>
      </w:r>
      <w:r w:rsidRPr="002D2A8F">
        <w:rPr>
          <w:rFonts w:ascii="Arial" w:hAnsi="Arial" w:eastAsia="Times New Roman" w:cs="Arial"/>
          <w:sz w:val="20"/>
          <w:szCs w:val="20"/>
          <w:u w:val="single"/>
        </w:rPr>
        <w:tab/>
      </w:r>
      <w:r w:rsidRPr="002D2A8F">
        <w:rPr>
          <w:rFonts w:ascii="Arial" w:hAnsi="Arial" w:eastAsia="Times New Roman" w:cs="Arial"/>
          <w:sz w:val="20"/>
          <w:szCs w:val="20"/>
          <w:u w:val="single"/>
        </w:rPr>
        <w:tab/>
      </w:r>
      <w:r w:rsidRPr="002D2A8F">
        <w:rPr>
          <w:rFonts w:ascii="Arial" w:hAnsi="Arial" w:eastAsia="Times New Roman" w:cs="Arial"/>
          <w:sz w:val="20"/>
          <w:szCs w:val="20"/>
          <w:u w:val="single"/>
        </w:rPr>
        <w:tab/>
      </w:r>
      <w:r w:rsidRPr="002D2A8F">
        <w:rPr>
          <w:rFonts w:ascii="Arial" w:hAnsi="Arial" w:eastAsia="Times New Roman" w:cs="Arial"/>
          <w:sz w:val="20"/>
          <w:szCs w:val="20"/>
          <w:u w:val="single"/>
        </w:rPr>
        <w:tab/>
      </w:r>
    </w:p>
    <w:p w:rsidRPr="002D2A8F" w:rsidR="002D54C4" w:rsidP="00777BBC" w:rsidRDefault="002D54C4" w14:paraId="64C28BFD" w14:textId="77777777">
      <w:pPr>
        <w:tabs>
          <w:tab w:val="left" w:pos="2160"/>
        </w:tabs>
        <w:spacing w:after="0" w:line="20" w:lineRule="atLeast"/>
        <w:rPr>
          <w:rFonts w:ascii="Arial" w:hAnsi="Arial" w:eastAsia="Times New Roman" w:cs="Arial"/>
          <w:sz w:val="20"/>
          <w:szCs w:val="20"/>
        </w:rPr>
      </w:pPr>
      <w:bookmarkStart w:name="_DV_M753" w:id="1141"/>
      <w:bookmarkEnd w:id="1141"/>
    </w:p>
    <w:p w:rsidRPr="002D2A8F" w:rsidR="002D54C4" w:rsidP="00777BBC" w:rsidRDefault="002D54C4" w14:paraId="16814513" w14:textId="77777777">
      <w:pPr>
        <w:tabs>
          <w:tab w:val="left" w:pos="2160"/>
        </w:tabs>
        <w:spacing w:after="0" w:line="20" w:lineRule="atLeast"/>
        <w:rPr>
          <w:rFonts w:ascii="Arial" w:hAnsi="Arial" w:eastAsia="Times New Roman" w:cs="Arial"/>
          <w:sz w:val="20"/>
          <w:szCs w:val="20"/>
          <w:u w:val="single"/>
        </w:rPr>
      </w:pPr>
      <w:r w:rsidRPr="002D2A8F">
        <w:rPr>
          <w:rFonts w:ascii="Arial" w:hAnsi="Arial" w:eastAsia="Times New Roman" w:cs="Arial"/>
          <w:sz w:val="20"/>
          <w:szCs w:val="20"/>
        </w:rPr>
        <w:t>Address:</w:t>
      </w:r>
      <w:r w:rsidRPr="002D2A8F">
        <w:rPr>
          <w:rFonts w:ascii="Arial" w:hAnsi="Arial" w:eastAsia="Times New Roman" w:cs="Arial"/>
          <w:sz w:val="20"/>
          <w:szCs w:val="20"/>
        </w:rPr>
        <w:tab/>
      </w:r>
      <w:r w:rsidRPr="002D2A8F">
        <w:rPr>
          <w:rFonts w:ascii="Arial" w:hAnsi="Arial" w:eastAsia="Times New Roman" w:cs="Arial"/>
          <w:sz w:val="20"/>
          <w:szCs w:val="20"/>
          <w:u w:val="single"/>
        </w:rPr>
        <w:tab/>
      </w:r>
      <w:r w:rsidRPr="002D2A8F">
        <w:rPr>
          <w:rFonts w:ascii="Arial" w:hAnsi="Arial" w:eastAsia="Times New Roman" w:cs="Arial"/>
          <w:sz w:val="20"/>
          <w:szCs w:val="20"/>
          <w:u w:val="single"/>
        </w:rPr>
        <w:tab/>
      </w:r>
      <w:r w:rsidRPr="002D2A8F">
        <w:rPr>
          <w:rFonts w:ascii="Arial" w:hAnsi="Arial" w:eastAsia="Times New Roman" w:cs="Arial"/>
          <w:sz w:val="20"/>
          <w:szCs w:val="20"/>
          <w:u w:val="single"/>
        </w:rPr>
        <w:tab/>
      </w:r>
      <w:r w:rsidRPr="002D2A8F">
        <w:rPr>
          <w:rFonts w:ascii="Arial" w:hAnsi="Arial" w:eastAsia="Times New Roman" w:cs="Arial"/>
          <w:sz w:val="20"/>
          <w:szCs w:val="20"/>
          <w:u w:val="single"/>
        </w:rPr>
        <w:tab/>
      </w:r>
      <w:r w:rsidRPr="002D2A8F">
        <w:rPr>
          <w:rFonts w:ascii="Arial" w:hAnsi="Arial" w:eastAsia="Times New Roman" w:cs="Arial"/>
          <w:sz w:val="20"/>
          <w:szCs w:val="20"/>
          <w:u w:val="single"/>
        </w:rPr>
        <w:tab/>
      </w:r>
      <w:r w:rsidRPr="002D2A8F">
        <w:rPr>
          <w:rFonts w:ascii="Arial" w:hAnsi="Arial" w:eastAsia="Times New Roman" w:cs="Arial"/>
          <w:sz w:val="20"/>
          <w:szCs w:val="20"/>
          <w:u w:val="single"/>
        </w:rPr>
        <w:tab/>
      </w:r>
      <w:r w:rsidRPr="002D2A8F">
        <w:rPr>
          <w:rFonts w:ascii="Arial" w:hAnsi="Arial" w:eastAsia="Times New Roman" w:cs="Arial"/>
          <w:sz w:val="20"/>
          <w:szCs w:val="20"/>
          <w:u w:val="single"/>
        </w:rPr>
        <w:tab/>
      </w:r>
    </w:p>
    <w:p w:rsidRPr="002D2A8F" w:rsidR="002D54C4" w:rsidP="00777BBC" w:rsidRDefault="002D54C4" w14:paraId="7843AD69" w14:textId="77777777">
      <w:pPr>
        <w:spacing w:after="0" w:line="20" w:lineRule="atLeast"/>
        <w:rPr>
          <w:rFonts w:ascii="Arial" w:hAnsi="Arial" w:eastAsia="Times New Roman" w:cs="Arial"/>
          <w:sz w:val="20"/>
          <w:szCs w:val="20"/>
        </w:rPr>
      </w:pPr>
    </w:p>
    <w:p w:rsidRPr="002D2A8F" w:rsidR="002D54C4" w:rsidP="00777BBC" w:rsidRDefault="002D54C4" w14:paraId="5760883C" w14:textId="77777777">
      <w:pPr>
        <w:tabs>
          <w:tab w:val="left" w:pos="2160"/>
        </w:tabs>
        <w:spacing w:after="0" w:line="20" w:lineRule="atLeast"/>
        <w:rPr>
          <w:rFonts w:ascii="Arial" w:hAnsi="Arial" w:eastAsia="Times New Roman" w:cs="Arial"/>
          <w:sz w:val="20"/>
          <w:szCs w:val="20"/>
        </w:rPr>
      </w:pPr>
      <w:bookmarkStart w:name="_DV_M754" w:id="1142"/>
      <w:bookmarkEnd w:id="1142"/>
      <w:r w:rsidRPr="002D2A8F">
        <w:rPr>
          <w:rFonts w:ascii="Arial" w:hAnsi="Arial" w:eastAsia="Times New Roman" w:cs="Arial"/>
          <w:sz w:val="20"/>
          <w:szCs w:val="20"/>
        </w:rPr>
        <w:t>“Beneficiary”:</w:t>
      </w:r>
      <w:r w:rsidRPr="002D2A8F">
        <w:rPr>
          <w:rFonts w:ascii="Arial" w:hAnsi="Arial" w:eastAsia="Times New Roman" w:cs="Arial"/>
          <w:sz w:val="20"/>
          <w:szCs w:val="20"/>
        </w:rPr>
        <w:tab/>
        <w:t>Georgia Power Company</w:t>
      </w:r>
    </w:p>
    <w:p w:rsidRPr="002D2A8F" w:rsidR="002D54C4" w:rsidP="00777BBC" w:rsidRDefault="002D54C4" w14:paraId="2D573FA3" w14:textId="77777777">
      <w:pPr>
        <w:tabs>
          <w:tab w:val="left" w:pos="2160"/>
        </w:tabs>
        <w:spacing w:after="0" w:line="20" w:lineRule="atLeast"/>
        <w:rPr>
          <w:rFonts w:ascii="Arial" w:hAnsi="Arial" w:eastAsia="Times New Roman" w:cs="Arial"/>
          <w:sz w:val="20"/>
          <w:szCs w:val="20"/>
        </w:rPr>
      </w:pPr>
    </w:p>
    <w:p w:rsidRPr="002D2A8F" w:rsidR="002D54C4" w:rsidP="00777BBC" w:rsidRDefault="002D54C4" w14:paraId="073121E4" w14:textId="5BA533A4">
      <w:pPr>
        <w:tabs>
          <w:tab w:val="left" w:pos="2160"/>
        </w:tabs>
        <w:spacing w:after="0" w:line="20" w:lineRule="atLeast"/>
        <w:rPr>
          <w:rFonts w:ascii="Arial" w:hAnsi="Arial" w:eastAsia="Times New Roman" w:cs="Arial"/>
          <w:sz w:val="20"/>
          <w:szCs w:val="20"/>
        </w:rPr>
      </w:pPr>
      <w:bookmarkStart w:name="_DV_M755" w:id="1143"/>
      <w:bookmarkEnd w:id="1143"/>
      <w:r w:rsidRPr="002D2A8F">
        <w:rPr>
          <w:rFonts w:ascii="Arial" w:hAnsi="Arial" w:eastAsia="Times New Roman" w:cs="Arial"/>
          <w:sz w:val="20"/>
          <w:szCs w:val="20"/>
        </w:rPr>
        <w:t xml:space="preserve">Address: </w:t>
      </w:r>
      <w:r w:rsidRPr="002D2A8F">
        <w:rPr>
          <w:rFonts w:ascii="Arial" w:hAnsi="Arial" w:eastAsia="Times New Roman" w:cs="Arial"/>
          <w:sz w:val="20"/>
          <w:szCs w:val="20"/>
        </w:rPr>
        <w:tab/>
      </w:r>
      <w:r w:rsidRPr="002D2A8F" w:rsidR="003449F6">
        <w:rPr>
          <w:rFonts w:ascii="Arial" w:hAnsi="Arial" w:eastAsia="Times New Roman" w:cs="Arial"/>
          <w:sz w:val="20"/>
          <w:szCs w:val="20"/>
        </w:rPr>
        <w:t>c/o</w:t>
      </w:r>
      <w:r w:rsidRPr="002D2A8F">
        <w:rPr>
          <w:rFonts w:ascii="Arial" w:hAnsi="Arial" w:eastAsia="Times New Roman" w:cs="Arial"/>
          <w:sz w:val="20"/>
          <w:szCs w:val="20"/>
        </w:rPr>
        <w:t xml:space="preserve"> Southern Company Services, Inc.</w:t>
      </w:r>
    </w:p>
    <w:p w:rsidRPr="002D2A8F" w:rsidR="002D54C4" w:rsidP="00777BBC" w:rsidRDefault="002D54C4" w14:paraId="02EDDADC" w14:textId="77777777">
      <w:pPr>
        <w:tabs>
          <w:tab w:val="left" w:pos="2160"/>
        </w:tabs>
        <w:spacing w:after="0" w:line="20" w:lineRule="atLeast"/>
        <w:rPr>
          <w:rFonts w:ascii="Arial" w:hAnsi="Arial" w:eastAsia="Times New Roman" w:cs="Arial"/>
          <w:sz w:val="20"/>
          <w:szCs w:val="20"/>
        </w:rPr>
      </w:pPr>
      <w:bookmarkStart w:name="_DV_M756" w:id="1144"/>
      <w:bookmarkEnd w:id="1144"/>
      <w:r w:rsidRPr="002D2A8F">
        <w:rPr>
          <w:rFonts w:ascii="Arial" w:hAnsi="Arial" w:eastAsia="Times New Roman" w:cs="Arial"/>
          <w:sz w:val="20"/>
          <w:szCs w:val="20"/>
        </w:rPr>
        <w:tab/>
        <w:t xml:space="preserve">Attn: Assistant Treasurer </w:t>
      </w:r>
    </w:p>
    <w:p w:rsidRPr="002D2A8F" w:rsidR="002D54C4" w:rsidP="00777BBC" w:rsidRDefault="002D54C4" w14:paraId="79F1D1C8" w14:textId="77777777">
      <w:pPr>
        <w:tabs>
          <w:tab w:val="left" w:pos="2160"/>
        </w:tabs>
        <w:spacing w:after="0" w:line="20" w:lineRule="atLeast"/>
        <w:rPr>
          <w:rFonts w:ascii="Arial" w:hAnsi="Arial" w:eastAsia="Times New Roman" w:cs="Arial"/>
          <w:sz w:val="20"/>
          <w:szCs w:val="20"/>
        </w:rPr>
      </w:pPr>
      <w:r w:rsidRPr="002D2A8F">
        <w:rPr>
          <w:rFonts w:ascii="Arial" w:hAnsi="Arial" w:eastAsia="Times New Roman" w:cs="Arial"/>
          <w:sz w:val="20"/>
          <w:szCs w:val="20"/>
        </w:rPr>
        <w:tab/>
        <w:t>BIN SC1407</w:t>
      </w:r>
    </w:p>
    <w:p w:rsidRPr="002D2A8F" w:rsidR="002D54C4" w:rsidP="00777BBC" w:rsidRDefault="002D54C4" w14:paraId="4D09D7C6" w14:textId="77777777">
      <w:pPr>
        <w:tabs>
          <w:tab w:val="left" w:pos="2160"/>
        </w:tabs>
        <w:spacing w:after="0" w:line="20" w:lineRule="atLeast"/>
        <w:rPr>
          <w:rFonts w:ascii="Arial" w:hAnsi="Arial" w:eastAsia="Times New Roman" w:cs="Arial"/>
          <w:sz w:val="20"/>
          <w:szCs w:val="20"/>
        </w:rPr>
      </w:pPr>
      <w:r w:rsidRPr="002D2A8F">
        <w:rPr>
          <w:rFonts w:ascii="Arial" w:hAnsi="Arial" w:eastAsia="Times New Roman" w:cs="Arial"/>
          <w:sz w:val="20"/>
          <w:szCs w:val="20"/>
        </w:rPr>
        <w:tab/>
        <w:t>30 Ivan Allen Jr. Blvd., NW</w:t>
      </w:r>
    </w:p>
    <w:p w:rsidRPr="002D2A8F" w:rsidR="002D54C4" w:rsidP="00777BBC" w:rsidRDefault="002D54C4" w14:paraId="0DA7A9EA" w14:textId="77777777">
      <w:pPr>
        <w:tabs>
          <w:tab w:val="left" w:pos="2160"/>
        </w:tabs>
        <w:spacing w:after="0" w:line="20" w:lineRule="atLeast"/>
        <w:rPr>
          <w:rFonts w:ascii="Arial" w:hAnsi="Arial" w:eastAsia="Times New Roman" w:cs="Arial"/>
          <w:sz w:val="20"/>
          <w:szCs w:val="20"/>
        </w:rPr>
      </w:pPr>
      <w:bookmarkStart w:name="_DV_M757" w:id="1145"/>
      <w:bookmarkEnd w:id="1145"/>
      <w:r w:rsidRPr="002D2A8F">
        <w:rPr>
          <w:rFonts w:ascii="Arial" w:hAnsi="Arial" w:eastAsia="Times New Roman" w:cs="Arial"/>
          <w:sz w:val="20"/>
          <w:szCs w:val="20"/>
        </w:rPr>
        <w:tab/>
      </w:r>
      <w:bookmarkStart w:name="_DV_M758" w:id="1146"/>
      <w:bookmarkStart w:name="_DV_M759" w:id="1147"/>
      <w:bookmarkEnd w:id="1146"/>
      <w:bookmarkEnd w:id="1147"/>
      <w:r w:rsidRPr="002D2A8F">
        <w:rPr>
          <w:rFonts w:ascii="Arial" w:hAnsi="Arial" w:eastAsia="Times New Roman" w:cs="Arial"/>
          <w:sz w:val="20"/>
          <w:szCs w:val="20"/>
        </w:rPr>
        <w:t>Atlanta, GA 30308</w:t>
      </w:r>
    </w:p>
    <w:p w:rsidRPr="002D2A8F" w:rsidR="002D54C4" w:rsidP="001B44C0" w:rsidRDefault="002D54C4" w14:paraId="5584C3DC" w14:textId="6FB56F99">
      <w:pPr>
        <w:spacing w:after="0" w:line="20" w:lineRule="atLeast"/>
        <w:rPr>
          <w:rFonts w:ascii="Arial" w:hAnsi="Arial" w:eastAsia="Times New Roman" w:cs="Arial"/>
          <w:sz w:val="20"/>
          <w:szCs w:val="20"/>
        </w:rPr>
      </w:pPr>
      <w:bookmarkStart w:name="_DV_M760" w:id="1148"/>
      <w:bookmarkEnd w:id="1148"/>
      <w:r w:rsidRPr="002D2A8F">
        <w:rPr>
          <w:rFonts w:ascii="Arial" w:hAnsi="Arial" w:eastAsia="Times New Roman" w:cs="Arial"/>
          <w:sz w:val="20"/>
          <w:szCs w:val="20"/>
        </w:rPr>
        <w:t xml:space="preserve"> </w:t>
      </w:r>
      <w:bookmarkStart w:name="_DV_M761" w:id="1149"/>
      <w:bookmarkEnd w:id="1149"/>
    </w:p>
    <w:p w:rsidRPr="002D2A8F" w:rsidR="002D54C4" w:rsidP="00777BBC" w:rsidRDefault="002D54C4" w14:paraId="615AAE87" w14:textId="77777777">
      <w:pPr>
        <w:tabs>
          <w:tab w:val="left" w:pos="2160"/>
        </w:tabs>
        <w:spacing w:after="0" w:line="20" w:lineRule="atLeast"/>
        <w:rPr>
          <w:rFonts w:ascii="Arial" w:hAnsi="Arial" w:eastAsia="Times New Roman" w:cs="Arial"/>
          <w:sz w:val="20"/>
          <w:szCs w:val="20"/>
          <w:u w:val="single"/>
        </w:rPr>
      </w:pPr>
      <w:r w:rsidRPr="002D2A8F">
        <w:rPr>
          <w:rFonts w:ascii="Arial" w:hAnsi="Arial" w:eastAsia="Times New Roman" w:cs="Arial"/>
          <w:sz w:val="20"/>
          <w:szCs w:val="20"/>
        </w:rPr>
        <w:t xml:space="preserve">“Account Party”: </w:t>
      </w:r>
      <w:r w:rsidRPr="002D2A8F">
        <w:rPr>
          <w:rFonts w:ascii="Arial" w:hAnsi="Arial" w:eastAsia="Times New Roman" w:cs="Arial"/>
          <w:sz w:val="20"/>
          <w:szCs w:val="20"/>
        </w:rPr>
        <w:tab/>
      </w:r>
      <w:r w:rsidRPr="002D2A8F">
        <w:rPr>
          <w:rFonts w:ascii="Arial" w:hAnsi="Arial" w:eastAsia="Times New Roman" w:cs="Arial"/>
          <w:sz w:val="20"/>
          <w:szCs w:val="20"/>
          <w:u w:val="single"/>
        </w:rPr>
        <w:tab/>
      </w:r>
      <w:r w:rsidRPr="002D2A8F">
        <w:rPr>
          <w:rFonts w:ascii="Arial" w:hAnsi="Arial" w:eastAsia="Times New Roman" w:cs="Arial"/>
          <w:sz w:val="20"/>
          <w:szCs w:val="20"/>
          <w:u w:val="single"/>
        </w:rPr>
        <w:tab/>
      </w:r>
      <w:r w:rsidRPr="002D2A8F">
        <w:rPr>
          <w:rFonts w:ascii="Arial" w:hAnsi="Arial" w:eastAsia="Times New Roman" w:cs="Arial"/>
          <w:sz w:val="20"/>
          <w:szCs w:val="20"/>
          <w:u w:val="single"/>
        </w:rPr>
        <w:tab/>
      </w:r>
      <w:r w:rsidRPr="002D2A8F">
        <w:rPr>
          <w:rFonts w:ascii="Arial" w:hAnsi="Arial" w:eastAsia="Times New Roman" w:cs="Arial"/>
          <w:sz w:val="20"/>
          <w:szCs w:val="20"/>
          <w:u w:val="single"/>
        </w:rPr>
        <w:tab/>
      </w:r>
      <w:r w:rsidRPr="002D2A8F">
        <w:rPr>
          <w:rFonts w:ascii="Arial" w:hAnsi="Arial" w:eastAsia="Times New Roman" w:cs="Arial"/>
          <w:sz w:val="20"/>
          <w:szCs w:val="20"/>
          <w:u w:val="single"/>
        </w:rPr>
        <w:tab/>
      </w:r>
      <w:r w:rsidRPr="002D2A8F">
        <w:rPr>
          <w:rFonts w:ascii="Arial" w:hAnsi="Arial" w:eastAsia="Times New Roman" w:cs="Arial"/>
          <w:sz w:val="20"/>
          <w:szCs w:val="20"/>
          <w:u w:val="single"/>
        </w:rPr>
        <w:tab/>
      </w:r>
      <w:r w:rsidRPr="002D2A8F">
        <w:rPr>
          <w:rFonts w:ascii="Arial" w:hAnsi="Arial" w:eastAsia="Times New Roman" w:cs="Arial"/>
          <w:sz w:val="20"/>
          <w:szCs w:val="20"/>
          <w:u w:val="single"/>
        </w:rPr>
        <w:tab/>
      </w:r>
    </w:p>
    <w:p w:rsidRPr="002D2A8F" w:rsidR="002D54C4" w:rsidP="00777BBC" w:rsidRDefault="002D54C4" w14:paraId="6EE6688D" w14:textId="77777777">
      <w:pPr>
        <w:tabs>
          <w:tab w:val="left" w:pos="2160"/>
        </w:tabs>
        <w:spacing w:after="0" w:line="20" w:lineRule="atLeast"/>
        <w:rPr>
          <w:rFonts w:ascii="Arial" w:hAnsi="Arial" w:eastAsia="Times New Roman" w:cs="Arial"/>
          <w:sz w:val="20"/>
          <w:szCs w:val="20"/>
        </w:rPr>
      </w:pPr>
      <w:bookmarkStart w:name="_DV_M762" w:id="1150"/>
      <w:bookmarkEnd w:id="1150"/>
    </w:p>
    <w:p w:rsidRPr="002D2A8F" w:rsidR="002D54C4" w:rsidP="00777BBC" w:rsidRDefault="002D54C4" w14:paraId="1845DE90" w14:textId="77777777">
      <w:pPr>
        <w:tabs>
          <w:tab w:val="left" w:pos="2160"/>
        </w:tabs>
        <w:spacing w:after="0" w:line="20" w:lineRule="atLeast"/>
        <w:rPr>
          <w:rFonts w:ascii="Arial" w:hAnsi="Arial" w:eastAsia="Times New Roman" w:cs="Arial"/>
          <w:sz w:val="20"/>
          <w:szCs w:val="20"/>
        </w:rPr>
      </w:pPr>
      <w:r w:rsidRPr="002D2A8F">
        <w:rPr>
          <w:rFonts w:ascii="Arial" w:hAnsi="Arial" w:eastAsia="Times New Roman" w:cs="Arial"/>
          <w:sz w:val="20"/>
          <w:szCs w:val="20"/>
        </w:rPr>
        <w:t>Address:</w:t>
      </w:r>
      <w:r w:rsidRPr="002D2A8F">
        <w:rPr>
          <w:rFonts w:ascii="Arial" w:hAnsi="Arial" w:eastAsia="Times New Roman" w:cs="Arial"/>
          <w:sz w:val="20"/>
          <w:szCs w:val="20"/>
        </w:rPr>
        <w:tab/>
      </w:r>
      <w:r w:rsidRPr="002D2A8F">
        <w:rPr>
          <w:rFonts w:ascii="Arial" w:hAnsi="Arial" w:eastAsia="Times New Roman" w:cs="Arial"/>
          <w:sz w:val="20"/>
          <w:szCs w:val="20"/>
          <w:u w:val="single"/>
        </w:rPr>
        <w:tab/>
      </w:r>
      <w:r w:rsidRPr="002D2A8F">
        <w:rPr>
          <w:rFonts w:ascii="Arial" w:hAnsi="Arial" w:eastAsia="Times New Roman" w:cs="Arial"/>
          <w:sz w:val="20"/>
          <w:szCs w:val="20"/>
          <w:u w:val="single"/>
        </w:rPr>
        <w:tab/>
      </w:r>
      <w:r w:rsidRPr="002D2A8F">
        <w:rPr>
          <w:rFonts w:ascii="Arial" w:hAnsi="Arial" w:eastAsia="Times New Roman" w:cs="Arial"/>
          <w:sz w:val="20"/>
          <w:szCs w:val="20"/>
          <w:u w:val="single"/>
        </w:rPr>
        <w:tab/>
      </w:r>
      <w:r w:rsidRPr="002D2A8F">
        <w:rPr>
          <w:rFonts w:ascii="Arial" w:hAnsi="Arial" w:eastAsia="Times New Roman" w:cs="Arial"/>
          <w:sz w:val="20"/>
          <w:szCs w:val="20"/>
          <w:u w:val="single"/>
        </w:rPr>
        <w:tab/>
      </w:r>
      <w:r w:rsidRPr="002D2A8F">
        <w:rPr>
          <w:rFonts w:ascii="Arial" w:hAnsi="Arial" w:eastAsia="Times New Roman" w:cs="Arial"/>
          <w:sz w:val="20"/>
          <w:szCs w:val="20"/>
          <w:u w:val="single"/>
        </w:rPr>
        <w:tab/>
      </w:r>
      <w:r w:rsidRPr="002D2A8F">
        <w:rPr>
          <w:rFonts w:ascii="Arial" w:hAnsi="Arial" w:eastAsia="Times New Roman" w:cs="Arial"/>
          <w:sz w:val="20"/>
          <w:szCs w:val="20"/>
          <w:u w:val="single"/>
        </w:rPr>
        <w:tab/>
      </w:r>
      <w:r w:rsidRPr="002D2A8F">
        <w:rPr>
          <w:rFonts w:ascii="Arial" w:hAnsi="Arial" w:eastAsia="Times New Roman" w:cs="Arial"/>
          <w:sz w:val="20"/>
          <w:szCs w:val="20"/>
          <w:u w:val="single"/>
        </w:rPr>
        <w:tab/>
      </w:r>
    </w:p>
    <w:p w:rsidRPr="002D2A8F" w:rsidR="002D54C4" w:rsidP="00777BBC" w:rsidRDefault="002D54C4" w14:paraId="4B77FF2C" w14:textId="77777777">
      <w:pPr>
        <w:spacing w:after="0" w:line="20" w:lineRule="atLeast"/>
        <w:rPr>
          <w:rFonts w:ascii="Arial" w:hAnsi="Arial" w:eastAsia="Times New Roman" w:cs="Arial"/>
          <w:sz w:val="20"/>
          <w:szCs w:val="20"/>
        </w:rPr>
      </w:pPr>
    </w:p>
    <w:p w:rsidRPr="002D2A8F" w:rsidR="002D54C4" w:rsidP="00777BBC" w:rsidRDefault="002D54C4" w14:paraId="5585120D" w14:textId="77777777">
      <w:pPr>
        <w:spacing w:after="0" w:line="20" w:lineRule="atLeast"/>
        <w:ind w:left="2160" w:hanging="2160"/>
        <w:rPr>
          <w:rFonts w:ascii="Arial" w:hAnsi="Arial" w:eastAsia="Times New Roman" w:cs="Arial"/>
          <w:sz w:val="20"/>
          <w:szCs w:val="20"/>
        </w:rPr>
      </w:pPr>
      <w:bookmarkStart w:name="_DV_M763" w:id="1151"/>
      <w:bookmarkEnd w:id="1151"/>
      <w:r w:rsidRPr="002D2A8F">
        <w:rPr>
          <w:rFonts w:ascii="Arial" w:hAnsi="Arial" w:eastAsia="Times New Roman" w:cs="Arial"/>
          <w:sz w:val="20"/>
          <w:szCs w:val="20"/>
        </w:rPr>
        <w:t>“Expiry Date”:</w:t>
      </w:r>
      <w:r w:rsidRPr="002D2A8F">
        <w:rPr>
          <w:rFonts w:ascii="Arial" w:hAnsi="Arial" w:eastAsia="Times New Roman" w:cs="Arial"/>
          <w:sz w:val="20"/>
          <w:szCs w:val="20"/>
        </w:rPr>
        <w:tab/>
        <w:t xml:space="preserve">______________, 20__, and any automatically extended date, as herein provided </w:t>
      </w:r>
      <w:r w:rsidRPr="004A7BE4">
        <w:rPr>
          <w:rFonts w:ascii="Arial" w:hAnsi="Arial" w:eastAsia="Times New Roman" w:cs="Arial"/>
          <w:sz w:val="20"/>
          <w:szCs w:val="20"/>
          <w:highlight w:val="yellow"/>
        </w:rPr>
        <w:t>[(but in no event later than _____________, 20__)]</w:t>
      </w:r>
    </w:p>
    <w:p w:rsidRPr="002D2A8F" w:rsidR="002D54C4" w:rsidP="00777BBC" w:rsidRDefault="002D54C4" w14:paraId="6D12591B" w14:textId="77777777">
      <w:pPr>
        <w:spacing w:after="0" w:line="20" w:lineRule="atLeast"/>
        <w:rPr>
          <w:rFonts w:ascii="Arial" w:hAnsi="Arial" w:eastAsia="Times New Roman" w:cs="Arial"/>
          <w:sz w:val="20"/>
          <w:szCs w:val="20"/>
        </w:rPr>
      </w:pPr>
    </w:p>
    <w:p w:rsidRPr="002D2A8F" w:rsidR="002D54C4" w:rsidP="00777BBC" w:rsidRDefault="002D54C4" w14:paraId="73F15F96" w14:textId="77777777">
      <w:pPr>
        <w:tabs>
          <w:tab w:val="left" w:pos="2160"/>
        </w:tabs>
        <w:spacing w:after="0" w:line="20" w:lineRule="atLeast"/>
        <w:rPr>
          <w:rFonts w:ascii="Arial" w:hAnsi="Arial" w:eastAsia="Times New Roman" w:cs="Arial"/>
          <w:sz w:val="20"/>
          <w:szCs w:val="20"/>
        </w:rPr>
      </w:pPr>
      <w:bookmarkStart w:name="_DV_M764" w:id="1152"/>
      <w:bookmarkEnd w:id="1152"/>
      <w:r w:rsidRPr="002D2A8F">
        <w:rPr>
          <w:rFonts w:ascii="Arial" w:hAnsi="Arial" w:eastAsia="Times New Roman" w:cs="Arial"/>
          <w:sz w:val="20"/>
          <w:szCs w:val="20"/>
        </w:rPr>
        <w:t>“Total Amount”:</w:t>
      </w:r>
      <w:r w:rsidRPr="002D2A8F">
        <w:rPr>
          <w:rFonts w:ascii="Arial" w:hAnsi="Arial" w:eastAsia="Times New Roman" w:cs="Arial"/>
          <w:sz w:val="20"/>
          <w:szCs w:val="20"/>
        </w:rPr>
        <w:tab/>
      </w:r>
      <w:r w:rsidRPr="002D2A8F">
        <w:rPr>
          <w:rFonts w:ascii="Arial" w:hAnsi="Arial" w:eastAsia="Times New Roman" w:cs="Arial"/>
          <w:sz w:val="20"/>
          <w:szCs w:val="20"/>
          <w:u w:val="single"/>
        </w:rPr>
        <w:tab/>
      </w:r>
      <w:r w:rsidRPr="002D2A8F">
        <w:rPr>
          <w:rFonts w:ascii="Arial" w:hAnsi="Arial" w:eastAsia="Times New Roman" w:cs="Arial"/>
          <w:sz w:val="20"/>
          <w:szCs w:val="20"/>
          <w:u w:val="single"/>
        </w:rPr>
        <w:tab/>
      </w:r>
      <w:r w:rsidRPr="002D2A8F">
        <w:rPr>
          <w:rFonts w:ascii="Arial" w:hAnsi="Arial" w:eastAsia="Times New Roman" w:cs="Arial"/>
          <w:sz w:val="20"/>
          <w:szCs w:val="20"/>
        </w:rPr>
        <w:t>United States Dollars (U.S. $_____________)</w:t>
      </w:r>
    </w:p>
    <w:p w:rsidRPr="002D2A8F" w:rsidR="002D54C4" w:rsidP="00777BBC" w:rsidRDefault="002D54C4" w14:paraId="0DECE439" w14:textId="77777777">
      <w:pPr>
        <w:spacing w:after="0" w:line="20" w:lineRule="atLeast"/>
        <w:rPr>
          <w:rFonts w:ascii="Arial" w:hAnsi="Arial" w:eastAsia="Times New Roman" w:cs="Arial"/>
          <w:sz w:val="20"/>
          <w:szCs w:val="20"/>
        </w:rPr>
      </w:pPr>
    </w:p>
    <w:p w:rsidRPr="002D2A8F" w:rsidR="002D54C4" w:rsidP="00777BBC" w:rsidRDefault="002D54C4" w14:paraId="53FC1361" w14:textId="77777777">
      <w:pPr>
        <w:spacing w:after="0" w:line="20" w:lineRule="atLeast"/>
        <w:jc w:val="both"/>
        <w:rPr>
          <w:rFonts w:ascii="Arial" w:hAnsi="Arial" w:eastAsia="Times New Roman" w:cs="Arial"/>
          <w:sz w:val="20"/>
          <w:szCs w:val="20"/>
        </w:rPr>
      </w:pPr>
    </w:p>
    <w:p w:rsidRPr="002D2A8F" w:rsidR="006408A8" w:rsidP="00777BBC" w:rsidRDefault="006408A8" w14:paraId="243C1E37" w14:textId="77777777">
      <w:pPr>
        <w:spacing w:after="0" w:line="20" w:lineRule="atLeast"/>
        <w:jc w:val="both"/>
        <w:rPr>
          <w:rFonts w:ascii="Arial" w:hAnsi="Arial" w:eastAsia="Times New Roman" w:cs="Arial"/>
          <w:sz w:val="20"/>
          <w:szCs w:val="20"/>
        </w:rPr>
      </w:pPr>
      <w:bookmarkStart w:name="_DV_M765" w:id="1153"/>
      <w:bookmarkEnd w:id="1153"/>
    </w:p>
    <w:p w:rsidRPr="002D2A8F" w:rsidR="002D54C4" w:rsidP="00DD6C59" w:rsidRDefault="002D54C4" w14:paraId="088064AE" w14:textId="77777777">
      <w:pPr>
        <w:spacing w:line="240" w:lineRule="auto"/>
        <w:jc w:val="both"/>
        <w:rPr>
          <w:rFonts w:ascii="Arial" w:hAnsi="Arial" w:eastAsia="Times New Roman" w:cs="Arial"/>
          <w:spacing w:val="-4"/>
          <w:sz w:val="20"/>
          <w:szCs w:val="20"/>
        </w:rPr>
      </w:pPr>
      <w:r w:rsidRPr="002D2A8F">
        <w:rPr>
          <w:rFonts w:ascii="Arial" w:hAnsi="Arial" w:eastAsia="Times New Roman" w:cs="Arial"/>
          <w:spacing w:val="-4"/>
          <w:sz w:val="20"/>
          <w:szCs w:val="20"/>
        </w:rPr>
        <w:t>We, the Issuer, hereby establish in your favor, for the account of the Account Party, our irrevocable standby letter of credit (“</w:t>
      </w:r>
      <w:r w:rsidRPr="002D2A8F">
        <w:rPr>
          <w:rFonts w:ascii="Arial" w:hAnsi="Arial" w:eastAsia="Times New Roman" w:cs="Arial"/>
          <w:b/>
          <w:spacing w:val="-4"/>
          <w:sz w:val="20"/>
          <w:szCs w:val="20"/>
        </w:rPr>
        <w:t>Standby Letter of Credit</w:t>
      </w:r>
      <w:r w:rsidRPr="002D2A8F">
        <w:rPr>
          <w:rFonts w:ascii="Arial" w:hAnsi="Arial" w:eastAsia="Times New Roman" w:cs="Arial"/>
          <w:spacing w:val="-4"/>
          <w:sz w:val="20"/>
          <w:szCs w:val="20"/>
        </w:rPr>
        <w:t>”), in the aggregate amount not exceeding the Total Amount.</w:t>
      </w:r>
    </w:p>
    <w:p w:rsidRPr="002D2A8F" w:rsidR="002D54C4" w:rsidP="00DD6C59" w:rsidRDefault="002D54C4" w14:paraId="40A32507" w14:textId="77777777">
      <w:pPr>
        <w:spacing w:line="240" w:lineRule="auto"/>
        <w:jc w:val="both"/>
        <w:rPr>
          <w:rFonts w:ascii="Arial" w:hAnsi="Arial" w:eastAsia="Times New Roman" w:cs="Arial"/>
          <w:spacing w:val="-4"/>
          <w:sz w:val="20"/>
          <w:szCs w:val="20"/>
        </w:rPr>
      </w:pPr>
      <w:bookmarkStart w:name="_DV_M766" w:id="1154"/>
      <w:bookmarkEnd w:id="1154"/>
      <w:r w:rsidRPr="002D2A8F">
        <w:rPr>
          <w:rFonts w:ascii="Arial" w:hAnsi="Arial" w:eastAsia="Times New Roman" w:cs="Arial"/>
          <w:spacing w:val="-4"/>
          <w:sz w:val="20"/>
          <w:szCs w:val="20"/>
        </w:rPr>
        <w:t>Funds under this Standby Letter of Credit are available to you on or before the Expiry Date by presentation of your demand signed by one of your officers or authorized representatives, and delivered to us in substantially the form attached as Annex 1 (</w:t>
      </w:r>
      <w:r w:rsidRPr="002D2A8F">
        <w:rPr>
          <w:rFonts w:ascii="Arial" w:hAnsi="Arial" w:eastAsia="Times New Roman" w:cs="Arial"/>
          <w:i/>
          <w:spacing w:val="-4"/>
          <w:sz w:val="20"/>
          <w:szCs w:val="20"/>
        </w:rPr>
        <w:t>Form of Sight Draft</w:t>
      </w:r>
      <w:r w:rsidRPr="002D2A8F">
        <w:rPr>
          <w:rFonts w:ascii="Arial" w:hAnsi="Arial" w:eastAsia="Times New Roman" w:cs="Arial"/>
          <w:spacing w:val="-4"/>
          <w:sz w:val="20"/>
          <w:szCs w:val="20"/>
        </w:rPr>
        <w:t>) and referring thereon to the number and date of this Standby Letter of Credit, accompanied by a written and completed certificate signed by a person purporting to be one of your officers or authorized representatives, in the form attached as Annex 2 (</w:t>
      </w:r>
      <w:r w:rsidRPr="002D2A8F">
        <w:rPr>
          <w:rFonts w:ascii="Arial" w:hAnsi="Arial" w:eastAsia="Times New Roman" w:cs="Arial"/>
          <w:i/>
          <w:spacing w:val="-4"/>
          <w:sz w:val="20"/>
          <w:szCs w:val="20"/>
        </w:rPr>
        <w:t>Form of Certificate</w:t>
      </w:r>
      <w:r w:rsidRPr="002D2A8F">
        <w:rPr>
          <w:rFonts w:ascii="Arial" w:hAnsi="Arial" w:eastAsia="Times New Roman" w:cs="Arial"/>
          <w:spacing w:val="-4"/>
          <w:sz w:val="20"/>
          <w:szCs w:val="20"/>
        </w:rPr>
        <w:t>), with appropriate insertions.</w:t>
      </w:r>
    </w:p>
    <w:p w:rsidRPr="002D2A8F" w:rsidR="002D54C4" w:rsidP="00DD6C59" w:rsidRDefault="002D54C4" w14:paraId="4DD051C3" w14:textId="77777777">
      <w:pPr>
        <w:spacing w:line="240" w:lineRule="auto"/>
        <w:jc w:val="both"/>
        <w:rPr>
          <w:rFonts w:ascii="Arial" w:hAnsi="Arial" w:eastAsia="Times New Roman" w:cs="Arial"/>
          <w:spacing w:val="-4"/>
          <w:sz w:val="20"/>
          <w:szCs w:val="20"/>
        </w:rPr>
      </w:pPr>
      <w:bookmarkStart w:name="_DV_M767" w:id="1155"/>
      <w:bookmarkEnd w:id="1155"/>
      <w:r w:rsidRPr="002D2A8F">
        <w:rPr>
          <w:rFonts w:ascii="Arial" w:hAnsi="Arial" w:eastAsia="Times New Roman" w:cs="Arial"/>
          <w:spacing w:val="-4"/>
          <w:sz w:val="20"/>
          <w:szCs w:val="20"/>
        </w:rPr>
        <w:t>This Standby Letter of Credit is effective immediately and expires at 5:00 p.m. (Eastern Time) on the Expiry Date. It is a condition of this Standby Letter of Credit that the Expiry Date will be deemed automatically extended without amendment for a period of one year from the present or any future Expiry Date, unless we notify you not less than ninety (90) days prior to any such date, in accordance with the notice provisions set forth herein, that we have elected not to extend the Expiry Date for such additional period.</w:t>
      </w:r>
    </w:p>
    <w:p w:rsidRPr="002D2A8F" w:rsidR="002D54C4" w:rsidP="00DD6C59" w:rsidRDefault="002D54C4" w14:paraId="4BDD85F9" w14:textId="77777777">
      <w:pPr>
        <w:spacing w:line="240" w:lineRule="auto"/>
        <w:jc w:val="both"/>
        <w:rPr>
          <w:rFonts w:ascii="Arial" w:hAnsi="Arial" w:eastAsia="Times New Roman" w:cs="Arial"/>
          <w:spacing w:val="-4"/>
          <w:sz w:val="20"/>
          <w:szCs w:val="20"/>
        </w:rPr>
      </w:pPr>
      <w:bookmarkStart w:name="_DV_M768" w:id="1156"/>
      <w:bookmarkEnd w:id="1156"/>
      <w:r w:rsidRPr="002D2A8F">
        <w:rPr>
          <w:rFonts w:ascii="Arial" w:hAnsi="Arial" w:eastAsia="Times New Roman" w:cs="Arial"/>
          <w:spacing w:val="-4"/>
          <w:sz w:val="20"/>
          <w:szCs w:val="20"/>
        </w:rPr>
        <w:t xml:space="preserve">Delivery of demands and certificates will be made on any day that is a business day for us at or prior to 5:00 p.m. (Eastern Time) at our office located at __________, or at any other office in the United States of America that is designated by us in a written notice delivered to you. If such demand and such certificate are received at any such office on or prior to the Expiry Date, we hereby agree with you that we will duly honor the same within three (3) business days of such presentation. Notwithstanding the foregoing, you may demand payment under this Standby Letter of Credit by facsimile or electronic transmission when promptly confirmed by written demand; however, actual disbursement of funds </w:t>
      </w:r>
      <w:r w:rsidRPr="002D2A8F">
        <w:rPr>
          <w:rFonts w:ascii="Arial" w:hAnsi="Arial" w:eastAsia="Calibri" w:cs="Arial"/>
          <w:spacing w:val="-4"/>
          <w:sz w:val="20"/>
          <w:szCs w:val="20"/>
        </w:rPr>
        <w:t>under</w:t>
      </w:r>
      <w:r w:rsidRPr="002D2A8F">
        <w:rPr>
          <w:rFonts w:ascii="Arial" w:hAnsi="Arial" w:eastAsia="Times New Roman" w:cs="Arial"/>
          <w:spacing w:val="-4"/>
          <w:sz w:val="20"/>
          <w:szCs w:val="20"/>
        </w:rPr>
        <w:t xml:space="preserve"> a demand presented by facsimile or electronic transmission may not occur until we are presented with the original Standby Letter of Credit.</w:t>
      </w:r>
    </w:p>
    <w:p w:rsidRPr="002D2A8F" w:rsidR="002D54C4" w:rsidP="00DD6C59" w:rsidRDefault="002D54C4" w14:paraId="0C697D06" w14:textId="77777777">
      <w:pPr>
        <w:spacing w:line="240" w:lineRule="auto"/>
        <w:jc w:val="both"/>
        <w:rPr>
          <w:rFonts w:ascii="Arial" w:hAnsi="Arial" w:eastAsia="Times New Roman" w:cs="Arial"/>
          <w:spacing w:val="-4"/>
          <w:sz w:val="20"/>
          <w:szCs w:val="20"/>
        </w:rPr>
      </w:pPr>
      <w:bookmarkStart w:name="_DV_M769" w:id="1157"/>
      <w:bookmarkEnd w:id="1157"/>
      <w:r w:rsidRPr="002D2A8F">
        <w:rPr>
          <w:rFonts w:ascii="Arial" w:hAnsi="Arial" w:eastAsia="Times New Roman" w:cs="Arial"/>
          <w:spacing w:val="-4"/>
          <w:sz w:val="20"/>
          <w:szCs w:val="20"/>
        </w:rPr>
        <w:t xml:space="preserve">Partial drawings and multiple presentations may be made under this Standby Letter of Credit, </w:t>
      </w:r>
      <w:r w:rsidRPr="002D2A8F">
        <w:rPr>
          <w:rFonts w:ascii="Arial" w:hAnsi="Arial" w:eastAsia="Times New Roman" w:cs="Arial"/>
          <w:spacing w:val="-4"/>
          <w:sz w:val="20"/>
          <w:szCs w:val="20"/>
          <w:u w:val="single"/>
        </w:rPr>
        <w:t>provided</w:t>
      </w:r>
      <w:r w:rsidRPr="002D2A8F">
        <w:rPr>
          <w:rFonts w:ascii="Arial" w:hAnsi="Arial" w:eastAsia="Times New Roman" w:cs="Arial"/>
          <w:spacing w:val="-4"/>
          <w:sz w:val="20"/>
          <w:szCs w:val="20"/>
        </w:rPr>
        <w:t xml:space="preserve">, </w:t>
      </w:r>
      <w:r w:rsidRPr="002D2A8F">
        <w:rPr>
          <w:rFonts w:ascii="Arial" w:hAnsi="Arial" w:eastAsia="Times New Roman" w:cs="Arial"/>
          <w:spacing w:val="-4"/>
          <w:sz w:val="20"/>
          <w:szCs w:val="20"/>
          <w:u w:val="single"/>
        </w:rPr>
        <w:t>however</w:t>
      </w:r>
      <w:r w:rsidRPr="002D2A8F">
        <w:rPr>
          <w:rFonts w:ascii="Arial" w:hAnsi="Arial" w:eastAsia="Times New Roman" w:cs="Arial"/>
          <w:spacing w:val="-4"/>
          <w:sz w:val="20"/>
          <w:szCs w:val="20"/>
        </w:rPr>
        <w:t>, that each such demand that is paid by us will reduce the amount available under this Standby Letter of Credit.</w:t>
      </w:r>
    </w:p>
    <w:p w:rsidRPr="002D2A8F" w:rsidR="002D54C4" w:rsidP="00DD6C59" w:rsidRDefault="002D54C4" w14:paraId="45EE014F" w14:textId="77777777">
      <w:pPr>
        <w:spacing w:line="240" w:lineRule="auto"/>
        <w:jc w:val="both"/>
        <w:rPr>
          <w:rFonts w:ascii="Arial" w:hAnsi="Arial" w:eastAsia="Times New Roman" w:cs="Arial"/>
          <w:spacing w:val="-4"/>
          <w:sz w:val="20"/>
          <w:szCs w:val="20"/>
        </w:rPr>
      </w:pPr>
      <w:bookmarkStart w:name="_DV_M770" w:id="1158"/>
      <w:bookmarkEnd w:id="1158"/>
      <w:r w:rsidRPr="002D2A8F">
        <w:rPr>
          <w:rFonts w:ascii="Arial" w:hAnsi="Arial" w:eastAsia="Times New Roman" w:cs="Arial"/>
          <w:spacing w:val="-4"/>
          <w:sz w:val="20"/>
          <w:szCs w:val="20"/>
        </w:rPr>
        <w:lastRenderedPageBreak/>
        <w:t>Except as is expressly set forth herein, payment of demands made under this Standby Letter of Credit is not subject to any agreement, condition or qualification. The obligation of the Issuer under this Standby Letter of Credit is the individual obligation of the Issuer and is in no manner contingent upon reimbursement with respect thereto.</w:t>
      </w:r>
    </w:p>
    <w:p w:rsidRPr="002D2A8F" w:rsidR="002D54C4" w:rsidP="00DD6C59" w:rsidRDefault="002D54C4" w14:paraId="56B4FB08" w14:textId="77777777">
      <w:pPr>
        <w:spacing w:line="240" w:lineRule="auto"/>
        <w:jc w:val="both"/>
        <w:rPr>
          <w:rFonts w:ascii="Arial" w:hAnsi="Arial" w:eastAsia="Times New Roman" w:cs="Arial"/>
          <w:spacing w:val="-4"/>
          <w:sz w:val="20"/>
          <w:szCs w:val="20"/>
        </w:rPr>
      </w:pPr>
      <w:bookmarkStart w:name="_DV_M771" w:id="1159"/>
      <w:bookmarkEnd w:id="1159"/>
      <w:r w:rsidRPr="002D2A8F">
        <w:rPr>
          <w:rFonts w:ascii="Arial" w:hAnsi="Arial" w:eastAsia="Times New Roman" w:cs="Arial"/>
          <w:spacing w:val="-4"/>
          <w:sz w:val="20"/>
          <w:szCs w:val="20"/>
        </w:rPr>
        <w:t>Funds available for drawing under this Standby Letter of Credit may not directly or indirectly constitute funds or collateral deposited with the Beneficiary, or for the Issuer’s account by the Account Party, or pledged with or for the Issuer’s account by the Account Party.</w:t>
      </w:r>
    </w:p>
    <w:p w:rsidRPr="002D2A8F" w:rsidR="002D54C4" w:rsidP="00DD6C59" w:rsidRDefault="002D54C4" w14:paraId="780F38BF" w14:textId="77777777">
      <w:pPr>
        <w:spacing w:line="240" w:lineRule="auto"/>
        <w:jc w:val="both"/>
        <w:rPr>
          <w:rFonts w:ascii="Arial" w:hAnsi="Arial" w:eastAsia="Times New Roman" w:cs="Arial"/>
          <w:spacing w:val="-4"/>
          <w:sz w:val="20"/>
          <w:szCs w:val="20"/>
        </w:rPr>
      </w:pPr>
      <w:bookmarkStart w:name="_DV_M772" w:id="1160"/>
      <w:bookmarkEnd w:id="1160"/>
      <w:r w:rsidRPr="002D2A8F">
        <w:rPr>
          <w:rFonts w:ascii="Arial" w:hAnsi="Arial" w:eastAsia="Times New Roman" w:cs="Arial"/>
          <w:spacing w:val="-4"/>
          <w:sz w:val="20"/>
          <w:szCs w:val="20"/>
        </w:rPr>
        <w:t>This Standby Letter of Credit is transferable and can be successively transferred to any transferee that Beneficiary states in writing to us has succeeded such Beneficiary under this Letter of Credit; provided that such transfer to such transferee is in compliance with applicable U.S. laws and regulations. Transfer of this Standby Letter of Credit to any transferee will be effected by the presentation to us of this Standby Letter of Credit accompanied by a certificate in the form attached as Annex 3 (</w:t>
      </w:r>
      <w:r w:rsidRPr="002D2A8F">
        <w:rPr>
          <w:rFonts w:ascii="Arial" w:hAnsi="Arial" w:eastAsia="Times New Roman" w:cs="Arial"/>
          <w:i/>
          <w:spacing w:val="-4"/>
          <w:sz w:val="20"/>
          <w:szCs w:val="20"/>
        </w:rPr>
        <w:t>Form of Instruction to Assign in Entirety</w:t>
      </w:r>
      <w:r w:rsidRPr="002D2A8F">
        <w:rPr>
          <w:rFonts w:ascii="Arial" w:hAnsi="Arial" w:eastAsia="Times New Roman" w:cs="Arial"/>
          <w:spacing w:val="-4"/>
          <w:sz w:val="20"/>
          <w:szCs w:val="20"/>
        </w:rPr>
        <w:t>), with appropriate insertions, signed by a person purporting to be an officer or authorized representative of the Beneficiary. Upon such presentation, we will forthwith issue an irrevocable letter of credit to such transferee with provisions therein consistent with this Standby Letter of Credit.</w:t>
      </w:r>
    </w:p>
    <w:p w:rsidRPr="002D2A8F" w:rsidR="002D54C4" w:rsidP="00DD6C59" w:rsidRDefault="002D54C4" w14:paraId="7B00E53A" w14:textId="77777777">
      <w:pPr>
        <w:spacing w:line="240" w:lineRule="auto"/>
        <w:jc w:val="both"/>
        <w:rPr>
          <w:rFonts w:ascii="Arial" w:hAnsi="Arial" w:eastAsia="Times New Roman" w:cs="Arial"/>
          <w:spacing w:val="-4"/>
          <w:sz w:val="20"/>
          <w:szCs w:val="20"/>
        </w:rPr>
      </w:pPr>
      <w:bookmarkStart w:name="_DV_M773" w:id="1161"/>
      <w:bookmarkEnd w:id="1161"/>
      <w:r w:rsidRPr="002D2A8F">
        <w:rPr>
          <w:rFonts w:ascii="Arial" w:hAnsi="Arial" w:eastAsia="Times New Roman" w:cs="Arial"/>
          <w:spacing w:val="-4"/>
          <w:sz w:val="20"/>
          <w:szCs w:val="20"/>
        </w:rPr>
        <w:t>We will not modify, revoke or terminate this Standby Letter of Credit without your written consent. This Standby Letter of Credit sets forth in full the terms of our undertaking, and such undertaking may not be modified, annulled or amplified by reference to any other document, instrument or agreement referred to herein or in which the Standby Letter of Credit is referred or to which the Standby Letter of Credit relates, and any such reference may not be deemed to incorporate herein by reference any document, instrument or agreement.</w:t>
      </w:r>
    </w:p>
    <w:p w:rsidRPr="002D2A8F" w:rsidR="002D54C4" w:rsidP="00DD6C59" w:rsidRDefault="002D54C4" w14:paraId="6C66ED5C" w14:textId="77777777">
      <w:pPr>
        <w:spacing w:line="240" w:lineRule="auto"/>
        <w:jc w:val="both"/>
        <w:rPr>
          <w:rFonts w:ascii="Arial" w:hAnsi="Arial" w:eastAsia="Times New Roman" w:cs="Arial"/>
          <w:spacing w:val="-4"/>
          <w:sz w:val="20"/>
          <w:szCs w:val="20"/>
        </w:rPr>
      </w:pPr>
      <w:bookmarkStart w:name="_DV_M774" w:id="1162"/>
      <w:bookmarkEnd w:id="1162"/>
      <w:r w:rsidRPr="002D2A8F">
        <w:rPr>
          <w:rFonts w:ascii="Arial" w:hAnsi="Arial" w:eastAsia="Times New Roman" w:cs="Arial"/>
          <w:spacing w:val="-4"/>
          <w:sz w:val="20"/>
          <w:szCs w:val="20"/>
        </w:rPr>
        <w:t>To the extent not contrary to the express terms hereof, this Standby Letter of Credit will be governed by the International Standby Practices (“</w:t>
      </w:r>
      <w:r w:rsidRPr="002D2A8F">
        <w:rPr>
          <w:rFonts w:ascii="Arial" w:hAnsi="Arial" w:eastAsia="Times New Roman" w:cs="Arial"/>
          <w:b/>
          <w:spacing w:val="-4"/>
          <w:sz w:val="20"/>
          <w:szCs w:val="20"/>
        </w:rPr>
        <w:t>ISP98</w:t>
      </w:r>
      <w:r w:rsidRPr="002D2A8F">
        <w:rPr>
          <w:rFonts w:ascii="Arial" w:hAnsi="Arial" w:eastAsia="Times New Roman" w:cs="Arial"/>
          <w:spacing w:val="-4"/>
          <w:sz w:val="20"/>
          <w:szCs w:val="20"/>
        </w:rPr>
        <w:t>”). This Standby Letter of Credit will be deemed to be a contract made under the laws of the state of Georgia and will, as to matters not governed by the ISP98, be governed by and construed in accordance with the laws of the state of Georgia.</w:t>
      </w:r>
    </w:p>
    <w:p w:rsidRPr="002D2A8F" w:rsidR="002D54C4" w:rsidP="00DD6C59" w:rsidRDefault="002D54C4" w14:paraId="43ACD609" w14:textId="77777777">
      <w:pPr>
        <w:spacing w:line="240" w:lineRule="auto"/>
        <w:jc w:val="both"/>
        <w:rPr>
          <w:rFonts w:ascii="Arial" w:hAnsi="Arial" w:eastAsia="Times New Roman" w:cs="Arial"/>
          <w:spacing w:val="-4"/>
          <w:sz w:val="20"/>
          <w:szCs w:val="20"/>
        </w:rPr>
      </w:pPr>
      <w:bookmarkStart w:name="_DV_M775" w:id="1163"/>
      <w:bookmarkEnd w:id="1163"/>
      <w:r w:rsidRPr="002D2A8F">
        <w:rPr>
          <w:rFonts w:ascii="Arial" w:hAnsi="Arial" w:eastAsia="Times New Roman" w:cs="Arial"/>
          <w:spacing w:val="-4"/>
          <w:sz w:val="20"/>
          <w:szCs w:val="20"/>
        </w:rPr>
        <w:t>Notices concerning this Standby Letter of Credit may be sent to a party by courier, certified mail, registered mail, facsimile, electronic transmission or similar communications facility to its respective address set forth herein. Any notice, demand, request or other communication is deemed to have been received by the party to whom it is sent at the time of its delivery. Each party may notify the other of any change of address in the manner provided above.</w:t>
      </w:r>
    </w:p>
    <w:p w:rsidRPr="002D2A8F" w:rsidR="002D54C4" w:rsidP="00A202B9" w:rsidRDefault="002D54C4" w14:paraId="589BFB99" w14:textId="77777777">
      <w:pPr>
        <w:ind w:left="5040"/>
        <w:rPr>
          <w:rFonts w:ascii="Arial" w:hAnsi="Arial" w:eastAsia="Times New Roman" w:cs="Arial"/>
          <w:sz w:val="20"/>
          <w:szCs w:val="20"/>
        </w:rPr>
      </w:pPr>
    </w:p>
    <w:p w:rsidRPr="002D2A8F" w:rsidR="002D54C4" w:rsidP="00A202B9" w:rsidRDefault="002D54C4" w14:paraId="730FFEBC" w14:textId="77777777">
      <w:pPr>
        <w:ind w:left="5040"/>
        <w:rPr>
          <w:rFonts w:ascii="Arial" w:hAnsi="Arial" w:eastAsia="Times New Roman" w:cs="Arial"/>
          <w:sz w:val="20"/>
          <w:szCs w:val="20"/>
        </w:rPr>
      </w:pPr>
      <w:bookmarkStart w:name="_DV_M776" w:id="1164"/>
      <w:bookmarkEnd w:id="1164"/>
      <w:r w:rsidRPr="002D2A8F">
        <w:rPr>
          <w:rFonts w:ascii="Arial" w:hAnsi="Arial" w:eastAsia="Times New Roman" w:cs="Arial"/>
          <w:sz w:val="20"/>
          <w:szCs w:val="20"/>
        </w:rPr>
        <w:t>[</w:t>
      </w:r>
      <w:r w:rsidRPr="002D2A8F">
        <w:rPr>
          <w:rFonts w:ascii="Arial" w:hAnsi="Arial" w:eastAsia="Times New Roman" w:cs="Arial"/>
          <w:sz w:val="20"/>
          <w:szCs w:val="20"/>
          <w:highlight w:val="yellow"/>
        </w:rPr>
        <w:t>ISSUING BANK</w:t>
      </w:r>
      <w:r w:rsidRPr="002D2A8F">
        <w:rPr>
          <w:rFonts w:ascii="Arial" w:hAnsi="Arial" w:eastAsia="Times New Roman" w:cs="Arial"/>
          <w:sz w:val="20"/>
          <w:szCs w:val="20"/>
        </w:rPr>
        <w:t>]</w:t>
      </w:r>
    </w:p>
    <w:p w:rsidRPr="002D2A8F" w:rsidR="002D54C4" w:rsidP="00A202B9" w:rsidRDefault="002D54C4" w14:paraId="3D66AD9C" w14:textId="77777777">
      <w:pPr>
        <w:rPr>
          <w:rFonts w:ascii="Arial" w:hAnsi="Arial" w:eastAsia="Times New Roman" w:cs="Arial"/>
          <w:spacing w:val="-4"/>
          <w:sz w:val="20"/>
          <w:szCs w:val="20"/>
        </w:rPr>
      </w:pPr>
    </w:p>
    <w:p w:rsidRPr="002D2A8F" w:rsidR="002D54C4" w:rsidP="00CE0799" w:rsidRDefault="002D54C4" w14:paraId="271F1217" w14:textId="77777777">
      <w:pPr>
        <w:spacing w:after="0" w:line="240" w:lineRule="auto"/>
        <w:rPr>
          <w:rFonts w:ascii="Arial" w:hAnsi="Arial" w:eastAsia="Times New Roman" w:cs="Arial"/>
          <w:spacing w:val="-4"/>
          <w:sz w:val="20"/>
          <w:szCs w:val="20"/>
        </w:rPr>
      </w:pPr>
    </w:p>
    <w:p w:rsidRPr="002D2A8F" w:rsidR="00CE0799" w:rsidP="00CE0799" w:rsidRDefault="002D54C4" w14:paraId="0A0571AB" w14:textId="77777777">
      <w:pPr>
        <w:tabs>
          <w:tab w:val="left" w:pos="5040"/>
        </w:tabs>
        <w:spacing w:after="0" w:line="240" w:lineRule="auto"/>
        <w:rPr>
          <w:rFonts w:ascii="Arial" w:hAnsi="Arial" w:eastAsia="Times New Roman" w:cs="Arial"/>
          <w:spacing w:val="-4"/>
          <w:sz w:val="20"/>
          <w:szCs w:val="20"/>
        </w:rPr>
      </w:pPr>
      <w:bookmarkStart w:name="_DV_M777" w:id="1165"/>
      <w:bookmarkEnd w:id="1165"/>
      <w:r w:rsidRPr="002D2A8F">
        <w:rPr>
          <w:rFonts w:ascii="Arial" w:hAnsi="Arial" w:eastAsia="Times New Roman" w:cs="Arial"/>
          <w:spacing w:val="-4"/>
          <w:sz w:val="20"/>
          <w:szCs w:val="20"/>
        </w:rPr>
        <w:tab/>
        <w:t>By:</w:t>
      </w:r>
      <w:r w:rsidRPr="002D2A8F">
        <w:rPr>
          <w:rFonts w:ascii="Arial" w:hAnsi="Arial" w:eastAsia="Times New Roman" w:cs="Arial"/>
          <w:spacing w:val="-4"/>
          <w:sz w:val="20"/>
          <w:szCs w:val="20"/>
          <w:u w:val="single"/>
        </w:rPr>
        <w:tab/>
      </w:r>
      <w:r w:rsidRPr="002D2A8F">
        <w:rPr>
          <w:rFonts w:ascii="Arial" w:hAnsi="Arial" w:eastAsia="Times New Roman" w:cs="Arial"/>
          <w:spacing w:val="-4"/>
          <w:sz w:val="20"/>
          <w:szCs w:val="20"/>
          <w:u w:val="single"/>
        </w:rPr>
        <w:tab/>
      </w:r>
      <w:r w:rsidRPr="002D2A8F">
        <w:rPr>
          <w:rFonts w:ascii="Arial" w:hAnsi="Arial" w:eastAsia="Times New Roman" w:cs="Arial"/>
          <w:spacing w:val="-4"/>
          <w:sz w:val="20"/>
          <w:szCs w:val="20"/>
          <w:u w:val="single"/>
        </w:rPr>
        <w:tab/>
      </w:r>
      <w:r w:rsidRPr="002D2A8F">
        <w:rPr>
          <w:rFonts w:ascii="Arial" w:hAnsi="Arial" w:eastAsia="Times New Roman" w:cs="Arial"/>
          <w:spacing w:val="-4"/>
          <w:sz w:val="20"/>
          <w:szCs w:val="20"/>
          <w:u w:val="single"/>
        </w:rPr>
        <w:tab/>
      </w:r>
      <w:r w:rsidRPr="002D2A8F">
        <w:rPr>
          <w:rFonts w:ascii="Arial" w:hAnsi="Arial" w:eastAsia="Times New Roman" w:cs="Arial"/>
          <w:spacing w:val="-4"/>
          <w:sz w:val="20"/>
          <w:szCs w:val="20"/>
        </w:rPr>
        <w:tab/>
      </w:r>
    </w:p>
    <w:p w:rsidRPr="002D2A8F" w:rsidR="002D54C4" w:rsidP="00CE0799" w:rsidRDefault="00CE0799" w14:paraId="6E05BCB7" w14:textId="2040FA47">
      <w:pPr>
        <w:tabs>
          <w:tab w:val="left" w:pos="5040"/>
        </w:tabs>
        <w:spacing w:after="0" w:line="240" w:lineRule="auto"/>
        <w:rPr>
          <w:rFonts w:ascii="Arial" w:hAnsi="Arial" w:eastAsia="Times New Roman" w:cs="Arial"/>
          <w:spacing w:val="-4"/>
          <w:sz w:val="20"/>
          <w:szCs w:val="20"/>
        </w:rPr>
      </w:pPr>
      <w:r w:rsidRPr="002D2A8F">
        <w:rPr>
          <w:rFonts w:ascii="Arial" w:hAnsi="Arial" w:eastAsia="Times New Roman" w:cs="Arial"/>
          <w:spacing w:val="-4"/>
          <w:sz w:val="20"/>
          <w:szCs w:val="20"/>
        </w:rPr>
        <w:tab/>
      </w:r>
      <w:r w:rsidRPr="002D2A8F" w:rsidR="002D54C4">
        <w:rPr>
          <w:rFonts w:ascii="Arial" w:hAnsi="Arial" w:eastAsia="Times New Roman" w:cs="Arial"/>
          <w:spacing w:val="-4"/>
          <w:sz w:val="20"/>
          <w:szCs w:val="20"/>
        </w:rPr>
        <w:t>Authorized Signature</w:t>
      </w:r>
      <w:r w:rsidRPr="002D2A8F" w:rsidR="002D54C4">
        <w:rPr>
          <w:rFonts w:ascii="Arial" w:hAnsi="Arial" w:eastAsia="Times New Roman" w:cs="Arial"/>
          <w:spacing w:val="-4"/>
          <w:sz w:val="20"/>
          <w:szCs w:val="20"/>
        </w:rPr>
        <w:tab/>
      </w:r>
      <w:r w:rsidRPr="002D2A8F" w:rsidR="002D54C4">
        <w:rPr>
          <w:rFonts w:ascii="Arial" w:hAnsi="Arial" w:eastAsia="Times New Roman" w:cs="Arial"/>
          <w:spacing w:val="-4"/>
          <w:sz w:val="20"/>
          <w:szCs w:val="20"/>
        </w:rPr>
        <w:tab/>
      </w:r>
      <w:r w:rsidRPr="002D2A8F" w:rsidR="002D54C4">
        <w:rPr>
          <w:rFonts w:ascii="Arial" w:hAnsi="Arial" w:eastAsia="Times New Roman" w:cs="Arial"/>
          <w:spacing w:val="-4"/>
          <w:sz w:val="20"/>
          <w:szCs w:val="20"/>
        </w:rPr>
        <w:tab/>
      </w:r>
      <w:r w:rsidRPr="002D2A8F" w:rsidR="002D54C4">
        <w:rPr>
          <w:rFonts w:ascii="Arial" w:hAnsi="Arial" w:eastAsia="Times New Roman" w:cs="Arial"/>
          <w:spacing w:val="-4"/>
          <w:sz w:val="20"/>
          <w:szCs w:val="20"/>
        </w:rPr>
        <w:tab/>
      </w:r>
      <w:r w:rsidRPr="002D2A8F" w:rsidR="002D54C4">
        <w:rPr>
          <w:rFonts w:ascii="Arial" w:hAnsi="Arial" w:eastAsia="Times New Roman" w:cs="Arial"/>
          <w:spacing w:val="-4"/>
          <w:sz w:val="20"/>
          <w:szCs w:val="20"/>
        </w:rPr>
        <w:tab/>
      </w:r>
      <w:r w:rsidRPr="002D2A8F" w:rsidR="002D54C4">
        <w:rPr>
          <w:rFonts w:ascii="Arial" w:hAnsi="Arial" w:eastAsia="Times New Roman" w:cs="Arial"/>
          <w:spacing w:val="-4"/>
          <w:sz w:val="20"/>
          <w:szCs w:val="20"/>
        </w:rPr>
        <w:tab/>
      </w:r>
      <w:r w:rsidRPr="002D2A8F" w:rsidR="002D54C4">
        <w:rPr>
          <w:rFonts w:ascii="Arial" w:hAnsi="Arial" w:eastAsia="Times New Roman" w:cs="Arial"/>
          <w:spacing w:val="-4"/>
          <w:sz w:val="20"/>
          <w:szCs w:val="20"/>
        </w:rPr>
        <w:tab/>
      </w:r>
      <w:r w:rsidRPr="002D2A8F" w:rsidR="002D54C4">
        <w:rPr>
          <w:rFonts w:ascii="Arial" w:hAnsi="Arial" w:eastAsia="Times New Roman" w:cs="Arial"/>
          <w:spacing w:val="-4"/>
          <w:sz w:val="20"/>
          <w:szCs w:val="20"/>
        </w:rPr>
        <w:tab/>
      </w:r>
      <w:r w:rsidRPr="002D2A8F" w:rsidR="002D54C4">
        <w:rPr>
          <w:rFonts w:ascii="Arial" w:hAnsi="Arial" w:eastAsia="Times New Roman" w:cs="Arial"/>
          <w:spacing w:val="-4"/>
          <w:sz w:val="20"/>
          <w:szCs w:val="20"/>
        </w:rPr>
        <w:tab/>
      </w:r>
      <w:r w:rsidRPr="002D2A8F" w:rsidR="002D54C4">
        <w:rPr>
          <w:rFonts w:ascii="Arial" w:hAnsi="Arial" w:eastAsia="Times New Roman" w:cs="Arial"/>
          <w:spacing w:val="-4"/>
          <w:sz w:val="20"/>
          <w:szCs w:val="20"/>
        </w:rPr>
        <w:tab/>
      </w:r>
      <w:r w:rsidRPr="002D2A8F" w:rsidR="002D54C4">
        <w:rPr>
          <w:rFonts w:ascii="Arial" w:hAnsi="Arial" w:eastAsia="Times New Roman" w:cs="Arial"/>
          <w:spacing w:val="-4"/>
          <w:sz w:val="20"/>
          <w:szCs w:val="20"/>
        </w:rPr>
        <w:tab/>
      </w:r>
    </w:p>
    <w:p w:rsidRPr="002D2A8F" w:rsidR="003C77CE" w:rsidP="002D54C4" w:rsidRDefault="003C77CE" w14:paraId="16046835" w14:textId="77777777">
      <w:pPr>
        <w:tabs>
          <w:tab w:val="left" w:pos="5040"/>
        </w:tabs>
        <w:rPr>
          <w:rFonts w:ascii="Arial" w:hAnsi="Arial" w:eastAsia="Times New Roman" w:cs="Arial"/>
          <w:spacing w:val="-4"/>
          <w:sz w:val="20"/>
          <w:szCs w:val="20"/>
        </w:rPr>
        <w:sectPr w:rsidRPr="002D2A8F" w:rsidR="003C77CE" w:rsidSect="003B614F">
          <w:pgSz w:w="12240" w:h="15840" w:code="1"/>
          <w:pgMar w:top="1080" w:right="1008" w:bottom="936" w:left="1224" w:header="432" w:footer="576" w:gutter="0"/>
          <w:cols w:space="720"/>
          <w:noEndnote/>
        </w:sectPr>
      </w:pPr>
    </w:p>
    <w:p w:rsidRPr="002D2A8F" w:rsidR="002D54C4" w:rsidP="00702472" w:rsidRDefault="002D54C4" w14:paraId="6D25B9CE" w14:textId="1D2C1F5E">
      <w:pPr>
        <w:tabs>
          <w:tab w:val="left" w:pos="5040"/>
        </w:tabs>
        <w:rPr>
          <w:rFonts w:ascii="Arial" w:hAnsi="Arial" w:eastAsia="Times New Roman" w:cs="Arial"/>
          <w:spacing w:val="-4"/>
          <w:sz w:val="20"/>
          <w:szCs w:val="20"/>
        </w:rPr>
      </w:pPr>
      <w:r w:rsidRPr="002D2A8F">
        <w:rPr>
          <w:rFonts w:ascii="Arial" w:hAnsi="Arial" w:eastAsia="Times New Roman" w:cs="Arial"/>
          <w:spacing w:val="-4"/>
          <w:sz w:val="20"/>
          <w:szCs w:val="20"/>
        </w:rPr>
        <w:tab/>
      </w:r>
    </w:p>
    <w:p w:rsidRPr="002D2A8F" w:rsidR="004F58DB" w:rsidRDefault="004F58DB" w14:paraId="5AB6A74A" w14:textId="77777777">
      <w:pPr>
        <w:rPr>
          <w:rFonts w:ascii="Arial" w:hAnsi="Arial" w:eastAsia="Times New Roman" w:cs="Arial"/>
          <w:spacing w:val="-4"/>
          <w:sz w:val="20"/>
          <w:szCs w:val="20"/>
        </w:rPr>
      </w:pPr>
      <w:r w:rsidRPr="002D2A8F">
        <w:rPr>
          <w:rFonts w:ascii="Arial" w:hAnsi="Arial" w:eastAsia="Times New Roman" w:cs="Arial"/>
          <w:spacing w:val="-4"/>
          <w:sz w:val="20"/>
          <w:szCs w:val="20"/>
        </w:rPr>
        <w:br w:type="page"/>
      </w:r>
    </w:p>
    <w:p w:rsidRPr="002D2A8F" w:rsidR="002D54C4" w:rsidP="002D54C4" w:rsidRDefault="002D54C4" w14:paraId="6A77F5B6" w14:textId="77777777">
      <w:pPr>
        <w:spacing w:after="240"/>
        <w:jc w:val="center"/>
        <w:outlineLvl w:val="3"/>
        <w:rPr>
          <w:rFonts w:ascii="Arial" w:hAnsi="Arial" w:eastAsia="Calibri" w:cs="Arial"/>
          <w:b/>
          <w:caps/>
        </w:rPr>
      </w:pPr>
      <w:bookmarkStart w:name="_DV_M779" w:id="1166"/>
      <w:bookmarkEnd w:id="1166"/>
      <w:r w:rsidRPr="002D2A8F">
        <w:rPr>
          <w:rFonts w:ascii="Arial" w:hAnsi="Arial" w:eastAsia="Calibri" w:cs="Arial"/>
          <w:b/>
          <w:caps/>
        </w:rPr>
        <w:lastRenderedPageBreak/>
        <w:t>Annex 1</w:t>
      </w:r>
    </w:p>
    <w:p w:rsidRPr="002D2A8F" w:rsidR="002D54C4" w:rsidP="002D54C4" w:rsidRDefault="002D54C4" w14:paraId="171A2767" w14:textId="77777777">
      <w:pPr>
        <w:jc w:val="center"/>
        <w:rPr>
          <w:rFonts w:ascii="Arial" w:hAnsi="Arial" w:eastAsia="Calibri" w:cs="Arial"/>
          <w:b/>
          <w:caps/>
        </w:rPr>
      </w:pPr>
      <w:bookmarkStart w:name="_DV_M780" w:id="1167"/>
      <w:bookmarkEnd w:id="1167"/>
      <w:r w:rsidRPr="002D2A8F">
        <w:rPr>
          <w:rFonts w:ascii="Arial" w:hAnsi="Arial" w:eastAsia="Calibri" w:cs="Arial"/>
          <w:b/>
          <w:caps/>
        </w:rPr>
        <w:t>Form of Sight Draft</w:t>
      </w:r>
    </w:p>
    <w:p w:rsidRPr="002D2A8F" w:rsidR="002D54C4" w:rsidP="00CE0799" w:rsidRDefault="002D54C4" w14:paraId="61665D8D" w14:textId="77777777">
      <w:pPr>
        <w:spacing w:after="0" w:line="240" w:lineRule="auto"/>
        <w:jc w:val="center"/>
        <w:rPr>
          <w:rFonts w:ascii="Arial" w:hAnsi="Arial" w:eastAsia="Times New Roman" w:cs="Arial"/>
          <w:highlight w:val="yellow"/>
        </w:rPr>
      </w:pPr>
    </w:p>
    <w:p w:rsidRPr="002D2A8F" w:rsidR="002D54C4" w:rsidP="00FF6840" w:rsidRDefault="002D54C4" w14:paraId="2F1FE0D6" w14:textId="77777777">
      <w:pPr>
        <w:spacing w:before="120" w:after="120" w:line="240" w:lineRule="auto"/>
        <w:rPr>
          <w:rFonts w:ascii="Arial" w:hAnsi="Arial" w:eastAsia="Times New Roman" w:cs="Arial"/>
          <w:sz w:val="20"/>
          <w:szCs w:val="20"/>
        </w:rPr>
      </w:pPr>
      <w:r w:rsidRPr="002D2A8F">
        <w:rPr>
          <w:rFonts w:ascii="Arial" w:hAnsi="Arial" w:eastAsia="Times New Roman" w:cs="Arial"/>
          <w:sz w:val="20"/>
          <w:szCs w:val="20"/>
          <w:highlight w:val="yellow"/>
        </w:rPr>
        <w:t>[Insert Place</w:t>
      </w:r>
      <w:r w:rsidRPr="002D2A8F">
        <w:rPr>
          <w:rFonts w:ascii="Arial" w:hAnsi="Arial" w:eastAsia="Times New Roman" w:cs="Arial"/>
          <w:sz w:val="20"/>
          <w:szCs w:val="20"/>
        </w:rPr>
        <w:t>], [</w:t>
      </w:r>
      <w:r w:rsidRPr="002D2A8F">
        <w:rPr>
          <w:rFonts w:ascii="Arial" w:hAnsi="Arial" w:eastAsia="Times New Roman" w:cs="Arial"/>
          <w:sz w:val="20"/>
          <w:szCs w:val="20"/>
          <w:highlight w:val="yellow"/>
        </w:rPr>
        <w:t>Insert Date</w:t>
      </w:r>
      <w:r w:rsidRPr="002D2A8F">
        <w:rPr>
          <w:rFonts w:ascii="Arial" w:hAnsi="Arial" w:eastAsia="Times New Roman" w:cs="Arial"/>
          <w:sz w:val="20"/>
          <w:szCs w:val="20"/>
        </w:rPr>
        <w:t>]</w:t>
      </w:r>
    </w:p>
    <w:p w:rsidRPr="002D2A8F" w:rsidR="002D54C4" w:rsidP="00FF6840" w:rsidRDefault="002D54C4" w14:paraId="750139D2" w14:textId="77777777">
      <w:pPr>
        <w:spacing w:before="120" w:after="120" w:line="240" w:lineRule="auto"/>
        <w:rPr>
          <w:rFonts w:ascii="Arial" w:hAnsi="Arial" w:eastAsia="Times New Roman" w:cs="Arial"/>
          <w:sz w:val="20"/>
          <w:szCs w:val="20"/>
        </w:rPr>
      </w:pPr>
    </w:p>
    <w:p w:rsidRPr="002D2A8F" w:rsidR="002D54C4" w:rsidP="00FF6840" w:rsidRDefault="002D54C4" w14:paraId="4B142373" w14:textId="77777777">
      <w:pPr>
        <w:tabs>
          <w:tab w:val="left" w:pos="1440"/>
        </w:tabs>
        <w:spacing w:before="120" w:after="120" w:line="240" w:lineRule="auto"/>
        <w:rPr>
          <w:rFonts w:ascii="Arial" w:hAnsi="Arial" w:eastAsia="Times New Roman" w:cs="Arial"/>
          <w:sz w:val="20"/>
          <w:szCs w:val="20"/>
        </w:rPr>
      </w:pPr>
      <w:bookmarkStart w:name="_DV_M782" w:id="1168"/>
      <w:bookmarkEnd w:id="1168"/>
      <w:r w:rsidRPr="002D2A8F">
        <w:rPr>
          <w:rFonts w:ascii="Arial" w:hAnsi="Arial" w:eastAsia="Times New Roman" w:cs="Arial"/>
          <w:sz w:val="20"/>
          <w:szCs w:val="20"/>
        </w:rPr>
        <w:t>Amount:</w:t>
      </w:r>
      <w:r w:rsidRPr="002D2A8F">
        <w:rPr>
          <w:rFonts w:ascii="Arial" w:hAnsi="Arial" w:eastAsia="Times New Roman" w:cs="Arial"/>
          <w:sz w:val="20"/>
          <w:szCs w:val="20"/>
        </w:rPr>
        <w:tab/>
        <w:t>[</w:t>
      </w:r>
      <w:r w:rsidRPr="002D2A8F">
        <w:rPr>
          <w:rFonts w:ascii="Arial" w:hAnsi="Arial" w:eastAsia="Times New Roman" w:cs="Arial"/>
          <w:sz w:val="20"/>
          <w:szCs w:val="20"/>
          <w:highlight w:val="yellow"/>
        </w:rPr>
        <w:t>Insert Currency</w:t>
      </w:r>
      <w:r w:rsidRPr="002D2A8F">
        <w:rPr>
          <w:rFonts w:ascii="Arial" w:hAnsi="Arial" w:eastAsia="Times New Roman" w:cs="Arial"/>
          <w:sz w:val="20"/>
          <w:szCs w:val="20"/>
        </w:rPr>
        <w:t>] [</w:t>
      </w:r>
      <w:r w:rsidRPr="002D2A8F">
        <w:rPr>
          <w:rFonts w:ascii="Arial" w:hAnsi="Arial" w:eastAsia="Times New Roman" w:cs="Arial"/>
          <w:sz w:val="20"/>
          <w:szCs w:val="20"/>
          <w:highlight w:val="yellow"/>
        </w:rPr>
        <w:t>Insert Amount in Numbers</w:t>
      </w:r>
      <w:r w:rsidRPr="002D2A8F">
        <w:rPr>
          <w:rFonts w:ascii="Arial" w:hAnsi="Arial" w:eastAsia="Times New Roman" w:cs="Arial"/>
          <w:sz w:val="20"/>
          <w:szCs w:val="20"/>
        </w:rPr>
        <w:t>]</w:t>
      </w:r>
    </w:p>
    <w:p w:rsidRPr="002D2A8F" w:rsidR="002D54C4" w:rsidP="00FF6840" w:rsidRDefault="002D54C4" w14:paraId="5EA0DDD9" w14:textId="77777777">
      <w:pPr>
        <w:tabs>
          <w:tab w:val="left" w:pos="720"/>
          <w:tab w:val="left" w:pos="1440"/>
        </w:tabs>
        <w:spacing w:before="120" w:after="120" w:line="240" w:lineRule="auto"/>
        <w:rPr>
          <w:rFonts w:ascii="Arial" w:hAnsi="Arial" w:eastAsia="Times New Roman" w:cs="Arial"/>
          <w:sz w:val="20"/>
          <w:szCs w:val="20"/>
        </w:rPr>
      </w:pPr>
      <w:bookmarkStart w:name="_DV_M783" w:id="1169"/>
      <w:bookmarkEnd w:id="1169"/>
      <w:r w:rsidRPr="002D2A8F">
        <w:rPr>
          <w:rFonts w:ascii="Arial" w:hAnsi="Arial" w:eastAsia="Times New Roman" w:cs="Arial"/>
          <w:sz w:val="20"/>
          <w:szCs w:val="20"/>
        </w:rPr>
        <w:tab/>
      </w:r>
      <w:r w:rsidRPr="002D2A8F">
        <w:rPr>
          <w:rFonts w:ascii="Arial" w:hAnsi="Arial" w:eastAsia="Times New Roman" w:cs="Arial"/>
          <w:sz w:val="20"/>
          <w:szCs w:val="20"/>
        </w:rPr>
        <w:tab/>
      </w:r>
      <w:r w:rsidRPr="002D2A8F">
        <w:rPr>
          <w:rFonts w:ascii="Arial" w:hAnsi="Arial" w:eastAsia="Times New Roman" w:cs="Arial"/>
          <w:sz w:val="20"/>
          <w:szCs w:val="20"/>
        </w:rPr>
        <w:tab/>
        <w:t>[</w:t>
      </w:r>
      <w:r w:rsidRPr="002D2A8F">
        <w:rPr>
          <w:rFonts w:ascii="Arial" w:hAnsi="Arial" w:eastAsia="Times New Roman" w:cs="Arial"/>
          <w:sz w:val="20"/>
          <w:szCs w:val="20"/>
          <w:highlight w:val="yellow"/>
        </w:rPr>
        <w:t>Insert Amount in Letters</w:t>
      </w:r>
      <w:r w:rsidRPr="002D2A8F">
        <w:rPr>
          <w:rFonts w:ascii="Arial" w:hAnsi="Arial" w:eastAsia="Times New Roman" w:cs="Arial"/>
          <w:sz w:val="20"/>
          <w:szCs w:val="20"/>
        </w:rPr>
        <w:t>]</w:t>
      </w:r>
    </w:p>
    <w:p w:rsidRPr="002D2A8F" w:rsidR="002D54C4" w:rsidP="00FF6840" w:rsidRDefault="002D54C4" w14:paraId="5C6BBD53" w14:textId="77777777">
      <w:pPr>
        <w:spacing w:before="120" w:after="120" w:line="240" w:lineRule="auto"/>
        <w:rPr>
          <w:rFonts w:ascii="Arial" w:hAnsi="Arial" w:eastAsia="Times New Roman" w:cs="Arial"/>
          <w:sz w:val="20"/>
          <w:szCs w:val="20"/>
        </w:rPr>
      </w:pPr>
    </w:p>
    <w:p w:rsidRPr="002D2A8F" w:rsidR="002D54C4" w:rsidP="00FF6840" w:rsidRDefault="002D54C4" w14:paraId="2C4AFDC8" w14:textId="77777777">
      <w:pPr>
        <w:spacing w:before="120" w:after="120" w:line="240" w:lineRule="auto"/>
        <w:rPr>
          <w:rFonts w:ascii="Arial" w:hAnsi="Arial" w:eastAsia="Times New Roman" w:cs="Arial"/>
          <w:sz w:val="20"/>
          <w:szCs w:val="20"/>
        </w:rPr>
      </w:pPr>
      <w:bookmarkStart w:name="_DV_M784" w:id="1170"/>
      <w:bookmarkEnd w:id="1170"/>
      <w:r w:rsidRPr="002D2A8F">
        <w:rPr>
          <w:rFonts w:ascii="Arial" w:hAnsi="Arial" w:eastAsia="Times New Roman" w:cs="Arial"/>
          <w:sz w:val="20"/>
          <w:szCs w:val="20"/>
        </w:rPr>
        <w:t>Drawn under Irrevocable Standby Letter of Credit No. ___________ of [</w:t>
      </w:r>
      <w:r w:rsidRPr="002D2A8F">
        <w:rPr>
          <w:rFonts w:ascii="Arial" w:hAnsi="Arial" w:eastAsia="Times New Roman" w:cs="Arial"/>
          <w:sz w:val="20"/>
          <w:szCs w:val="20"/>
          <w:highlight w:val="yellow"/>
        </w:rPr>
        <w:t>Insert Name of Issuing Bank</w:t>
      </w:r>
      <w:r w:rsidRPr="002D2A8F">
        <w:rPr>
          <w:rFonts w:ascii="Arial" w:hAnsi="Arial" w:eastAsia="Times New Roman" w:cs="Arial"/>
          <w:sz w:val="20"/>
          <w:szCs w:val="20"/>
        </w:rPr>
        <w:t>]</w:t>
      </w:r>
    </w:p>
    <w:p w:rsidRPr="002D2A8F" w:rsidR="002D54C4" w:rsidP="00FF6840" w:rsidRDefault="002D54C4" w14:paraId="53F6B952" w14:textId="77777777">
      <w:pPr>
        <w:spacing w:before="120" w:after="120" w:line="240" w:lineRule="auto"/>
        <w:rPr>
          <w:rFonts w:ascii="Arial" w:hAnsi="Arial" w:eastAsia="Times New Roman" w:cs="Arial"/>
          <w:sz w:val="20"/>
          <w:szCs w:val="20"/>
        </w:rPr>
      </w:pPr>
    </w:p>
    <w:p w:rsidRPr="002D2A8F" w:rsidR="002D54C4" w:rsidP="00FF6840" w:rsidRDefault="002D54C4" w14:paraId="3B306C8F" w14:textId="77777777">
      <w:pPr>
        <w:spacing w:before="120" w:after="120" w:line="240" w:lineRule="auto"/>
        <w:rPr>
          <w:rFonts w:ascii="Arial" w:hAnsi="Arial" w:eastAsia="Times New Roman" w:cs="Arial"/>
          <w:sz w:val="20"/>
          <w:szCs w:val="20"/>
        </w:rPr>
      </w:pPr>
      <w:bookmarkStart w:name="_DV_M785" w:id="1171"/>
      <w:bookmarkEnd w:id="1171"/>
      <w:r w:rsidRPr="002D2A8F">
        <w:rPr>
          <w:rFonts w:ascii="Arial" w:hAnsi="Arial" w:eastAsia="Times New Roman" w:cs="Arial"/>
          <w:sz w:val="20"/>
          <w:szCs w:val="20"/>
        </w:rPr>
        <w:t>At Sight</w:t>
      </w:r>
    </w:p>
    <w:p w:rsidRPr="002D2A8F" w:rsidR="002D54C4" w:rsidP="00FF6840" w:rsidRDefault="002D54C4" w14:paraId="4BC187C2" w14:textId="77777777">
      <w:pPr>
        <w:spacing w:before="120" w:after="120" w:line="240" w:lineRule="auto"/>
        <w:rPr>
          <w:rFonts w:ascii="Arial" w:hAnsi="Arial" w:eastAsia="Times New Roman" w:cs="Arial"/>
          <w:sz w:val="20"/>
          <w:szCs w:val="20"/>
        </w:rPr>
      </w:pPr>
    </w:p>
    <w:p w:rsidRPr="002D2A8F" w:rsidR="002D54C4" w:rsidP="00FF6840" w:rsidRDefault="002D54C4" w14:paraId="5A820733" w14:textId="77777777">
      <w:pPr>
        <w:spacing w:before="120" w:after="120" w:line="240" w:lineRule="auto"/>
        <w:rPr>
          <w:rFonts w:ascii="Arial" w:hAnsi="Arial" w:eastAsia="Times New Roman" w:cs="Arial"/>
          <w:sz w:val="20"/>
          <w:szCs w:val="20"/>
        </w:rPr>
      </w:pPr>
      <w:bookmarkStart w:name="_DV_M786" w:id="1172"/>
      <w:bookmarkEnd w:id="1172"/>
      <w:r w:rsidRPr="002D2A8F">
        <w:rPr>
          <w:rFonts w:ascii="Arial" w:hAnsi="Arial" w:eastAsia="Times New Roman" w:cs="Arial"/>
          <w:sz w:val="20"/>
          <w:szCs w:val="20"/>
        </w:rPr>
        <w:t>Pay to the Order of [</w:t>
      </w:r>
      <w:r w:rsidRPr="002D2A8F">
        <w:rPr>
          <w:rFonts w:ascii="Arial" w:hAnsi="Arial" w:eastAsia="Times New Roman" w:cs="Arial"/>
          <w:sz w:val="20"/>
          <w:szCs w:val="20"/>
          <w:highlight w:val="yellow"/>
        </w:rPr>
        <w:t>Name of Beneficiary</w:t>
      </w:r>
      <w:r w:rsidRPr="002D2A8F">
        <w:rPr>
          <w:rFonts w:ascii="Arial" w:hAnsi="Arial" w:eastAsia="Times New Roman" w:cs="Arial"/>
          <w:sz w:val="20"/>
          <w:szCs w:val="20"/>
        </w:rPr>
        <w:t>]</w:t>
      </w:r>
    </w:p>
    <w:p w:rsidRPr="002D2A8F" w:rsidR="002D54C4" w:rsidP="00FF6840" w:rsidRDefault="002D54C4" w14:paraId="495B14AE" w14:textId="77777777">
      <w:pPr>
        <w:spacing w:before="120" w:after="120" w:line="240" w:lineRule="auto"/>
        <w:rPr>
          <w:rFonts w:ascii="Arial" w:hAnsi="Arial" w:eastAsia="Times New Roman" w:cs="Arial"/>
          <w:sz w:val="20"/>
          <w:szCs w:val="20"/>
        </w:rPr>
      </w:pPr>
    </w:p>
    <w:p w:rsidRPr="002D2A8F" w:rsidR="002D54C4" w:rsidP="00FF6840" w:rsidRDefault="002D54C4" w14:paraId="4635394B" w14:textId="77777777">
      <w:pPr>
        <w:spacing w:before="120" w:after="120" w:line="240" w:lineRule="auto"/>
        <w:rPr>
          <w:rFonts w:ascii="Arial" w:hAnsi="Arial" w:eastAsia="Times New Roman" w:cs="Arial"/>
          <w:sz w:val="20"/>
          <w:szCs w:val="20"/>
        </w:rPr>
      </w:pPr>
      <w:bookmarkStart w:name="_DV_M787" w:id="1173"/>
      <w:bookmarkEnd w:id="1173"/>
      <w:r w:rsidRPr="002D2A8F">
        <w:rPr>
          <w:rFonts w:ascii="Arial" w:hAnsi="Arial" w:eastAsia="Times New Roman" w:cs="Arial"/>
          <w:sz w:val="20"/>
          <w:szCs w:val="20"/>
        </w:rPr>
        <w:t>In reference to:</w:t>
      </w:r>
      <w:r w:rsidRPr="002D2A8F">
        <w:rPr>
          <w:rFonts w:ascii="Arial" w:hAnsi="Arial" w:eastAsia="Times New Roman" w:cs="Arial"/>
          <w:sz w:val="20"/>
          <w:szCs w:val="20"/>
        </w:rPr>
        <w:tab/>
        <w:t>Irrevocable Standby Letter of Credit No. ____________, dated ________.</w:t>
      </w:r>
    </w:p>
    <w:p w:rsidRPr="002D2A8F" w:rsidR="002D54C4" w:rsidP="00FF6840" w:rsidRDefault="002D54C4" w14:paraId="02E3C32C" w14:textId="77777777">
      <w:pPr>
        <w:spacing w:before="120" w:after="120" w:line="240" w:lineRule="auto"/>
        <w:rPr>
          <w:rFonts w:ascii="Arial" w:hAnsi="Arial" w:eastAsia="Times New Roman" w:cs="Arial"/>
          <w:sz w:val="20"/>
          <w:szCs w:val="20"/>
        </w:rPr>
      </w:pPr>
    </w:p>
    <w:p w:rsidRPr="002D2A8F" w:rsidR="002D54C4" w:rsidP="00FF6840" w:rsidRDefault="002D54C4" w14:paraId="76C3290D" w14:textId="77777777">
      <w:pPr>
        <w:spacing w:before="120" w:after="120" w:line="240" w:lineRule="auto"/>
        <w:rPr>
          <w:rFonts w:ascii="Arial" w:hAnsi="Arial" w:eastAsia="Times New Roman" w:cs="Arial"/>
          <w:sz w:val="20"/>
          <w:szCs w:val="20"/>
        </w:rPr>
      </w:pPr>
    </w:p>
    <w:p w:rsidRPr="002D2A8F" w:rsidR="002D54C4" w:rsidP="00FF6840" w:rsidRDefault="002D54C4" w14:paraId="380ACF29" w14:textId="77777777">
      <w:pPr>
        <w:tabs>
          <w:tab w:val="left" w:pos="720"/>
        </w:tabs>
        <w:spacing w:before="120" w:after="120" w:line="240" w:lineRule="auto"/>
        <w:rPr>
          <w:rFonts w:ascii="Arial" w:hAnsi="Arial" w:eastAsia="Times New Roman" w:cs="Arial"/>
          <w:sz w:val="20"/>
          <w:szCs w:val="20"/>
        </w:rPr>
      </w:pPr>
      <w:bookmarkStart w:name="_DV_M788" w:id="1174"/>
      <w:bookmarkEnd w:id="1174"/>
      <w:r w:rsidRPr="002D2A8F">
        <w:rPr>
          <w:rFonts w:ascii="Arial" w:hAnsi="Arial" w:eastAsia="Times New Roman" w:cs="Arial"/>
          <w:sz w:val="20"/>
          <w:szCs w:val="20"/>
        </w:rPr>
        <w:t>To:</w:t>
      </w:r>
      <w:r w:rsidRPr="002D2A8F">
        <w:rPr>
          <w:rFonts w:ascii="Arial" w:hAnsi="Arial" w:eastAsia="Times New Roman" w:cs="Arial"/>
          <w:sz w:val="20"/>
          <w:szCs w:val="20"/>
        </w:rPr>
        <w:tab/>
        <w:t>[</w:t>
      </w:r>
      <w:r w:rsidRPr="002D2A8F">
        <w:rPr>
          <w:rFonts w:ascii="Arial" w:hAnsi="Arial" w:eastAsia="Times New Roman" w:cs="Arial"/>
          <w:sz w:val="20"/>
          <w:szCs w:val="20"/>
          <w:highlight w:val="yellow"/>
        </w:rPr>
        <w:t>Insert Name of Issuing Bank</w:t>
      </w:r>
      <w:r w:rsidRPr="002D2A8F">
        <w:rPr>
          <w:rFonts w:ascii="Arial" w:hAnsi="Arial" w:eastAsia="Times New Roman" w:cs="Arial"/>
          <w:sz w:val="20"/>
          <w:szCs w:val="20"/>
        </w:rPr>
        <w:t>]</w:t>
      </w:r>
    </w:p>
    <w:p w:rsidRPr="002D2A8F" w:rsidR="002D54C4" w:rsidP="00FF6840" w:rsidRDefault="002D54C4" w14:paraId="11BA36FB" w14:textId="77777777">
      <w:pPr>
        <w:tabs>
          <w:tab w:val="left" w:pos="720"/>
        </w:tabs>
        <w:spacing w:before="120" w:after="120" w:line="240" w:lineRule="auto"/>
        <w:rPr>
          <w:rFonts w:ascii="Arial" w:hAnsi="Arial" w:eastAsia="Times New Roman" w:cs="Arial"/>
          <w:sz w:val="20"/>
          <w:szCs w:val="20"/>
        </w:rPr>
      </w:pPr>
      <w:r w:rsidRPr="002D2A8F">
        <w:rPr>
          <w:rFonts w:ascii="Arial" w:hAnsi="Arial" w:eastAsia="Times New Roman" w:cs="Arial"/>
          <w:sz w:val="20"/>
          <w:szCs w:val="20"/>
        </w:rPr>
        <w:tab/>
        <w:t>[</w:t>
      </w:r>
      <w:r w:rsidRPr="002D2A8F">
        <w:rPr>
          <w:rFonts w:ascii="Arial" w:hAnsi="Arial" w:eastAsia="Times New Roman" w:cs="Arial"/>
          <w:sz w:val="20"/>
          <w:szCs w:val="20"/>
          <w:highlight w:val="yellow"/>
        </w:rPr>
        <w:t>Insert Address</w:t>
      </w:r>
      <w:r w:rsidRPr="002D2A8F">
        <w:rPr>
          <w:rFonts w:ascii="Arial" w:hAnsi="Arial" w:eastAsia="Times New Roman" w:cs="Arial"/>
          <w:sz w:val="20"/>
          <w:szCs w:val="20"/>
        </w:rPr>
        <w:t>]</w:t>
      </w:r>
    </w:p>
    <w:p w:rsidRPr="002D2A8F" w:rsidR="002D54C4" w:rsidP="00FF6840" w:rsidRDefault="002D54C4" w14:paraId="2FDC01EB" w14:textId="77777777">
      <w:pPr>
        <w:spacing w:before="120" w:after="120" w:line="240" w:lineRule="auto"/>
        <w:rPr>
          <w:rFonts w:ascii="Arial" w:hAnsi="Arial" w:eastAsia="Times New Roman" w:cs="Arial"/>
          <w:sz w:val="20"/>
          <w:szCs w:val="20"/>
        </w:rPr>
      </w:pPr>
    </w:p>
    <w:p w:rsidRPr="002D2A8F" w:rsidR="002D54C4" w:rsidP="00CE0799" w:rsidRDefault="002D54C4" w14:paraId="264259D5" w14:textId="77777777">
      <w:pPr>
        <w:spacing w:after="0" w:line="240" w:lineRule="auto"/>
        <w:ind w:left="5040"/>
        <w:rPr>
          <w:rFonts w:ascii="Arial" w:hAnsi="Arial" w:eastAsia="Times New Roman" w:cs="Arial"/>
          <w:sz w:val="20"/>
          <w:szCs w:val="20"/>
        </w:rPr>
      </w:pPr>
      <w:r w:rsidRPr="002D2A8F">
        <w:rPr>
          <w:rFonts w:ascii="Arial" w:hAnsi="Arial" w:eastAsia="Times New Roman" w:cs="Arial"/>
          <w:sz w:val="20"/>
          <w:szCs w:val="20"/>
        </w:rPr>
        <w:t>[</w:t>
      </w:r>
      <w:r w:rsidRPr="002D2A8F">
        <w:rPr>
          <w:rFonts w:ascii="Arial" w:hAnsi="Arial" w:eastAsia="Times New Roman" w:cs="Arial"/>
          <w:sz w:val="20"/>
          <w:szCs w:val="20"/>
          <w:highlight w:val="yellow"/>
        </w:rPr>
        <w:t>BENEFICIARY</w:t>
      </w:r>
      <w:r w:rsidRPr="002D2A8F">
        <w:rPr>
          <w:rFonts w:ascii="Arial" w:hAnsi="Arial" w:eastAsia="Times New Roman" w:cs="Arial"/>
          <w:sz w:val="20"/>
          <w:szCs w:val="20"/>
        </w:rPr>
        <w:t>]</w:t>
      </w:r>
    </w:p>
    <w:p w:rsidRPr="002D2A8F" w:rsidR="002D54C4" w:rsidP="00CE0799" w:rsidRDefault="002D54C4" w14:paraId="5A7D0277" w14:textId="77777777">
      <w:pPr>
        <w:spacing w:after="0" w:line="240" w:lineRule="auto"/>
        <w:ind w:left="5040"/>
        <w:rPr>
          <w:rFonts w:ascii="Arial" w:hAnsi="Arial" w:eastAsia="Times New Roman" w:cs="Arial"/>
          <w:sz w:val="20"/>
          <w:szCs w:val="20"/>
        </w:rPr>
      </w:pPr>
    </w:p>
    <w:p w:rsidRPr="002D2A8F" w:rsidR="002D54C4" w:rsidP="00CE0799" w:rsidRDefault="002D54C4" w14:paraId="08D47104" w14:textId="77777777">
      <w:pPr>
        <w:spacing w:after="0" w:line="240" w:lineRule="auto"/>
        <w:ind w:left="5040"/>
        <w:rPr>
          <w:rFonts w:ascii="Arial" w:hAnsi="Arial" w:eastAsia="Times New Roman" w:cs="Arial"/>
          <w:sz w:val="20"/>
          <w:szCs w:val="20"/>
        </w:rPr>
      </w:pPr>
    </w:p>
    <w:p w:rsidRPr="002D2A8F" w:rsidR="002D54C4" w:rsidP="00CE0799" w:rsidRDefault="002D54C4" w14:paraId="59005B80" w14:textId="77777777">
      <w:pPr>
        <w:spacing w:after="0" w:line="240" w:lineRule="auto"/>
        <w:ind w:left="5040"/>
        <w:rPr>
          <w:rFonts w:ascii="Arial" w:hAnsi="Arial" w:eastAsia="Times New Roman" w:cs="Arial"/>
          <w:sz w:val="20"/>
          <w:szCs w:val="20"/>
        </w:rPr>
      </w:pPr>
    </w:p>
    <w:p w:rsidRPr="002D2A8F" w:rsidR="002D54C4" w:rsidP="00CE0799" w:rsidRDefault="002D54C4" w14:paraId="7DC32E6A" w14:textId="77777777">
      <w:pPr>
        <w:spacing w:after="0" w:line="240" w:lineRule="auto"/>
        <w:ind w:left="5040"/>
        <w:rPr>
          <w:rFonts w:ascii="Arial" w:hAnsi="Arial" w:eastAsia="Times New Roman" w:cs="Arial"/>
          <w:sz w:val="20"/>
          <w:szCs w:val="20"/>
        </w:rPr>
      </w:pPr>
    </w:p>
    <w:p w:rsidRPr="002D2A8F" w:rsidR="002D54C4" w:rsidP="00CE0799" w:rsidRDefault="002D54C4" w14:paraId="43D88E72" w14:textId="77777777">
      <w:pPr>
        <w:tabs>
          <w:tab w:val="right" w:pos="9360"/>
        </w:tabs>
        <w:spacing w:after="0" w:line="240" w:lineRule="auto"/>
        <w:ind w:left="5040"/>
        <w:rPr>
          <w:rFonts w:ascii="Arial" w:hAnsi="Arial" w:eastAsia="Times New Roman" w:cs="Arial"/>
          <w:sz w:val="20"/>
          <w:szCs w:val="20"/>
        </w:rPr>
      </w:pPr>
      <w:r w:rsidRPr="002D2A8F">
        <w:rPr>
          <w:rFonts w:ascii="Arial" w:hAnsi="Arial" w:eastAsia="Times New Roman" w:cs="Arial"/>
          <w:sz w:val="20"/>
          <w:szCs w:val="20"/>
        </w:rPr>
        <w:t>By:</w:t>
      </w:r>
      <w:r w:rsidRPr="002D2A8F">
        <w:rPr>
          <w:rFonts w:ascii="Arial" w:hAnsi="Arial" w:eastAsia="Times New Roman" w:cs="Arial"/>
          <w:sz w:val="20"/>
          <w:szCs w:val="20"/>
          <w:u w:val="single"/>
        </w:rPr>
        <w:tab/>
      </w:r>
    </w:p>
    <w:p w:rsidRPr="002D2A8F" w:rsidR="002D54C4" w:rsidP="00CE0799" w:rsidRDefault="002D54C4" w14:paraId="65DD81A8" w14:textId="77777777">
      <w:pPr>
        <w:tabs>
          <w:tab w:val="right" w:pos="9360"/>
        </w:tabs>
        <w:spacing w:after="0" w:line="240" w:lineRule="auto"/>
        <w:ind w:left="5040"/>
        <w:rPr>
          <w:rFonts w:ascii="Arial" w:hAnsi="Arial" w:eastAsia="Times New Roman" w:cs="Arial"/>
          <w:sz w:val="20"/>
          <w:szCs w:val="20"/>
        </w:rPr>
      </w:pPr>
      <w:r w:rsidRPr="002D2A8F">
        <w:rPr>
          <w:rFonts w:ascii="Arial" w:hAnsi="Arial" w:eastAsia="Times New Roman" w:cs="Arial"/>
          <w:sz w:val="20"/>
          <w:szCs w:val="20"/>
        </w:rPr>
        <w:t xml:space="preserve"> </w:t>
      </w:r>
    </w:p>
    <w:p w:rsidRPr="002D2A8F" w:rsidR="002D54C4" w:rsidP="00CE0799" w:rsidRDefault="002D54C4" w14:paraId="7DC3E67D" w14:textId="77777777">
      <w:pPr>
        <w:tabs>
          <w:tab w:val="right" w:pos="9360"/>
        </w:tabs>
        <w:spacing w:after="0" w:line="240" w:lineRule="auto"/>
        <w:ind w:left="5040"/>
        <w:rPr>
          <w:rFonts w:ascii="Arial" w:hAnsi="Arial" w:eastAsia="Times New Roman" w:cs="Arial"/>
          <w:sz w:val="20"/>
          <w:szCs w:val="20"/>
        </w:rPr>
      </w:pPr>
      <w:r w:rsidRPr="002D2A8F">
        <w:rPr>
          <w:rFonts w:ascii="Arial" w:hAnsi="Arial" w:eastAsia="Times New Roman" w:cs="Arial"/>
          <w:sz w:val="20"/>
          <w:szCs w:val="20"/>
        </w:rPr>
        <w:t>Title:</w:t>
      </w:r>
      <w:r w:rsidRPr="002D2A8F">
        <w:rPr>
          <w:rFonts w:ascii="Arial" w:hAnsi="Arial" w:eastAsia="Times New Roman" w:cs="Arial"/>
          <w:sz w:val="20"/>
          <w:szCs w:val="20"/>
          <w:u w:val="single"/>
        </w:rPr>
        <w:tab/>
      </w:r>
    </w:p>
    <w:p w:rsidRPr="002D2A8F" w:rsidR="00B67989" w:rsidP="00B67989" w:rsidRDefault="00B67989" w14:paraId="6B5AA34E" w14:textId="77777777">
      <w:pPr>
        <w:rPr>
          <w:rFonts w:ascii="Arial" w:hAnsi="Arial" w:eastAsia="Times New Roman" w:cs="Arial"/>
          <w:sz w:val="20"/>
          <w:szCs w:val="20"/>
        </w:rPr>
      </w:pPr>
    </w:p>
    <w:p w:rsidRPr="002D2A8F" w:rsidR="003C77CE" w:rsidP="003C77CE" w:rsidRDefault="003C77CE" w14:paraId="69E0A2BF" w14:textId="77777777">
      <w:pPr>
        <w:rPr>
          <w:rFonts w:ascii="Arial" w:hAnsi="Arial" w:eastAsia="Times New Roman" w:cs="Arial"/>
          <w:sz w:val="20"/>
          <w:szCs w:val="20"/>
        </w:rPr>
      </w:pPr>
    </w:p>
    <w:p w:rsidRPr="002D2A8F" w:rsidR="003C77CE" w:rsidP="003C77CE" w:rsidRDefault="00155DB5" w14:paraId="4602978D" w14:textId="2F7175A4">
      <w:pPr>
        <w:rPr>
          <w:rFonts w:ascii="Arial" w:hAnsi="Arial" w:eastAsia="Times New Roman" w:cs="Arial"/>
          <w:sz w:val="20"/>
          <w:szCs w:val="20"/>
        </w:rPr>
      </w:pPr>
      <w:r w:rsidRPr="002D2A8F">
        <w:rPr>
          <w:rFonts w:ascii="Arial" w:hAnsi="Arial" w:eastAsia="Times New Roman" w:cs="Arial"/>
          <w:sz w:val="20"/>
          <w:szCs w:val="20"/>
        </w:rPr>
        <w:br w:type="page"/>
      </w:r>
    </w:p>
    <w:p w:rsidRPr="002D2A8F" w:rsidR="002D54C4" w:rsidP="002D54C4" w:rsidRDefault="002D54C4" w14:paraId="25DF9437" w14:textId="77777777">
      <w:pPr>
        <w:spacing w:after="240"/>
        <w:jc w:val="center"/>
        <w:outlineLvl w:val="3"/>
        <w:rPr>
          <w:rFonts w:ascii="Arial" w:hAnsi="Arial" w:eastAsia="Calibri" w:cs="Arial"/>
          <w:b/>
          <w:caps/>
        </w:rPr>
      </w:pPr>
      <w:r w:rsidRPr="002D2A8F">
        <w:rPr>
          <w:rFonts w:ascii="Arial" w:hAnsi="Arial" w:eastAsia="Calibri" w:cs="Arial"/>
          <w:b/>
          <w:caps/>
        </w:rPr>
        <w:lastRenderedPageBreak/>
        <w:t>Annex 2</w:t>
      </w:r>
    </w:p>
    <w:p w:rsidRPr="002D2A8F" w:rsidR="002D54C4" w:rsidP="002D54C4" w:rsidRDefault="002D54C4" w14:paraId="0D45BDED" w14:textId="77777777">
      <w:pPr>
        <w:spacing w:after="240"/>
        <w:jc w:val="center"/>
        <w:outlineLvl w:val="3"/>
        <w:rPr>
          <w:rFonts w:ascii="Arial" w:hAnsi="Arial" w:eastAsia="Calibri" w:cs="Arial"/>
          <w:b/>
          <w:caps/>
        </w:rPr>
      </w:pPr>
      <w:r w:rsidRPr="002D2A8F">
        <w:rPr>
          <w:rFonts w:ascii="Arial" w:hAnsi="Arial" w:eastAsia="Calibri" w:cs="Arial"/>
          <w:b/>
          <w:caps/>
        </w:rPr>
        <w:t>Form of Certificate</w:t>
      </w:r>
    </w:p>
    <w:p w:rsidRPr="002D2A8F" w:rsidR="002D54C4" w:rsidP="00392E21" w:rsidRDefault="002D54C4" w14:paraId="4793EC90" w14:textId="77777777">
      <w:pPr>
        <w:spacing w:line="240" w:lineRule="auto"/>
        <w:ind w:left="720" w:hanging="720"/>
        <w:rPr>
          <w:rFonts w:ascii="Arial" w:hAnsi="Arial" w:eastAsia="Times New Roman" w:cs="Arial"/>
        </w:rPr>
      </w:pPr>
    </w:p>
    <w:p w:rsidRPr="002D2A8F" w:rsidR="002D54C4" w:rsidP="00392E21" w:rsidRDefault="002D54C4" w14:paraId="10E72463" w14:textId="77777777">
      <w:pPr>
        <w:spacing w:before="120" w:after="120" w:line="240" w:lineRule="auto"/>
        <w:ind w:left="720" w:hanging="720"/>
        <w:rPr>
          <w:rFonts w:ascii="Arial" w:hAnsi="Arial" w:eastAsia="Times New Roman" w:cs="Arial"/>
          <w:sz w:val="20"/>
          <w:szCs w:val="20"/>
        </w:rPr>
      </w:pPr>
      <w:r w:rsidRPr="002D2A8F">
        <w:rPr>
          <w:rFonts w:ascii="Arial" w:hAnsi="Arial" w:eastAsia="Times New Roman" w:cs="Arial"/>
          <w:sz w:val="20"/>
          <w:szCs w:val="20"/>
        </w:rPr>
        <w:t>Re:</w:t>
      </w:r>
      <w:r w:rsidRPr="002D2A8F">
        <w:rPr>
          <w:rFonts w:ascii="Arial" w:hAnsi="Arial" w:eastAsia="Times New Roman" w:cs="Arial"/>
          <w:sz w:val="20"/>
          <w:szCs w:val="20"/>
        </w:rPr>
        <w:tab/>
        <w:t>[Insert Name of Agreement] dated _________, 20__ (“</w:t>
      </w:r>
      <w:r w:rsidRPr="002D2A8F">
        <w:rPr>
          <w:rFonts w:ascii="Arial" w:hAnsi="Arial" w:eastAsia="Times New Roman" w:cs="Arial"/>
          <w:b/>
          <w:sz w:val="20"/>
          <w:szCs w:val="20"/>
        </w:rPr>
        <w:t>Agreement</w:t>
      </w:r>
      <w:r w:rsidRPr="002D2A8F">
        <w:rPr>
          <w:rFonts w:ascii="Arial" w:hAnsi="Arial" w:eastAsia="Times New Roman" w:cs="Arial"/>
          <w:sz w:val="20"/>
          <w:szCs w:val="20"/>
        </w:rPr>
        <w:t>”) between [Name of Account Party] (“[</w:t>
      </w:r>
      <w:r w:rsidRPr="002D2A8F">
        <w:rPr>
          <w:rFonts w:ascii="Arial" w:hAnsi="Arial" w:eastAsia="Times New Roman" w:cs="Arial"/>
          <w:b/>
          <w:sz w:val="20"/>
          <w:szCs w:val="20"/>
          <w:highlight w:val="yellow"/>
        </w:rPr>
        <w:t>Account Party</w:t>
      </w:r>
      <w:r w:rsidRPr="002D2A8F">
        <w:rPr>
          <w:rFonts w:ascii="Arial" w:hAnsi="Arial" w:eastAsia="Times New Roman" w:cs="Arial"/>
          <w:sz w:val="20"/>
          <w:szCs w:val="20"/>
        </w:rPr>
        <w:t>]”) and [</w:t>
      </w:r>
      <w:r w:rsidRPr="002D2A8F">
        <w:rPr>
          <w:rFonts w:ascii="Arial" w:hAnsi="Arial" w:eastAsia="Times New Roman" w:cs="Arial"/>
          <w:sz w:val="20"/>
          <w:szCs w:val="20"/>
          <w:highlight w:val="yellow"/>
        </w:rPr>
        <w:t>Name of Beneficiary</w:t>
      </w:r>
      <w:r w:rsidRPr="002D2A8F">
        <w:rPr>
          <w:rFonts w:ascii="Arial" w:hAnsi="Arial" w:eastAsia="Times New Roman" w:cs="Arial"/>
          <w:sz w:val="20"/>
          <w:szCs w:val="20"/>
        </w:rPr>
        <w:t>] (“[</w:t>
      </w:r>
      <w:r w:rsidRPr="002D2A8F">
        <w:rPr>
          <w:rFonts w:ascii="Arial" w:hAnsi="Arial" w:eastAsia="Times New Roman" w:cs="Arial"/>
          <w:b/>
          <w:sz w:val="20"/>
          <w:szCs w:val="20"/>
          <w:highlight w:val="yellow"/>
        </w:rPr>
        <w:t>Beneficiary</w:t>
      </w:r>
      <w:r w:rsidRPr="002D2A8F">
        <w:rPr>
          <w:rFonts w:ascii="Arial" w:hAnsi="Arial" w:eastAsia="Times New Roman" w:cs="Arial"/>
          <w:sz w:val="20"/>
          <w:szCs w:val="20"/>
        </w:rPr>
        <w:t>]”).</w:t>
      </w:r>
    </w:p>
    <w:p w:rsidRPr="002D2A8F" w:rsidR="002D54C4" w:rsidP="00392E21" w:rsidRDefault="002D54C4" w14:paraId="0E6B95CD" w14:textId="77777777">
      <w:pPr>
        <w:spacing w:before="120" w:after="120" w:line="240" w:lineRule="auto"/>
        <w:ind w:left="720" w:hanging="720"/>
        <w:rPr>
          <w:rFonts w:ascii="Arial" w:hAnsi="Arial" w:eastAsia="Times New Roman" w:cs="Arial"/>
          <w:sz w:val="20"/>
          <w:szCs w:val="20"/>
        </w:rPr>
      </w:pPr>
    </w:p>
    <w:p w:rsidRPr="002D2A8F" w:rsidR="002D54C4" w:rsidP="00392E21" w:rsidRDefault="002D54C4" w14:paraId="505E96EA" w14:textId="77777777">
      <w:pPr>
        <w:tabs>
          <w:tab w:val="left" w:pos="720"/>
        </w:tabs>
        <w:spacing w:before="120" w:after="120" w:line="240" w:lineRule="auto"/>
        <w:ind w:firstLine="14"/>
        <w:rPr>
          <w:rFonts w:ascii="Arial" w:hAnsi="Arial" w:eastAsia="Times New Roman" w:cs="Arial"/>
          <w:spacing w:val="-4"/>
          <w:sz w:val="20"/>
          <w:szCs w:val="20"/>
        </w:rPr>
      </w:pPr>
      <w:r w:rsidRPr="002D2A8F">
        <w:rPr>
          <w:rFonts w:ascii="Arial" w:hAnsi="Arial" w:eastAsia="Times New Roman" w:cs="Arial"/>
          <w:spacing w:val="-4"/>
          <w:sz w:val="20"/>
          <w:szCs w:val="20"/>
        </w:rPr>
        <w:tab/>
        <w:t>The undersigned, an officer or authorized representative of [Beneficiary], hereby certifies to [ISSUING BANK] (“</w:t>
      </w:r>
      <w:r w:rsidRPr="002D2A8F">
        <w:rPr>
          <w:rFonts w:ascii="Arial" w:hAnsi="Arial" w:eastAsia="Times New Roman" w:cs="Arial"/>
          <w:b/>
          <w:spacing w:val="-4"/>
          <w:sz w:val="20"/>
          <w:szCs w:val="20"/>
        </w:rPr>
        <w:t>Bank</w:t>
      </w:r>
      <w:r w:rsidRPr="002D2A8F">
        <w:rPr>
          <w:rFonts w:ascii="Arial" w:hAnsi="Arial" w:eastAsia="Times New Roman" w:cs="Arial"/>
          <w:spacing w:val="-4"/>
          <w:sz w:val="20"/>
          <w:szCs w:val="20"/>
        </w:rPr>
        <w:t>”) with reference to irrevocable standby letter of credit no. (“</w:t>
      </w:r>
      <w:r w:rsidRPr="002D2A8F">
        <w:rPr>
          <w:rFonts w:ascii="Arial" w:hAnsi="Arial" w:eastAsia="Times New Roman" w:cs="Arial"/>
          <w:b/>
          <w:spacing w:val="-4"/>
          <w:sz w:val="20"/>
          <w:szCs w:val="20"/>
        </w:rPr>
        <w:t>Standby Letter of Credit</w:t>
      </w:r>
      <w:r w:rsidRPr="002D2A8F">
        <w:rPr>
          <w:rFonts w:ascii="Arial" w:hAnsi="Arial" w:eastAsia="Times New Roman" w:cs="Arial"/>
          <w:spacing w:val="-4"/>
          <w:sz w:val="20"/>
          <w:szCs w:val="20"/>
        </w:rPr>
        <w:t>”), issued by the Bank for the account of [</w:t>
      </w:r>
      <w:r w:rsidRPr="002D2A8F">
        <w:rPr>
          <w:rFonts w:ascii="Arial" w:hAnsi="Arial" w:eastAsia="Times New Roman" w:cs="Arial"/>
          <w:spacing w:val="-4"/>
          <w:sz w:val="20"/>
          <w:szCs w:val="20"/>
          <w:highlight w:val="yellow"/>
        </w:rPr>
        <w:t>Account Party</w:t>
      </w:r>
      <w:r w:rsidRPr="002D2A8F">
        <w:rPr>
          <w:rFonts w:ascii="Arial" w:hAnsi="Arial" w:eastAsia="Times New Roman" w:cs="Arial"/>
          <w:spacing w:val="-4"/>
          <w:sz w:val="20"/>
          <w:szCs w:val="20"/>
        </w:rPr>
        <w:t>] in favor of [</w:t>
      </w:r>
      <w:r w:rsidRPr="002D2A8F">
        <w:rPr>
          <w:rFonts w:ascii="Arial" w:hAnsi="Arial" w:eastAsia="Times New Roman" w:cs="Arial"/>
          <w:spacing w:val="-4"/>
          <w:sz w:val="20"/>
          <w:szCs w:val="20"/>
          <w:highlight w:val="yellow"/>
        </w:rPr>
        <w:t>Beneficiary</w:t>
      </w:r>
      <w:r w:rsidRPr="002D2A8F">
        <w:rPr>
          <w:rFonts w:ascii="Arial" w:hAnsi="Arial" w:eastAsia="Times New Roman" w:cs="Arial"/>
          <w:spacing w:val="-4"/>
          <w:sz w:val="20"/>
          <w:szCs w:val="20"/>
        </w:rPr>
        <w:t>] that:</w:t>
      </w:r>
    </w:p>
    <w:p w:rsidRPr="002D2A8F" w:rsidR="002D54C4" w:rsidP="00392E21" w:rsidRDefault="002D54C4" w14:paraId="57D066BF" w14:textId="77777777">
      <w:pPr>
        <w:tabs>
          <w:tab w:val="left" w:pos="720"/>
          <w:tab w:val="left" w:pos="1440"/>
        </w:tabs>
        <w:spacing w:before="120" w:after="120" w:line="240" w:lineRule="auto"/>
        <w:rPr>
          <w:rFonts w:ascii="Arial" w:hAnsi="Arial" w:eastAsia="Times New Roman" w:cs="Arial"/>
          <w:spacing w:val="-4"/>
          <w:sz w:val="20"/>
          <w:szCs w:val="20"/>
        </w:rPr>
      </w:pPr>
      <w:r w:rsidRPr="002D2A8F">
        <w:rPr>
          <w:rFonts w:ascii="Arial" w:hAnsi="Arial" w:eastAsia="Times New Roman" w:cs="Arial"/>
          <w:spacing w:val="-4"/>
          <w:sz w:val="20"/>
          <w:szCs w:val="20"/>
        </w:rPr>
        <w:tab/>
        <w:t>(1)</w:t>
      </w:r>
      <w:r w:rsidRPr="002D2A8F">
        <w:rPr>
          <w:rFonts w:ascii="Arial" w:hAnsi="Arial" w:eastAsia="Times New Roman" w:cs="Arial"/>
          <w:spacing w:val="-4"/>
          <w:sz w:val="20"/>
          <w:szCs w:val="20"/>
        </w:rPr>
        <w:tab/>
        <w:t>(Insert one of the following, as applicable)</w:t>
      </w:r>
    </w:p>
    <w:p w:rsidRPr="002D2A8F" w:rsidR="002D54C4" w:rsidP="00392E21" w:rsidRDefault="002D54C4" w14:paraId="7102A21F" w14:textId="77777777">
      <w:pPr>
        <w:tabs>
          <w:tab w:val="left" w:pos="720"/>
        </w:tabs>
        <w:spacing w:before="120" w:after="120" w:line="240" w:lineRule="auto"/>
        <w:ind w:firstLine="14"/>
        <w:rPr>
          <w:rFonts w:ascii="Arial" w:hAnsi="Arial" w:eastAsia="Times New Roman" w:cs="Arial"/>
          <w:spacing w:val="-4"/>
          <w:sz w:val="20"/>
          <w:szCs w:val="20"/>
        </w:rPr>
      </w:pPr>
      <w:r w:rsidRPr="002D2A8F">
        <w:rPr>
          <w:rFonts w:ascii="Arial" w:hAnsi="Arial" w:eastAsia="Times New Roman" w:cs="Arial"/>
          <w:spacing w:val="-4"/>
          <w:sz w:val="20"/>
          <w:szCs w:val="20"/>
        </w:rPr>
        <w:tab/>
        <w:t>Under the Agreement, Beneficiary is entitled to demand payment under the Standby Letter of Credit in the amount of the sight draft accompanying this certificate.</w:t>
      </w:r>
    </w:p>
    <w:p w:rsidRPr="002D2A8F" w:rsidR="002D54C4" w:rsidP="00392E21" w:rsidRDefault="002D54C4" w14:paraId="0D127F51" w14:textId="77777777">
      <w:pPr>
        <w:spacing w:before="120" w:after="120" w:line="240" w:lineRule="auto"/>
        <w:rPr>
          <w:rFonts w:ascii="Arial" w:hAnsi="Arial" w:eastAsia="Times New Roman" w:cs="Arial"/>
          <w:spacing w:val="-4"/>
          <w:sz w:val="20"/>
          <w:szCs w:val="20"/>
        </w:rPr>
      </w:pPr>
      <w:r w:rsidRPr="002D2A8F">
        <w:rPr>
          <w:rFonts w:ascii="Arial" w:hAnsi="Arial" w:eastAsia="Times New Roman" w:cs="Arial"/>
          <w:spacing w:val="-4"/>
          <w:sz w:val="20"/>
          <w:szCs w:val="20"/>
        </w:rPr>
        <w:t>or</w:t>
      </w:r>
    </w:p>
    <w:p w:rsidRPr="002D2A8F" w:rsidR="002D54C4" w:rsidP="00392E21" w:rsidRDefault="002D54C4" w14:paraId="19AB0A3D" w14:textId="77777777">
      <w:pPr>
        <w:tabs>
          <w:tab w:val="left" w:pos="720"/>
        </w:tabs>
        <w:spacing w:before="120" w:after="120" w:line="240" w:lineRule="auto"/>
        <w:rPr>
          <w:rFonts w:ascii="Arial" w:hAnsi="Arial" w:eastAsia="Times New Roman" w:cs="Arial"/>
          <w:spacing w:val="-4"/>
          <w:sz w:val="20"/>
          <w:szCs w:val="20"/>
        </w:rPr>
      </w:pPr>
      <w:bookmarkStart w:name="_DV_M801" w:id="1175"/>
      <w:bookmarkEnd w:id="1175"/>
      <w:r w:rsidRPr="002D2A8F">
        <w:rPr>
          <w:rFonts w:ascii="Arial" w:hAnsi="Arial" w:eastAsia="Times New Roman" w:cs="Arial"/>
          <w:spacing w:val="-4"/>
          <w:sz w:val="20"/>
          <w:szCs w:val="20"/>
        </w:rPr>
        <w:tab/>
      </w:r>
      <w:r w:rsidRPr="002D2A8F">
        <w:rPr>
          <w:rFonts w:ascii="Arial" w:hAnsi="Arial" w:eastAsia="Times New Roman" w:cs="Arial"/>
          <w:spacing w:val="-4"/>
          <w:sz w:val="20"/>
          <w:szCs w:val="20"/>
          <w:highlight w:val="yellow"/>
        </w:rPr>
        <w:t>[Beneficiary]</w:t>
      </w:r>
      <w:r w:rsidRPr="002D2A8F">
        <w:rPr>
          <w:rFonts w:ascii="Arial" w:hAnsi="Arial" w:eastAsia="Times New Roman" w:cs="Arial"/>
          <w:spacing w:val="-4"/>
          <w:sz w:val="20"/>
          <w:szCs w:val="20"/>
        </w:rPr>
        <w:t xml:space="preserve"> has received written notice from the Bank in accordance with the terms of the Standby Letter of Credit that the Bank has elected not to extend the Expiry Date of the Standby Letter of Credit for an additional period past its then Expiry Date and the Account Party has failed to deliver a substitute letter of credit in accordance with the terms of the Agreement.</w:t>
      </w:r>
    </w:p>
    <w:p w:rsidRPr="002D2A8F" w:rsidR="002D54C4" w:rsidP="00392E21" w:rsidRDefault="002D54C4" w14:paraId="51B48865" w14:textId="77777777">
      <w:pPr>
        <w:tabs>
          <w:tab w:val="left" w:pos="720"/>
          <w:tab w:val="left" w:pos="1440"/>
        </w:tabs>
        <w:spacing w:before="120" w:after="120" w:line="240" w:lineRule="auto"/>
        <w:ind w:firstLine="14"/>
        <w:rPr>
          <w:rFonts w:ascii="Arial" w:hAnsi="Arial" w:eastAsia="Times New Roman" w:cs="Arial"/>
          <w:spacing w:val="-4"/>
          <w:sz w:val="20"/>
          <w:szCs w:val="20"/>
        </w:rPr>
      </w:pPr>
      <w:bookmarkStart w:name="_DV_M802" w:id="1176"/>
      <w:bookmarkEnd w:id="1176"/>
      <w:r w:rsidRPr="002D2A8F">
        <w:rPr>
          <w:rFonts w:ascii="Arial" w:hAnsi="Arial" w:eastAsia="Times New Roman" w:cs="Arial"/>
          <w:spacing w:val="-4"/>
          <w:sz w:val="20"/>
          <w:szCs w:val="20"/>
        </w:rPr>
        <w:tab/>
        <w:t>(2)</w:t>
      </w:r>
      <w:r w:rsidRPr="002D2A8F">
        <w:rPr>
          <w:rFonts w:ascii="Arial" w:hAnsi="Arial" w:eastAsia="Times New Roman" w:cs="Arial"/>
          <w:spacing w:val="-4"/>
          <w:sz w:val="20"/>
          <w:szCs w:val="20"/>
        </w:rPr>
        <w:tab/>
        <w:t>The undersigned is an officer or authorized representative of [Beneficiary] and is authorized to execute and deliver this certificate and to draw upon the Standby Letter of Credit.</w:t>
      </w:r>
    </w:p>
    <w:p w:rsidRPr="002D2A8F" w:rsidR="002D54C4" w:rsidP="00392E21" w:rsidRDefault="002D54C4" w14:paraId="15E17A6A" w14:textId="77777777">
      <w:pPr>
        <w:tabs>
          <w:tab w:val="left" w:pos="720"/>
        </w:tabs>
        <w:spacing w:before="120" w:after="120" w:line="240" w:lineRule="auto"/>
        <w:ind w:firstLine="14"/>
        <w:rPr>
          <w:rFonts w:ascii="Arial" w:hAnsi="Arial" w:eastAsia="Times New Roman" w:cs="Arial"/>
          <w:spacing w:val="-4"/>
          <w:sz w:val="20"/>
          <w:szCs w:val="20"/>
        </w:rPr>
      </w:pPr>
      <w:bookmarkStart w:name="_DV_M803" w:id="1177"/>
      <w:bookmarkEnd w:id="1177"/>
      <w:r w:rsidRPr="002D2A8F">
        <w:rPr>
          <w:rFonts w:ascii="Arial" w:hAnsi="Arial" w:eastAsia="Times New Roman" w:cs="Arial"/>
          <w:spacing w:val="-4"/>
          <w:sz w:val="20"/>
          <w:szCs w:val="20"/>
        </w:rPr>
        <w:tab/>
        <w:t>IN WITNESS WHEREOF, the undersigned has executed and delivered this Certificate as of this __ day of ________ , 20__.</w:t>
      </w:r>
    </w:p>
    <w:p w:rsidRPr="002D2A8F" w:rsidR="002D54C4" w:rsidP="00392E21" w:rsidRDefault="002D54C4" w14:paraId="0621E152" w14:textId="77777777">
      <w:pPr>
        <w:spacing w:before="120" w:after="120" w:line="240" w:lineRule="auto"/>
        <w:ind w:left="5040"/>
        <w:rPr>
          <w:rFonts w:ascii="Arial" w:hAnsi="Arial" w:eastAsia="Times New Roman" w:cs="Arial"/>
          <w:sz w:val="20"/>
          <w:szCs w:val="20"/>
        </w:rPr>
      </w:pPr>
      <w:bookmarkStart w:name="_DV_M804" w:id="1178"/>
      <w:bookmarkEnd w:id="1178"/>
      <w:r w:rsidRPr="002D2A8F">
        <w:rPr>
          <w:rFonts w:ascii="Arial" w:hAnsi="Arial" w:eastAsia="Times New Roman" w:cs="Arial"/>
          <w:sz w:val="20"/>
          <w:szCs w:val="20"/>
        </w:rPr>
        <w:t>[</w:t>
      </w:r>
      <w:r w:rsidRPr="002D2A8F">
        <w:rPr>
          <w:rFonts w:ascii="Arial" w:hAnsi="Arial" w:eastAsia="Times New Roman" w:cs="Arial"/>
          <w:sz w:val="20"/>
          <w:szCs w:val="20"/>
          <w:highlight w:val="yellow"/>
        </w:rPr>
        <w:t>BENEFICIARY</w:t>
      </w:r>
      <w:r w:rsidRPr="002D2A8F">
        <w:rPr>
          <w:rFonts w:ascii="Arial" w:hAnsi="Arial" w:eastAsia="Times New Roman" w:cs="Arial"/>
          <w:sz w:val="20"/>
          <w:szCs w:val="20"/>
        </w:rPr>
        <w:t>]</w:t>
      </w:r>
    </w:p>
    <w:p w:rsidRPr="002D2A8F" w:rsidR="002D54C4" w:rsidP="00392E21" w:rsidRDefault="002D54C4" w14:paraId="5CCDABBA" w14:textId="77777777">
      <w:pPr>
        <w:spacing w:before="120" w:after="120" w:line="240" w:lineRule="auto"/>
        <w:ind w:left="5040"/>
        <w:rPr>
          <w:rFonts w:ascii="Arial" w:hAnsi="Arial" w:eastAsia="Times New Roman" w:cs="Arial"/>
          <w:sz w:val="20"/>
          <w:szCs w:val="20"/>
        </w:rPr>
      </w:pPr>
    </w:p>
    <w:p w:rsidRPr="002D2A8F" w:rsidR="002D54C4" w:rsidP="00392E21" w:rsidRDefault="002D54C4" w14:paraId="5941ED77" w14:textId="77777777">
      <w:pPr>
        <w:spacing w:before="120" w:after="120" w:line="240" w:lineRule="auto"/>
        <w:ind w:left="5040"/>
        <w:rPr>
          <w:rFonts w:ascii="Arial" w:hAnsi="Arial" w:eastAsia="Times New Roman" w:cs="Arial"/>
          <w:sz w:val="20"/>
          <w:szCs w:val="20"/>
        </w:rPr>
      </w:pPr>
    </w:p>
    <w:p w:rsidRPr="002D2A8F" w:rsidR="002D54C4" w:rsidP="00392E21" w:rsidRDefault="002D54C4" w14:paraId="513FC17A" w14:textId="77777777">
      <w:pPr>
        <w:spacing w:before="120" w:after="120" w:line="240" w:lineRule="auto"/>
        <w:ind w:left="5040"/>
        <w:rPr>
          <w:rFonts w:ascii="Arial" w:hAnsi="Arial" w:eastAsia="Times New Roman" w:cs="Arial"/>
          <w:sz w:val="20"/>
          <w:szCs w:val="20"/>
        </w:rPr>
      </w:pPr>
    </w:p>
    <w:p w:rsidRPr="002D2A8F" w:rsidR="002D54C4" w:rsidP="00392E21" w:rsidRDefault="002D54C4" w14:paraId="15EE3798" w14:textId="77777777">
      <w:pPr>
        <w:tabs>
          <w:tab w:val="right" w:pos="9360"/>
        </w:tabs>
        <w:spacing w:before="120" w:after="120" w:line="240" w:lineRule="auto"/>
        <w:ind w:left="5040"/>
        <w:rPr>
          <w:rFonts w:ascii="Arial" w:hAnsi="Arial" w:eastAsia="Times New Roman" w:cs="Arial"/>
          <w:sz w:val="20"/>
          <w:szCs w:val="20"/>
        </w:rPr>
      </w:pPr>
      <w:bookmarkStart w:name="_DV_M805" w:id="1179"/>
      <w:bookmarkEnd w:id="1179"/>
      <w:r w:rsidRPr="002D2A8F">
        <w:rPr>
          <w:rFonts w:ascii="Arial" w:hAnsi="Arial" w:eastAsia="Times New Roman" w:cs="Arial"/>
          <w:sz w:val="20"/>
          <w:szCs w:val="20"/>
        </w:rPr>
        <w:t>By:</w:t>
      </w:r>
      <w:r w:rsidRPr="002D2A8F">
        <w:rPr>
          <w:rFonts w:ascii="Arial" w:hAnsi="Arial" w:eastAsia="Times New Roman" w:cs="Arial"/>
          <w:sz w:val="20"/>
          <w:szCs w:val="20"/>
          <w:u w:val="single"/>
        </w:rPr>
        <w:tab/>
      </w:r>
    </w:p>
    <w:p w:rsidRPr="002D2A8F" w:rsidR="002D54C4" w:rsidP="00392E21" w:rsidRDefault="002D54C4" w14:paraId="6ED786A0" w14:textId="77777777">
      <w:pPr>
        <w:tabs>
          <w:tab w:val="right" w:pos="9360"/>
        </w:tabs>
        <w:spacing w:before="120" w:after="120" w:line="240" w:lineRule="auto"/>
        <w:ind w:left="5040"/>
        <w:rPr>
          <w:rFonts w:ascii="Arial" w:hAnsi="Arial" w:eastAsia="Times New Roman" w:cs="Arial"/>
          <w:sz w:val="20"/>
          <w:szCs w:val="20"/>
        </w:rPr>
      </w:pPr>
      <w:bookmarkStart w:name="_DV_M806" w:id="1180"/>
      <w:bookmarkEnd w:id="1180"/>
      <w:r w:rsidRPr="002D2A8F">
        <w:rPr>
          <w:rFonts w:ascii="Arial" w:hAnsi="Arial" w:eastAsia="Times New Roman" w:cs="Arial"/>
          <w:sz w:val="20"/>
          <w:szCs w:val="20"/>
        </w:rPr>
        <w:t xml:space="preserve"> </w:t>
      </w:r>
    </w:p>
    <w:p w:rsidRPr="002D2A8F" w:rsidR="002D54C4" w:rsidP="00392E21" w:rsidRDefault="002D54C4" w14:paraId="5D54A21B" w14:textId="77777777">
      <w:pPr>
        <w:tabs>
          <w:tab w:val="right" w:pos="9360"/>
        </w:tabs>
        <w:spacing w:before="120" w:after="120" w:line="240" w:lineRule="auto"/>
        <w:ind w:left="5040"/>
        <w:rPr>
          <w:rFonts w:ascii="Arial" w:hAnsi="Arial" w:eastAsia="Times New Roman" w:cs="Arial"/>
          <w:sz w:val="20"/>
          <w:szCs w:val="20"/>
        </w:rPr>
      </w:pPr>
      <w:bookmarkStart w:name="_DV_M807" w:id="1181"/>
      <w:bookmarkEnd w:id="1181"/>
      <w:r w:rsidRPr="002D2A8F">
        <w:rPr>
          <w:rFonts w:ascii="Arial" w:hAnsi="Arial" w:eastAsia="Times New Roman" w:cs="Arial"/>
          <w:sz w:val="20"/>
          <w:szCs w:val="20"/>
        </w:rPr>
        <w:t>Title:</w:t>
      </w:r>
      <w:r w:rsidRPr="002D2A8F">
        <w:rPr>
          <w:rFonts w:ascii="Arial" w:hAnsi="Arial" w:eastAsia="Times New Roman" w:cs="Arial"/>
          <w:sz w:val="20"/>
          <w:szCs w:val="20"/>
          <w:u w:val="single"/>
        </w:rPr>
        <w:tab/>
      </w:r>
    </w:p>
    <w:p w:rsidRPr="002D2A8F" w:rsidR="002D54C4" w:rsidP="00392E21" w:rsidRDefault="002D54C4" w14:paraId="12DBDAED" w14:textId="77777777">
      <w:pPr>
        <w:spacing w:line="240" w:lineRule="auto"/>
        <w:ind w:left="5040"/>
        <w:rPr>
          <w:rFonts w:ascii="Arial" w:hAnsi="Arial" w:eastAsia="Times New Roman" w:cs="Arial"/>
        </w:rPr>
      </w:pPr>
    </w:p>
    <w:p w:rsidRPr="002D2A8F" w:rsidR="002D54C4" w:rsidP="00702472" w:rsidRDefault="002D54C4" w14:paraId="176A65E8" w14:textId="77777777">
      <w:pPr>
        <w:ind w:left="5040"/>
        <w:rPr>
          <w:rFonts w:ascii="Arial" w:hAnsi="Arial" w:eastAsia="Times New Roman" w:cs="Arial"/>
        </w:rPr>
      </w:pPr>
    </w:p>
    <w:p w:rsidRPr="002D2A8F" w:rsidR="002D54C4" w:rsidP="002D54C4" w:rsidRDefault="002D54C4" w14:paraId="5085B3A6" w14:textId="77777777">
      <w:pPr>
        <w:spacing w:after="240"/>
        <w:rPr>
          <w:rFonts w:ascii="Arial" w:hAnsi="Arial" w:eastAsia="Times New Roman" w:cs="Arial"/>
        </w:rPr>
      </w:pPr>
      <w:bookmarkStart w:name="_DV_M808" w:id="1182"/>
      <w:bookmarkEnd w:id="1182"/>
      <w:r w:rsidRPr="002D2A8F">
        <w:rPr>
          <w:rFonts w:ascii="Arial" w:hAnsi="Arial" w:eastAsia="Times New Roman" w:cs="Arial"/>
        </w:rPr>
        <w:br w:type="page"/>
      </w:r>
    </w:p>
    <w:p w:rsidRPr="002D2A8F" w:rsidR="002D54C4" w:rsidP="002D54C4" w:rsidRDefault="002D54C4" w14:paraId="3449C989" w14:textId="77777777">
      <w:pPr>
        <w:spacing w:after="240"/>
        <w:jc w:val="center"/>
        <w:outlineLvl w:val="3"/>
        <w:rPr>
          <w:rFonts w:ascii="Arial" w:hAnsi="Arial" w:eastAsia="Calibri" w:cs="Arial"/>
          <w:b/>
          <w:caps/>
        </w:rPr>
      </w:pPr>
      <w:r w:rsidRPr="002D2A8F">
        <w:rPr>
          <w:rFonts w:ascii="Arial" w:hAnsi="Arial" w:eastAsia="Calibri" w:cs="Arial"/>
          <w:b/>
          <w:caps/>
        </w:rPr>
        <w:lastRenderedPageBreak/>
        <w:t>Annex 3</w:t>
      </w:r>
    </w:p>
    <w:p w:rsidRPr="002D2A8F" w:rsidR="002D54C4" w:rsidP="002D54C4" w:rsidRDefault="002D54C4" w14:paraId="0DC56BA2" w14:textId="77777777">
      <w:pPr>
        <w:spacing w:after="240"/>
        <w:jc w:val="center"/>
        <w:outlineLvl w:val="3"/>
        <w:rPr>
          <w:rFonts w:ascii="Arial" w:hAnsi="Arial" w:eastAsia="Times New Roman" w:cs="Arial"/>
          <w:caps/>
          <w:spacing w:val="-4"/>
        </w:rPr>
      </w:pPr>
      <w:r w:rsidRPr="002D2A8F">
        <w:rPr>
          <w:rFonts w:ascii="Arial" w:hAnsi="Arial" w:eastAsia="Calibri" w:cs="Arial"/>
          <w:b/>
          <w:caps/>
        </w:rPr>
        <w:t>Form of Instruction to Assign in Entirety</w:t>
      </w:r>
      <w:bookmarkStart w:name="_DV_M809" w:id="1183"/>
      <w:bookmarkStart w:name="_DV_M810" w:id="1184"/>
      <w:bookmarkStart w:name="_DV_M811" w:id="1185"/>
      <w:bookmarkEnd w:id="1183"/>
      <w:bookmarkEnd w:id="1184"/>
      <w:bookmarkEnd w:id="1185"/>
    </w:p>
    <w:p w:rsidRPr="002D2A8F" w:rsidR="002D54C4" w:rsidP="00181805" w:rsidRDefault="002D54C4" w14:paraId="69BED7AD" w14:textId="77777777">
      <w:pPr>
        <w:tabs>
          <w:tab w:val="left" w:pos="0"/>
          <w:tab w:val="left" w:pos="720"/>
        </w:tabs>
        <w:spacing w:before="120" w:after="120" w:line="20" w:lineRule="atLeast"/>
        <w:rPr>
          <w:rFonts w:ascii="Arial" w:hAnsi="Arial" w:eastAsia="Times New Roman" w:cs="Arial"/>
          <w:sz w:val="20"/>
          <w:szCs w:val="20"/>
        </w:rPr>
      </w:pPr>
      <w:r w:rsidRPr="002D2A8F">
        <w:rPr>
          <w:rFonts w:ascii="Arial" w:hAnsi="Arial" w:eastAsia="Times New Roman" w:cs="Arial"/>
          <w:sz w:val="20"/>
          <w:szCs w:val="20"/>
        </w:rPr>
        <w:t>Re: Irrevocable Standby Letter of Credit No.</w:t>
      </w:r>
    </w:p>
    <w:p w:rsidRPr="002D2A8F" w:rsidR="002D54C4" w:rsidP="00181805" w:rsidRDefault="002D54C4" w14:paraId="59650008" w14:textId="77777777">
      <w:pPr>
        <w:spacing w:before="120" w:after="120" w:line="20" w:lineRule="atLeast"/>
        <w:rPr>
          <w:rFonts w:ascii="Arial" w:hAnsi="Arial" w:eastAsia="Times New Roman" w:cs="Arial"/>
          <w:sz w:val="20"/>
          <w:szCs w:val="20"/>
        </w:rPr>
      </w:pPr>
    </w:p>
    <w:p w:rsidRPr="002D2A8F" w:rsidR="002D54C4" w:rsidP="00181805" w:rsidRDefault="002D54C4" w14:paraId="12BF1A3C" w14:textId="77777777">
      <w:pPr>
        <w:spacing w:before="120" w:after="120" w:line="20" w:lineRule="atLeast"/>
        <w:rPr>
          <w:rFonts w:ascii="Arial" w:hAnsi="Arial" w:eastAsia="Times New Roman" w:cs="Arial"/>
          <w:sz w:val="20"/>
          <w:szCs w:val="20"/>
        </w:rPr>
      </w:pPr>
      <w:bookmarkStart w:name="_DV_M812" w:id="1186"/>
      <w:bookmarkEnd w:id="1186"/>
      <w:r w:rsidRPr="002D2A8F">
        <w:rPr>
          <w:rFonts w:ascii="Arial" w:hAnsi="Arial" w:eastAsia="Times New Roman" w:cs="Arial"/>
          <w:sz w:val="20"/>
          <w:szCs w:val="20"/>
        </w:rPr>
        <w:t>Ladies/Gentlemen:</w:t>
      </w:r>
    </w:p>
    <w:p w:rsidRPr="002D2A8F" w:rsidR="002D54C4" w:rsidP="00181805" w:rsidRDefault="002D54C4" w14:paraId="485E35C8" w14:textId="77777777">
      <w:pPr>
        <w:spacing w:before="120" w:after="120" w:line="20" w:lineRule="atLeast"/>
        <w:rPr>
          <w:rFonts w:ascii="Arial" w:hAnsi="Arial" w:eastAsia="Times New Roman" w:cs="Arial"/>
          <w:sz w:val="20"/>
          <w:szCs w:val="20"/>
        </w:rPr>
      </w:pPr>
    </w:p>
    <w:p w:rsidRPr="002D2A8F" w:rsidR="002D54C4" w:rsidP="00181805" w:rsidRDefault="002D54C4" w14:paraId="61420628" w14:textId="77777777">
      <w:pPr>
        <w:spacing w:before="120" w:after="120" w:line="20" w:lineRule="atLeast"/>
        <w:rPr>
          <w:rFonts w:ascii="Arial" w:hAnsi="Arial" w:eastAsia="Times New Roman" w:cs="Arial"/>
          <w:spacing w:val="-4"/>
          <w:sz w:val="20"/>
          <w:szCs w:val="20"/>
        </w:rPr>
      </w:pPr>
      <w:bookmarkStart w:name="_DV_M813" w:id="1187"/>
      <w:bookmarkEnd w:id="1187"/>
      <w:r w:rsidRPr="002D2A8F">
        <w:rPr>
          <w:rFonts w:ascii="Arial" w:hAnsi="Arial" w:eastAsia="Times New Roman" w:cs="Arial"/>
          <w:spacing w:val="-4"/>
          <w:sz w:val="20"/>
          <w:szCs w:val="20"/>
        </w:rPr>
        <w:t>For value received, the undersigned beneficiary hereby irrevocably assigns to:</w:t>
      </w:r>
    </w:p>
    <w:p w:rsidRPr="002D2A8F" w:rsidR="002D54C4" w:rsidP="00181805" w:rsidRDefault="002D54C4" w14:paraId="3CF317D4" w14:textId="77777777">
      <w:pPr>
        <w:spacing w:before="120" w:after="120" w:line="20" w:lineRule="atLeast"/>
        <w:rPr>
          <w:rFonts w:ascii="Arial" w:hAnsi="Arial" w:eastAsia="Times New Roman" w:cs="Arial"/>
          <w:sz w:val="20"/>
          <w:szCs w:val="20"/>
        </w:rPr>
      </w:pPr>
      <w:bookmarkStart w:name="_DV_M814" w:id="1188"/>
      <w:bookmarkEnd w:id="1188"/>
      <w:r w:rsidRPr="002D2A8F">
        <w:rPr>
          <w:rFonts w:ascii="Arial" w:hAnsi="Arial" w:eastAsia="Times New Roman" w:cs="Arial"/>
          <w:sz w:val="20"/>
          <w:szCs w:val="20"/>
          <w:highlight w:val="yellow"/>
        </w:rPr>
        <w:t>[Name of Assignee]</w:t>
      </w:r>
    </w:p>
    <w:p w:rsidRPr="002D2A8F" w:rsidR="002D54C4" w:rsidP="00181805" w:rsidRDefault="002D54C4" w14:paraId="54E5FE0D" w14:textId="77777777">
      <w:pPr>
        <w:spacing w:before="120" w:after="120" w:line="20" w:lineRule="atLeast"/>
        <w:rPr>
          <w:rFonts w:ascii="Arial" w:hAnsi="Arial" w:eastAsia="Times New Roman" w:cs="Arial"/>
          <w:sz w:val="20"/>
          <w:szCs w:val="20"/>
        </w:rPr>
      </w:pPr>
    </w:p>
    <w:p w:rsidRPr="002D2A8F" w:rsidR="002D54C4" w:rsidP="00181805" w:rsidRDefault="002D54C4" w14:paraId="165010FE" w14:textId="77777777">
      <w:pPr>
        <w:spacing w:before="120" w:after="120" w:line="20" w:lineRule="atLeast"/>
        <w:rPr>
          <w:rFonts w:ascii="Arial" w:hAnsi="Arial" w:eastAsia="Times New Roman" w:cs="Arial"/>
          <w:sz w:val="20"/>
          <w:szCs w:val="20"/>
        </w:rPr>
      </w:pPr>
    </w:p>
    <w:p w:rsidRPr="002D2A8F" w:rsidR="002D54C4" w:rsidP="00181805" w:rsidRDefault="002D54C4" w14:paraId="18A892B4" w14:textId="77777777">
      <w:pPr>
        <w:spacing w:before="120" w:after="120" w:line="20" w:lineRule="atLeast"/>
        <w:rPr>
          <w:rFonts w:ascii="Arial" w:hAnsi="Arial" w:eastAsia="Times New Roman" w:cs="Arial"/>
          <w:sz w:val="20"/>
          <w:szCs w:val="20"/>
        </w:rPr>
      </w:pPr>
    </w:p>
    <w:p w:rsidRPr="002D2A8F" w:rsidR="002D54C4" w:rsidP="00181805" w:rsidRDefault="002D54C4" w14:paraId="1610C03C" w14:textId="77777777">
      <w:pPr>
        <w:spacing w:before="120" w:after="120" w:line="20" w:lineRule="atLeast"/>
        <w:rPr>
          <w:rFonts w:ascii="Arial" w:hAnsi="Arial" w:eastAsia="Times New Roman" w:cs="Arial"/>
          <w:sz w:val="20"/>
          <w:szCs w:val="20"/>
        </w:rPr>
      </w:pPr>
      <w:bookmarkStart w:name="_DV_M815" w:id="1189"/>
      <w:bookmarkEnd w:id="1189"/>
      <w:r w:rsidRPr="002D2A8F">
        <w:rPr>
          <w:rFonts w:ascii="Arial" w:hAnsi="Arial" w:eastAsia="Times New Roman" w:cs="Arial"/>
          <w:sz w:val="20"/>
          <w:szCs w:val="20"/>
          <w:highlight w:val="yellow"/>
        </w:rPr>
        <w:t>[Address]</w:t>
      </w:r>
    </w:p>
    <w:p w:rsidRPr="002D2A8F" w:rsidR="002D54C4" w:rsidP="00181805" w:rsidRDefault="002D54C4" w14:paraId="1BAB8428" w14:textId="77777777">
      <w:pPr>
        <w:spacing w:before="120" w:after="120" w:line="20" w:lineRule="atLeast"/>
        <w:rPr>
          <w:rFonts w:ascii="Arial" w:hAnsi="Arial" w:eastAsia="Times New Roman" w:cs="Arial"/>
          <w:sz w:val="20"/>
          <w:szCs w:val="20"/>
        </w:rPr>
      </w:pPr>
    </w:p>
    <w:p w:rsidRPr="002D2A8F" w:rsidR="002D54C4" w:rsidP="00181805" w:rsidRDefault="002D54C4" w14:paraId="1DF9BB84" w14:textId="77777777">
      <w:pPr>
        <w:spacing w:before="120" w:after="120" w:line="20" w:lineRule="atLeast"/>
        <w:rPr>
          <w:rFonts w:ascii="Arial" w:hAnsi="Arial" w:eastAsia="Times New Roman" w:cs="Arial"/>
          <w:sz w:val="20"/>
          <w:szCs w:val="20"/>
        </w:rPr>
      </w:pPr>
      <w:bookmarkStart w:name="_DV_M816" w:id="1190"/>
      <w:bookmarkEnd w:id="1190"/>
      <w:r w:rsidRPr="002D2A8F">
        <w:rPr>
          <w:rFonts w:ascii="Arial" w:hAnsi="Arial" w:eastAsia="Times New Roman" w:cs="Arial"/>
          <w:sz w:val="20"/>
          <w:szCs w:val="20"/>
        </w:rPr>
        <w:t>all rights of the undersigned beneficiary to demand payment under the above Standby Letter of Credit in its entirety.</w:t>
      </w:r>
    </w:p>
    <w:p w:rsidRPr="002D2A8F" w:rsidR="002D54C4" w:rsidP="00181805" w:rsidRDefault="002D54C4" w14:paraId="109B6749" w14:textId="77777777">
      <w:pPr>
        <w:spacing w:before="120" w:after="120" w:line="20" w:lineRule="atLeast"/>
        <w:rPr>
          <w:rFonts w:ascii="Arial" w:hAnsi="Arial" w:eastAsia="Times New Roman" w:cs="Arial"/>
          <w:sz w:val="20"/>
          <w:szCs w:val="20"/>
        </w:rPr>
      </w:pPr>
    </w:p>
    <w:p w:rsidRPr="002D2A8F" w:rsidR="002D54C4" w:rsidP="00181805" w:rsidRDefault="002D54C4" w14:paraId="34D61511" w14:textId="77777777">
      <w:pPr>
        <w:spacing w:before="120" w:after="120" w:line="20" w:lineRule="atLeast"/>
        <w:rPr>
          <w:rFonts w:ascii="Arial" w:hAnsi="Arial" w:eastAsia="Times New Roman" w:cs="Arial"/>
          <w:spacing w:val="-4"/>
          <w:sz w:val="20"/>
          <w:szCs w:val="20"/>
        </w:rPr>
      </w:pPr>
      <w:bookmarkStart w:name="_DV_M817" w:id="1191"/>
      <w:bookmarkEnd w:id="1191"/>
      <w:r w:rsidRPr="002D2A8F">
        <w:rPr>
          <w:rFonts w:ascii="Arial" w:hAnsi="Arial" w:eastAsia="Times New Roman" w:cs="Arial"/>
          <w:spacing w:val="-4"/>
          <w:sz w:val="20"/>
          <w:szCs w:val="20"/>
        </w:rPr>
        <w:t xml:space="preserve">By this assignment, all rights of the undersigned beneficiary in such Standby Letter of Credit are transferred to the assignee and the assignee will hereafter have the sole rights as beneficiary thereof. The Account Party will be responsible for all fees and expenses related to the assignment. </w:t>
      </w:r>
    </w:p>
    <w:p w:rsidRPr="002D2A8F" w:rsidR="002D54C4" w:rsidP="00181805" w:rsidRDefault="002D54C4" w14:paraId="13F2F3D6" w14:textId="77777777">
      <w:pPr>
        <w:spacing w:before="120" w:after="120" w:line="20" w:lineRule="atLeast"/>
        <w:rPr>
          <w:rFonts w:ascii="Arial" w:hAnsi="Arial" w:eastAsia="Times New Roman" w:cs="Arial"/>
          <w:spacing w:val="-4"/>
          <w:sz w:val="20"/>
          <w:szCs w:val="20"/>
        </w:rPr>
      </w:pPr>
      <w:bookmarkStart w:name="_DV_M818" w:id="1192"/>
      <w:bookmarkEnd w:id="1192"/>
      <w:r w:rsidRPr="002D2A8F">
        <w:rPr>
          <w:rFonts w:ascii="Arial" w:hAnsi="Arial" w:eastAsia="Times New Roman" w:cs="Arial"/>
          <w:spacing w:val="-4"/>
          <w:sz w:val="20"/>
          <w:szCs w:val="20"/>
        </w:rPr>
        <w:t>The Account Party will be responsible for all fees and expenses related to this assignment.</w:t>
      </w:r>
    </w:p>
    <w:p w:rsidRPr="002D2A8F" w:rsidR="002D54C4" w:rsidP="00181805" w:rsidRDefault="002D54C4" w14:paraId="6A81173B" w14:textId="77777777">
      <w:pPr>
        <w:spacing w:before="120" w:after="120" w:line="20" w:lineRule="atLeast"/>
        <w:rPr>
          <w:rFonts w:ascii="Arial" w:hAnsi="Arial" w:eastAsia="Times New Roman" w:cs="Arial"/>
          <w:spacing w:val="-4"/>
          <w:sz w:val="20"/>
          <w:szCs w:val="20"/>
        </w:rPr>
      </w:pPr>
      <w:bookmarkStart w:name="_DV_M819" w:id="1193"/>
      <w:bookmarkEnd w:id="1193"/>
      <w:r w:rsidRPr="002D2A8F">
        <w:rPr>
          <w:rFonts w:ascii="Arial" w:hAnsi="Arial" w:eastAsia="Times New Roman" w:cs="Arial"/>
          <w:spacing w:val="-4"/>
          <w:sz w:val="20"/>
          <w:szCs w:val="20"/>
        </w:rPr>
        <w:t>The Standby Letter of Credit is returned herewith and in accordance therewith we ask you to issue a new irrevocable Standby Letter of Credit in favor of the assignee with provisions consistent with the Standby Letter of Credit.</w:t>
      </w:r>
    </w:p>
    <w:p w:rsidRPr="002D2A8F" w:rsidR="002D54C4" w:rsidP="00181805" w:rsidRDefault="002D54C4" w14:paraId="75651F00" w14:textId="77777777">
      <w:pPr>
        <w:spacing w:before="120" w:after="120" w:line="20" w:lineRule="atLeast"/>
        <w:ind w:left="5040"/>
        <w:rPr>
          <w:rFonts w:ascii="Arial" w:hAnsi="Arial" w:eastAsia="Times New Roman" w:cs="Arial"/>
          <w:sz w:val="20"/>
          <w:szCs w:val="20"/>
        </w:rPr>
      </w:pPr>
      <w:bookmarkStart w:name="_DV_M820" w:id="1194"/>
      <w:bookmarkEnd w:id="1194"/>
      <w:r w:rsidRPr="002D2A8F">
        <w:rPr>
          <w:rFonts w:ascii="Arial" w:hAnsi="Arial" w:eastAsia="Times New Roman" w:cs="Arial"/>
          <w:sz w:val="20"/>
          <w:szCs w:val="20"/>
        </w:rPr>
        <w:t>Sincerely,</w:t>
      </w:r>
    </w:p>
    <w:p w:rsidRPr="002D2A8F" w:rsidR="002D54C4" w:rsidP="00181805" w:rsidRDefault="002D54C4" w14:paraId="43634AC5" w14:textId="77777777">
      <w:pPr>
        <w:spacing w:before="120" w:after="120" w:line="20" w:lineRule="atLeast"/>
        <w:ind w:left="5040"/>
        <w:rPr>
          <w:rFonts w:ascii="Arial" w:hAnsi="Arial" w:eastAsia="Times New Roman" w:cs="Arial"/>
          <w:sz w:val="20"/>
          <w:szCs w:val="20"/>
        </w:rPr>
      </w:pPr>
    </w:p>
    <w:p w:rsidRPr="002D2A8F" w:rsidR="002D54C4" w:rsidP="00181805" w:rsidRDefault="002D54C4" w14:paraId="53384680" w14:textId="77777777">
      <w:pPr>
        <w:spacing w:before="120" w:after="120" w:line="20" w:lineRule="atLeast"/>
        <w:ind w:left="5040"/>
        <w:rPr>
          <w:rFonts w:ascii="Arial" w:hAnsi="Arial" w:eastAsia="Times New Roman" w:cs="Arial"/>
          <w:sz w:val="20"/>
          <w:szCs w:val="20"/>
        </w:rPr>
      </w:pPr>
      <w:bookmarkStart w:name="_DV_M821" w:id="1195"/>
      <w:bookmarkEnd w:id="1195"/>
      <w:r w:rsidRPr="002D2A8F">
        <w:rPr>
          <w:rFonts w:ascii="Arial" w:hAnsi="Arial" w:eastAsia="Times New Roman" w:cs="Arial"/>
          <w:sz w:val="20"/>
          <w:szCs w:val="20"/>
        </w:rPr>
        <w:t>[</w:t>
      </w:r>
      <w:r w:rsidRPr="002D2A8F">
        <w:rPr>
          <w:rFonts w:ascii="Arial" w:hAnsi="Arial" w:eastAsia="Times New Roman" w:cs="Arial"/>
          <w:sz w:val="20"/>
          <w:szCs w:val="20"/>
          <w:highlight w:val="yellow"/>
        </w:rPr>
        <w:t>Beneficiary</w:t>
      </w:r>
      <w:r w:rsidRPr="002D2A8F">
        <w:rPr>
          <w:rFonts w:ascii="Arial" w:hAnsi="Arial" w:eastAsia="Times New Roman" w:cs="Arial"/>
          <w:sz w:val="20"/>
          <w:szCs w:val="20"/>
        </w:rPr>
        <w:t>]</w:t>
      </w:r>
    </w:p>
    <w:p w:rsidRPr="002D2A8F" w:rsidR="002D54C4" w:rsidP="00181805" w:rsidRDefault="002D54C4" w14:paraId="30F57BA9" w14:textId="77777777">
      <w:pPr>
        <w:spacing w:before="120" w:after="120" w:line="20" w:lineRule="atLeast"/>
        <w:ind w:left="5040"/>
        <w:rPr>
          <w:rFonts w:ascii="Arial" w:hAnsi="Arial" w:eastAsia="Times New Roman" w:cs="Arial"/>
          <w:sz w:val="20"/>
          <w:szCs w:val="20"/>
        </w:rPr>
      </w:pPr>
    </w:p>
    <w:p w:rsidRPr="002D2A8F" w:rsidR="002D54C4" w:rsidP="00181805" w:rsidRDefault="002D54C4" w14:paraId="5495D018" w14:textId="77777777">
      <w:pPr>
        <w:spacing w:before="120" w:after="120" w:line="20" w:lineRule="atLeast"/>
        <w:ind w:left="5040"/>
        <w:rPr>
          <w:rFonts w:ascii="Arial" w:hAnsi="Arial" w:eastAsia="Times New Roman" w:cs="Arial"/>
          <w:sz w:val="20"/>
          <w:szCs w:val="20"/>
        </w:rPr>
      </w:pPr>
    </w:p>
    <w:p w:rsidRPr="002D2A8F" w:rsidR="002D54C4" w:rsidP="00181805" w:rsidRDefault="002D54C4" w14:paraId="125D106C" w14:textId="77777777">
      <w:pPr>
        <w:tabs>
          <w:tab w:val="right" w:pos="9360"/>
        </w:tabs>
        <w:spacing w:before="120" w:after="120" w:line="20" w:lineRule="atLeast"/>
        <w:ind w:left="5040"/>
        <w:rPr>
          <w:rFonts w:ascii="Arial" w:hAnsi="Arial" w:eastAsia="Times New Roman" w:cs="Arial"/>
          <w:sz w:val="20"/>
          <w:szCs w:val="20"/>
        </w:rPr>
      </w:pPr>
      <w:bookmarkStart w:name="_DV_M822" w:id="1196"/>
      <w:bookmarkEnd w:id="1196"/>
      <w:r w:rsidRPr="002D2A8F">
        <w:rPr>
          <w:rFonts w:ascii="Arial" w:hAnsi="Arial" w:eastAsia="Times New Roman" w:cs="Arial"/>
          <w:sz w:val="20"/>
          <w:szCs w:val="20"/>
        </w:rPr>
        <w:t>By:</w:t>
      </w:r>
      <w:r w:rsidRPr="002D2A8F">
        <w:rPr>
          <w:rFonts w:ascii="Arial" w:hAnsi="Arial" w:eastAsia="Times New Roman" w:cs="Arial"/>
          <w:sz w:val="20"/>
          <w:szCs w:val="20"/>
          <w:u w:val="single"/>
        </w:rPr>
        <w:tab/>
      </w:r>
    </w:p>
    <w:p w:rsidRPr="002D2A8F" w:rsidR="002D54C4" w:rsidP="00181805" w:rsidRDefault="002D54C4" w14:paraId="174BC1B3" w14:textId="77777777">
      <w:pPr>
        <w:tabs>
          <w:tab w:val="right" w:pos="9360"/>
        </w:tabs>
        <w:spacing w:before="120" w:after="120" w:line="20" w:lineRule="atLeast"/>
        <w:ind w:left="5040"/>
        <w:rPr>
          <w:rFonts w:ascii="Arial" w:hAnsi="Arial" w:eastAsia="Times New Roman" w:cs="Arial"/>
          <w:sz w:val="20"/>
          <w:szCs w:val="20"/>
        </w:rPr>
      </w:pPr>
    </w:p>
    <w:p w:rsidR="00413886" w:rsidP="00DC7C32" w:rsidRDefault="002D54C4" w14:paraId="640F1A08" w14:textId="77777777">
      <w:pPr>
        <w:tabs>
          <w:tab w:val="right" w:pos="9360"/>
        </w:tabs>
        <w:spacing w:before="120" w:after="120" w:line="20" w:lineRule="atLeast"/>
        <w:ind w:left="5040"/>
        <w:rPr>
          <w:rFonts w:ascii="Arial" w:hAnsi="Arial" w:eastAsia="Times New Roman" w:cs="Arial"/>
          <w:sz w:val="20"/>
          <w:szCs w:val="20"/>
        </w:rPr>
      </w:pPr>
      <w:bookmarkStart w:name="_DV_M823" w:id="1197"/>
      <w:bookmarkEnd w:id="1197"/>
      <w:r w:rsidRPr="002D2A8F">
        <w:rPr>
          <w:rFonts w:ascii="Arial" w:hAnsi="Arial" w:eastAsia="Times New Roman" w:cs="Arial"/>
          <w:sz w:val="20"/>
          <w:szCs w:val="20"/>
        </w:rPr>
        <w:t>Title:</w:t>
      </w:r>
    </w:p>
    <w:p w:rsidR="00413886" w:rsidRDefault="00413886" w14:paraId="7BFB08D0" w14:textId="77777777">
      <w:pPr>
        <w:rPr>
          <w:rFonts w:ascii="Arial" w:hAnsi="Arial" w:eastAsia="Times New Roman" w:cs="Arial"/>
          <w:sz w:val="20"/>
          <w:szCs w:val="20"/>
        </w:rPr>
        <w:sectPr w:rsidR="00413886" w:rsidSect="003B614F">
          <w:footnotePr>
            <w:numRestart w:val="eachSect"/>
          </w:footnotePr>
          <w:type w:val="continuous"/>
          <w:pgSz w:w="12240" w:h="15840" w:code="1"/>
          <w:pgMar w:top="1440" w:right="1440" w:bottom="1440" w:left="1440" w:header="720" w:footer="720" w:gutter="0"/>
          <w:paperSrc w:first="15" w:other="15"/>
          <w:cols w:space="1440"/>
        </w:sectPr>
      </w:pPr>
      <w:r>
        <w:rPr>
          <w:rFonts w:ascii="Arial" w:hAnsi="Arial" w:eastAsia="Times New Roman" w:cs="Arial"/>
          <w:sz w:val="20"/>
          <w:szCs w:val="20"/>
        </w:rPr>
        <w:br w:type="page"/>
      </w:r>
    </w:p>
    <w:p w:rsidRPr="002D2A8F" w:rsidR="002D54C4" w:rsidP="00413886" w:rsidRDefault="002D54C4" w14:paraId="434654C9" w14:textId="31DB353F">
      <w:pPr>
        <w:pStyle w:val="zGTitleExhibit"/>
        <w:rPr>
          <w:rFonts w:cs="Arial"/>
        </w:rPr>
      </w:pPr>
      <w:bookmarkStart w:name="_Toc169778727" w:id="1198"/>
      <w:bookmarkStart w:name="_Toc227451499" w:id="1199"/>
      <w:r w:rsidRPr="002D2A8F">
        <w:rPr>
          <w:rFonts w:cs="Arial"/>
        </w:rPr>
        <w:lastRenderedPageBreak/>
        <w:t xml:space="preserve">Exhibit </w:t>
      </w:r>
      <w:r w:rsidR="00316F5D">
        <w:rPr>
          <w:rFonts w:cs="Arial"/>
        </w:rPr>
        <w:t>L</w:t>
      </w:r>
      <w:r w:rsidRPr="002D2A8F" w:rsidR="00316F5D">
        <w:rPr>
          <w:rFonts w:cs="Arial"/>
        </w:rPr>
        <w:t xml:space="preserve"> </w:t>
      </w:r>
      <w:r w:rsidRPr="002D2A8F">
        <w:rPr>
          <w:rFonts w:cs="Arial"/>
        </w:rPr>
        <w:t>– Form of Guaranty</w:t>
      </w:r>
      <w:bookmarkEnd w:id="1198"/>
      <w:bookmarkEnd w:id="1199"/>
    </w:p>
    <w:p w:rsidRPr="008642F1" w:rsidR="001A685F" w:rsidP="001A685F" w:rsidRDefault="001A685F" w14:paraId="7C2F7AE8" w14:textId="77777777">
      <w:pPr>
        <w:rPr>
          <w:rFonts w:ascii="Arial" w:hAnsi="Arial" w:eastAsia="Times New Roman" w:cs="Arial"/>
          <w:sz w:val="20"/>
          <w:szCs w:val="20"/>
        </w:rPr>
      </w:pPr>
      <w:r w:rsidRPr="008642F1">
        <w:rPr>
          <w:rFonts w:ascii="Arial" w:hAnsi="Arial" w:eastAsia="Times New Roman" w:cs="Arial"/>
          <w:sz w:val="20"/>
          <w:szCs w:val="20"/>
        </w:rPr>
        <w:t xml:space="preserve">This </w:t>
      </w:r>
      <w:r w:rsidRPr="008642F1">
        <w:rPr>
          <w:rFonts w:ascii="Arial" w:hAnsi="Arial" w:eastAsia="Times New Roman" w:cs="Arial"/>
          <w:b/>
          <w:sz w:val="20"/>
          <w:szCs w:val="20"/>
        </w:rPr>
        <w:t>Guaranty Agreement</w:t>
      </w:r>
      <w:r w:rsidRPr="008642F1">
        <w:rPr>
          <w:rFonts w:ascii="Arial" w:hAnsi="Arial" w:eastAsia="Times New Roman" w:cs="Arial"/>
          <w:sz w:val="20"/>
          <w:szCs w:val="20"/>
        </w:rPr>
        <w:t xml:space="preserve"> (“</w:t>
      </w:r>
      <w:r w:rsidRPr="008642F1">
        <w:rPr>
          <w:rFonts w:ascii="Arial" w:hAnsi="Arial" w:eastAsia="Times New Roman" w:cs="Arial"/>
          <w:b/>
          <w:sz w:val="20"/>
          <w:szCs w:val="20"/>
        </w:rPr>
        <w:t>Guaranty</w:t>
      </w:r>
      <w:r w:rsidRPr="008642F1">
        <w:rPr>
          <w:rFonts w:ascii="Arial" w:hAnsi="Arial" w:eastAsia="Times New Roman" w:cs="Arial"/>
          <w:sz w:val="20"/>
          <w:szCs w:val="20"/>
        </w:rPr>
        <w:t>”), effective as of ___________, 20__ (“</w:t>
      </w:r>
      <w:r w:rsidRPr="008642F1">
        <w:rPr>
          <w:rFonts w:ascii="Arial" w:hAnsi="Arial" w:eastAsia="Times New Roman" w:cs="Arial"/>
          <w:b/>
          <w:sz w:val="20"/>
          <w:szCs w:val="20"/>
        </w:rPr>
        <w:t>Effective Date</w:t>
      </w:r>
      <w:r w:rsidRPr="008642F1">
        <w:rPr>
          <w:rFonts w:ascii="Arial" w:hAnsi="Arial" w:eastAsia="Times New Roman" w:cs="Arial"/>
          <w:sz w:val="20"/>
          <w:szCs w:val="20"/>
        </w:rPr>
        <w:t>”), is entered into by __________________ (“</w:t>
      </w:r>
      <w:r w:rsidRPr="008642F1">
        <w:rPr>
          <w:rFonts w:ascii="Arial" w:hAnsi="Arial" w:eastAsia="Times New Roman" w:cs="Arial"/>
          <w:b/>
          <w:sz w:val="20"/>
          <w:szCs w:val="20"/>
        </w:rPr>
        <w:t>Guarantor</w:t>
      </w:r>
      <w:r w:rsidRPr="008642F1">
        <w:rPr>
          <w:rFonts w:ascii="Arial" w:hAnsi="Arial" w:eastAsia="Times New Roman" w:cs="Arial"/>
          <w:sz w:val="20"/>
          <w:szCs w:val="20"/>
        </w:rPr>
        <w:t>”) in favor of Georgia Power Company (“</w:t>
      </w:r>
      <w:r w:rsidRPr="008642F1">
        <w:rPr>
          <w:rFonts w:ascii="Arial" w:hAnsi="Arial" w:eastAsia="Times New Roman" w:cs="Arial"/>
          <w:b/>
          <w:sz w:val="20"/>
          <w:szCs w:val="20"/>
        </w:rPr>
        <w:t>Beneficiary</w:t>
      </w:r>
      <w:r w:rsidRPr="008642F1">
        <w:rPr>
          <w:rFonts w:ascii="Arial" w:hAnsi="Arial" w:eastAsia="Times New Roman" w:cs="Arial"/>
          <w:sz w:val="20"/>
          <w:szCs w:val="20"/>
        </w:rPr>
        <w:t>”). Guarantor acknowledges:</w:t>
      </w:r>
    </w:p>
    <w:p w:rsidRPr="0054623E" w:rsidR="001A685F" w:rsidP="00D94D93" w:rsidRDefault="001A685F" w14:paraId="348FC767" w14:textId="654A4B8D">
      <w:pPr>
        <w:numPr>
          <w:ilvl w:val="0"/>
          <w:numId w:val="26"/>
        </w:numPr>
        <w:spacing w:before="120" w:after="0" w:line="240" w:lineRule="auto"/>
        <w:jc w:val="both"/>
        <w:rPr>
          <w:rFonts w:ascii="Arial" w:hAnsi="Arial" w:eastAsia="Times New Roman" w:cs="Arial"/>
          <w:spacing w:val="-4"/>
          <w:sz w:val="20"/>
          <w:szCs w:val="20"/>
        </w:rPr>
      </w:pPr>
      <w:bookmarkStart w:name="_DV_M826" w:id="1200"/>
      <w:bookmarkEnd w:id="1200"/>
      <w:r w:rsidRPr="008642F1">
        <w:rPr>
          <w:rFonts w:ascii="Arial" w:hAnsi="Arial" w:eastAsia="Times New Roman" w:cs="Arial"/>
          <w:spacing w:val="-4"/>
          <w:sz w:val="20"/>
          <w:szCs w:val="20"/>
        </w:rPr>
        <w:t>Beneficiary and ____________________ (“</w:t>
      </w:r>
      <w:r w:rsidRPr="008642F1">
        <w:rPr>
          <w:rFonts w:ascii="Arial" w:hAnsi="Arial" w:eastAsia="Times New Roman" w:cs="Arial"/>
          <w:b/>
          <w:bCs/>
          <w:spacing w:val="-4"/>
          <w:sz w:val="20"/>
          <w:szCs w:val="20"/>
        </w:rPr>
        <w:t>Company</w:t>
      </w:r>
      <w:r w:rsidRPr="008642F1">
        <w:rPr>
          <w:rFonts w:ascii="Arial" w:hAnsi="Arial" w:eastAsia="Times New Roman" w:cs="Arial"/>
          <w:spacing w:val="-4"/>
          <w:sz w:val="20"/>
          <w:szCs w:val="20"/>
        </w:rPr>
        <w:t>”), [an Affiliate of Guarantor], have entered into a</w:t>
      </w:r>
      <w:r w:rsidRPr="008642F1">
        <w:rPr>
          <w:rFonts w:ascii="Arial" w:hAnsi="Arial" w:cs="Arial"/>
          <w:sz w:val="20"/>
          <w:szCs w:val="20"/>
        </w:rPr>
        <w:t xml:space="preserve"> </w:t>
      </w:r>
      <w:bookmarkStart w:name="_Hlk142671291" w:id="1201"/>
      <w:r w:rsidRPr="00D20C77" w:rsidR="00D20C77">
        <w:rPr>
          <w:rFonts w:ascii="Arial" w:hAnsi="Arial" w:eastAsia="Times New Roman" w:cs="Arial"/>
          <w:b/>
          <w:bCs/>
          <w:sz w:val="20"/>
          <w:szCs w:val="20"/>
        </w:rPr>
        <w:t xml:space="preserve">Power </w:t>
      </w:r>
      <w:r w:rsidRPr="00D20C77" w:rsidR="00D20C77">
        <w:rPr>
          <w:rFonts w:ascii="Arial" w:hAnsi="Arial" w:cs="Arial"/>
          <w:b/>
          <w:bCs/>
          <w:sz w:val="20"/>
          <w:szCs w:val="20"/>
        </w:rPr>
        <w:t>Purchase Agreement for Firm Capacity, Associated Energy, and Ancillary Services from a</w:t>
      </w:r>
      <w:r w:rsidR="004B20B7">
        <w:rPr>
          <w:rFonts w:ascii="Arial" w:hAnsi="Arial" w:cs="Arial"/>
          <w:b/>
          <w:bCs/>
          <w:sz w:val="20"/>
          <w:szCs w:val="20"/>
        </w:rPr>
        <w:t xml:space="preserve"> Battery</w:t>
      </w:r>
      <w:r w:rsidRPr="00D20C77" w:rsidR="00D20C77">
        <w:rPr>
          <w:rFonts w:ascii="Arial" w:hAnsi="Arial" w:cs="Arial"/>
          <w:b/>
          <w:bCs/>
          <w:sz w:val="20"/>
          <w:szCs w:val="20"/>
        </w:rPr>
        <w:t xml:space="preserve"> Energy Storage System with Renewable Resource</w:t>
      </w:r>
      <w:r w:rsidR="00D11F9B">
        <w:rPr>
          <w:rFonts w:ascii="Arial" w:hAnsi="Arial" w:cs="Arial"/>
          <w:b/>
          <w:bCs/>
          <w:sz w:val="20"/>
          <w:szCs w:val="20"/>
        </w:rPr>
        <w:t xml:space="preserve"> for</w:t>
      </w:r>
      <w:r w:rsidR="00915D8C">
        <w:rPr>
          <w:rFonts w:ascii="Arial" w:hAnsi="Arial" w:cs="Arial"/>
          <w:b/>
          <w:bCs/>
          <w:sz w:val="20"/>
          <w:szCs w:val="20"/>
        </w:rPr>
        <w:t xml:space="preserve"> </w:t>
      </w:r>
      <w:r w:rsidRPr="00A13878" w:rsidR="00A13878">
        <w:rPr>
          <w:rFonts w:ascii="Arial" w:hAnsi="Arial" w:cs="Arial"/>
          <w:b/>
          <w:bCs/>
          <w:sz w:val="20"/>
          <w:szCs w:val="20"/>
        </w:rPr>
        <w:t>2026 All-Source Capacity Request for Proposals for Need Years 2032</w:t>
      </w:r>
      <w:r w:rsidR="00A63086">
        <w:rPr>
          <w:rFonts w:ascii="Arial" w:hAnsi="Arial" w:cs="Arial"/>
          <w:b/>
          <w:bCs/>
          <w:sz w:val="20"/>
          <w:szCs w:val="20"/>
        </w:rPr>
        <w:t>-</w:t>
      </w:r>
      <w:r w:rsidRPr="00A13878" w:rsidR="00A13878">
        <w:rPr>
          <w:rFonts w:ascii="Arial" w:hAnsi="Arial" w:cs="Arial"/>
          <w:b/>
          <w:bCs/>
          <w:sz w:val="20"/>
          <w:szCs w:val="20"/>
        </w:rPr>
        <w:t>2033</w:t>
      </w:r>
      <w:r w:rsidRPr="00A13878" w:rsidDel="00A13878" w:rsidR="00A13878">
        <w:rPr>
          <w:rFonts w:ascii="Arial" w:hAnsi="Arial" w:cs="Arial"/>
          <w:b/>
          <w:bCs/>
          <w:sz w:val="20"/>
          <w:szCs w:val="20"/>
        </w:rPr>
        <w:t xml:space="preserve"> </w:t>
      </w:r>
      <w:r w:rsidRPr="008642F1">
        <w:rPr>
          <w:rFonts w:ascii="Arial" w:hAnsi="Arial" w:cs="Arial"/>
          <w:b/>
          <w:bCs/>
          <w:sz w:val="20"/>
          <w:szCs w:val="20"/>
        </w:rPr>
        <w:t xml:space="preserve">at </w:t>
      </w:r>
      <w:r w:rsidRPr="004A7BE4">
        <w:rPr>
          <w:rFonts w:ascii="Arial" w:hAnsi="Arial" w:cs="Arial"/>
          <w:b/>
          <w:bCs/>
          <w:sz w:val="20"/>
          <w:szCs w:val="20"/>
          <w:highlight w:val="yellow"/>
        </w:rPr>
        <w:t>#FacilityName#</w:t>
      </w:r>
      <w:r w:rsidRPr="008642F1">
        <w:rPr>
          <w:rFonts w:ascii="Arial" w:hAnsi="Arial" w:cs="Arial"/>
          <w:b/>
          <w:bCs/>
          <w:sz w:val="20"/>
          <w:szCs w:val="20"/>
        </w:rPr>
        <w:t xml:space="preserve"> </w:t>
      </w:r>
      <w:bookmarkEnd w:id="1201"/>
      <w:r w:rsidRPr="008642F1">
        <w:rPr>
          <w:rFonts w:ascii="Arial" w:hAnsi="Arial" w:eastAsia="Times New Roman" w:cs="Arial"/>
          <w:spacing w:val="-4"/>
          <w:sz w:val="20"/>
          <w:szCs w:val="20"/>
        </w:rPr>
        <w:t xml:space="preserve">dated as of ____________, 20__ </w:t>
      </w:r>
      <w:bookmarkStart w:name="_Hlk142669679" w:id="1202"/>
      <w:r w:rsidRPr="008642F1">
        <w:rPr>
          <w:rFonts w:ascii="Arial" w:hAnsi="Arial" w:eastAsia="Times New Roman" w:cs="Arial"/>
          <w:sz w:val="20"/>
          <w:szCs w:val="20"/>
        </w:rPr>
        <w:t xml:space="preserve"> </w:t>
      </w:r>
      <w:bookmarkEnd w:id="1202"/>
      <w:r w:rsidRPr="008642F1">
        <w:rPr>
          <w:rFonts w:ascii="Arial" w:hAnsi="Arial" w:eastAsia="Times New Roman" w:cs="Arial"/>
          <w:sz w:val="20"/>
          <w:szCs w:val="20"/>
        </w:rPr>
        <w:t>(as amended, restated, supplemented or otherwise modified from time to time, “</w:t>
      </w:r>
      <w:r w:rsidRPr="008642F1">
        <w:rPr>
          <w:rFonts w:ascii="Arial" w:hAnsi="Arial" w:eastAsia="Times New Roman" w:cs="Arial"/>
          <w:b/>
          <w:spacing w:val="-4"/>
          <w:sz w:val="20"/>
          <w:szCs w:val="20"/>
        </w:rPr>
        <w:t>PPA</w:t>
      </w:r>
      <w:r w:rsidRPr="008642F1">
        <w:rPr>
          <w:rFonts w:ascii="Arial" w:hAnsi="Arial" w:eastAsia="Times New Roman" w:cs="Arial"/>
          <w:spacing w:val="-4"/>
          <w:sz w:val="20"/>
          <w:szCs w:val="20"/>
        </w:rPr>
        <w:t xml:space="preserve">”) regarding </w:t>
      </w:r>
      <w:r w:rsidR="00E80B7E">
        <w:rPr>
          <w:rFonts w:ascii="Arial" w:hAnsi="Arial" w:eastAsia="Times New Roman" w:cs="Arial"/>
          <w:spacing w:val="-4"/>
          <w:sz w:val="20"/>
          <w:szCs w:val="20"/>
        </w:rPr>
        <w:t xml:space="preserve">a </w:t>
      </w:r>
      <w:r w:rsidR="00AE78DB">
        <w:rPr>
          <w:rFonts w:ascii="Arial" w:hAnsi="Arial" w:eastAsia="Times New Roman" w:cs="Arial"/>
          <w:spacing w:val="-4"/>
          <w:sz w:val="20"/>
          <w:szCs w:val="20"/>
        </w:rPr>
        <w:t>paired generating facility and battery energy storage system</w:t>
      </w:r>
      <w:r w:rsidRPr="008642F1">
        <w:rPr>
          <w:rFonts w:ascii="Arial" w:hAnsi="Arial" w:eastAsia="Times New Roman" w:cs="Arial"/>
          <w:spacing w:val="-4"/>
          <w:sz w:val="20"/>
          <w:szCs w:val="20"/>
        </w:rPr>
        <w:t xml:space="preserve"> located in </w:t>
      </w:r>
      <w:r w:rsidRPr="004A7BE4">
        <w:rPr>
          <w:rFonts w:ascii="Arial" w:hAnsi="Arial" w:eastAsia="Times New Roman" w:cs="Arial"/>
          <w:spacing w:val="-4"/>
          <w:sz w:val="20"/>
          <w:szCs w:val="20"/>
          <w:highlight w:val="yellow"/>
        </w:rPr>
        <w:t>#FacilityCity</w:t>
      </w:r>
      <w:r w:rsidRPr="004A7BE4">
        <w:rPr>
          <w:rFonts w:ascii="Arial" w:hAnsi="Arial" w:eastAsia="Times New Roman" w:cs="Arial"/>
          <w:spacing w:val="-4"/>
          <w:sz w:val="20"/>
          <w:szCs w:val="20"/>
        </w:rPr>
        <w:t xml:space="preserve">, </w:t>
      </w:r>
      <w:r w:rsidRPr="004A7BE4">
        <w:rPr>
          <w:rFonts w:ascii="Arial" w:hAnsi="Arial" w:eastAsia="Times New Roman" w:cs="Arial"/>
          <w:spacing w:val="-4"/>
          <w:sz w:val="20"/>
          <w:szCs w:val="20"/>
          <w:highlight w:val="yellow"/>
        </w:rPr>
        <w:t>#FacilityState</w:t>
      </w:r>
      <w:r w:rsidRPr="008642F1">
        <w:rPr>
          <w:rFonts w:ascii="Arial" w:hAnsi="Arial" w:eastAsia="Times New Roman" w:cs="Arial"/>
          <w:spacing w:val="-4"/>
          <w:sz w:val="20"/>
          <w:szCs w:val="20"/>
        </w:rPr>
        <w:t xml:space="preserve">, as further described in </w:t>
      </w:r>
      <w:r w:rsidRPr="0054623E">
        <w:rPr>
          <w:rFonts w:ascii="Arial" w:hAnsi="Arial" w:eastAsia="Times New Roman" w:cs="Arial"/>
          <w:spacing w:val="-4"/>
          <w:sz w:val="20"/>
          <w:szCs w:val="20"/>
        </w:rPr>
        <w:t>Exhibit A (</w:t>
      </w:r>
      <w:r w:rsidRPr="0054623E">
        <w:rPr>
          <w:rFonts w:ascii="Arial" w:hAnsi="Arial" w:eastAsia="Times New Roman" w:cs="Arial"/>
          <w:i/>
          <w:spacing w:val="-4"/>
          <w:sz w:val="20"/>
          <w:szCs w:val="20"/>
        </w:rPr>
        <w:t xml:space="preserve">Facility Description and </w:t>
      </w:r>
      <w:bookmarkStart w:name="_DV_M827" w:id="1203"/>
      <w:bookmarkEnd w:id="1203"/>
      <w:r w:rsidRPr="0054623E" w:rsidR="00511066">
        <w:rPr>
          <w:rFonts w:ascii="Arial" w:hAnsi="Arial" w:eastAsia="Times New Roman" w:cs="Arial"/>
          <w:i/>
          <w:spacing w:val="-4"/>
          <w:sz w:val="20"/>
          <w:szCs w:val="20"/>
        </w:rPr>
        <w:t>Additional Details</w:t>
      </w:r>
      <w:r w:rsidRPr="0054623E">
        <w:rPr>
          <w:rFonts w:ascii="Arial" w:hAnsi="Arial" w:eastAsia="Times New Roman" w:cs="Arial"/>
          <w:spacing w:val="-4"/>
          <w:sz w:val="20"/>
          <w:szCs w:val="20"/>
        </w:rPr>
        <w:t>);</w:t>
      </w:r>
    </w:p>
    <w:p w:rsidRPr="0054623E" w:rsidR="001A685F" w:rsidP="00D94D93" w:rsidRDefault="001A685F" w14:paraId="27494074" w14:textId="774771BF">
      <w:pPr>
        <w:numPr>
          <w:ilvl w:val="0"/>
          <w:numId w:val="26"/>
        </w:numPr>
        <w:spacing w:after="0"/>
        <w:rPr>
          <w:rFonts w:ascii="Arial" w:hAnsi="Arial" w:eastAsia="Times New Roman" w:cs="Arial"/>
          <w:spacing w:val="-4"/>
          <w:sz w:val="20"/>
          <w:szCs w:val="20"/>
        </w:rPr>
      </w:pPr>
      <w:r w:rsidRPr="0054623E">
        <w:rPr>
          <w:rFonts w:ascii="Arial" w:hAnsi="Arial" w:eastAsia="Times New Roman" w:cs="Arial"/>
          <w:spacing w:val="-4"/>
          <w:sz w:val="20"/>
          <w:szCs w:val="20"/>
        </w:rPr>
        <w:t xml:space="preserve">Beneficiary has required, as </w:t>
      </w:r>
      <w:r w:rsidRPr="0054623E">
        <w:rPr>
          <w:rFonts w:ascii="Arial" w:hAnsi="Arial" w:eastAsia="Times New Roman" w:cs="Arial"/>
          <w:sz w:val="20"/>
          <w:szCs w:val="20"/>
        </w:rPr>
        <w:t>an inducement</w:t>
      </w:r>
      <w:r w:rsidRPr="0054623E">
        <w:rPr>
          <w:rFonts w:ascii="Arial" w:hAnsi="Arial" w:eastAsia="Times New Roman" w:cs="Arial"/>
          <w:spacing w:val="-4"/>
          <w:sz w:val="20"/>
          <w:szCs w:val="20"/>
        </w:rPr>
        <w:t xml:space="preserve"> to its entry into the PPA, that Guarantor deliver to the Beneficiary this Guaranty or other Eligible Collateral as and when required under the PPA;</w:t>
      </w:r>
      <w:bookmarkStart w:name="_DV_M828" w:id="1204"/>
      <w:bookmarkEnd w:id="1204"/>
    </w:p>
    <w:p w:rsidRPr="0054623E" w:rsidR="001A685F" w:rsidP="00D94D93" w:rsidRDefault="001A685F" w14:paraId="403A66A0" w14:textId="03CB4E7C">
      <w:pPr>
        <w:numPr>
          <w:ilvl w:val="0"/>
          <w:numId w:val="26"/>
        </w:numPr>
        <w:spacing w:after="0"/>
        <w:rPr>
          <w:rFonts w:ascii="Arial" w:hAnsi="Arial" w:eastAsia="Times New Roman" w:cs="Arial"/>
          <w:spacing w:val="-4"/>
          <w:sz w:val="20"/>
          <w:szCs w:val="20"/>
        </w:rPr>
      </w:pPr>
      <w:r w:rsidRPr="0054623E">
        <w:rPr>
          <w:rFonts w:ascii="Arial" w:hAnsi="Arial" w:eastAsia="Times New Roman" w:cs="Arial"/>
          <w:spacing w:val="-4"/>
          <w:sz w:val="20"/>
          <w:szCs w:val="20"/>
        </w:rPr>
        <w:t>Guarantor qualifies as a Seller Guarantor under the PPA, and this Guaranty qualifies as Eligible Collateral under the PPA; and</w:t>
      </w:r>
      <w:bookmarkStart w:name="_DV_M829" w:id="1205"/>
      <w:bookmarkEnd w:id="1205"/>
    </w:p>
    <w:p w:rsidRPr="0054623E" w:rsidR="001A685F" w:rsidP="00D94D93" w:rsidRDefault="001A685F" w14:paraId="1B7FE2B7" w14:textId="27BF29FB">
      <w:pPr>
        <w:numPr>
          <w:ilvl w:val="0"/>
          <w:numId w:val="26"/>
        </w:numPr>
        <w:spacing w:after="0"/>
        <w:rPr>
          <w:rFonts w:ascii="Arial" w:hAnsi="Arial" w:eastAsia="Times New Roman" w:cs="Arial"/>
          <w:spacing w:val="-4"/>
          <w:sz w:val="20"/>
          <w:szCs w:val="20"/>
        </w:rPr>
      </w:pPr>
      <w:r w:rsidRPr="0054623E">
        <w:rPr>
          <w:rFonts w:ascii="Arial" w:hAnsi="Arial" w:eastAsia="Times New Roman" w:cs="Arial"/>
          <w:spacing w:val="-4"/>
          <w:sz w:val="20"/>
          <w:szCs w:val="20"/>
        </w:rPr>
        <w:t>Guarantor will derive substantial direct and indirect benefit from the transactions contemplated by the PPA.</w:t>
      </w:r>
    </w:p>
    <w:p w:rsidR="001A685F" w:rsidP="001A685F" w:rsidRDefault="001A685F" w14:paraId="1429511D" w14:textId="6BC1356B">
      <w:pPr>
        <w:rPr>
          <w:rFonts w:ascii="Arial" w:hAnsi="Arial" w:eastAsia="Times New Roman" w:cs="Arial"/>
          <w:sz w:val="20"/>
          <w:szCs w:val="20"/>
        </w:rPr>
      </w:pPr>
      <w:bookmarkStart w:name="_DV_M830" w:id="1206"/>
      <w:bookmarkEnd w:id="1206"/>
      <w:r w:rsidRPr="0054623E">
        <w:rPr>
          <w:rFonts w:ascii="Arial" w:hAnsi="Arial" w:eastAsia="Times New Roman" w:cs="Arial"/>
          <w:sz w:val="20"/>
          <w:szCs w:val="20"/>
        </w:rPr>
        <w:t>To induce Beneficiary to enter into and perform its obligations under the PPA, and for and in consideration of the foregoing premises, the mutual agreements contained herein, and other good and valuable consideration, the receipt and sufficiency of which are acknowledged, Guarantor agrees as follows:</w:t>
      </w:r>
    </w:p>
    <w:p w:rsidRPr="0072211F" w:rsidR="00461007" w:rsidP="0072211F" w:rsidRDefault="00461007" w14:paraId="70534057" w14:textId="77777777">
      <w:pPr>
        <w:keepNext/>
        <w:autoSpaceDE w:val="0"/>
        <w:autoSpaceDN w:val="0"/>
        <w:adjustRightInd w:val="0"/>
        <w:spacing w:before="240" w:after="120" w:line="240" w:lineRule="auto"/>
        <w:outlineLvl w:val="0"/>
        <w:rPr>
          <w:rFonts w:ascii="Arial" w:hAnsi="Arial"/>
          <w:b/>
          <w:caps/>
        </w:rPr>
      </w:pPr>
      <w:r w:rsidRPr="00461007">
        <w:rPr>
          <w:rFonts w:ascii="Arial" w:hAnsi="Arial" w:eastAsia="Times New Roman" w:cs="Times New Roman"/>
          <w:b/>
          <w:caps/>
          <w:sz w:val="20"/>
          <w:szCs w:val="20"/>
        </w:rPr>
        <w:t xml:space="preserve">PART 1 </w:t>
      </w:r>
      <w:r w:rsidRPr="0072211F">
        <w:rPr>
          <w:rFonts w:ascii="Arial" w:hAnsi="Arial"/>
          <w:b/>
          <w:caps/>
          <w:sz w:val="20"/>
        </w:rPr>
        <w:t>Definitions</w:t>
      </w:r>
    </w:p>
    <w:p w:rsidRPr="00EC0667" w:rsidR="00461007" w:rsidP="00D94D93" w:rsidRDefault="00461007" w14:paraId="4A0453AC" w14:textId="42C3B09C">
      <w:pPr>
        <w:numPr>
          <w:ilvl w:val="0"/>
          <w:numId w:val="53"/>
        </w:numPr>
        <w:tabs>
          <w:tab w:val="left" w:pos="540"/>
        </w:tabs>
        <w:autoSpaceDE w:val="0"/>
        <w:autoSpaceDN w:val="0"/>
        <w:adjustRightInd w:val="0"/>
        <w:spacing w:before="120" w:after="120" w:line="240" w:lineRule="auto"/>
        <w:ind w:left="0" w:firstLine="0"/>
        <w:jc w:val="both"/>
        <w:outlineLvl w:val="1"/>
      </w:pPr>
      <w:r w:rsidRPr="0072211F">
        <w:rPr>
          <w:rFonts w:ascii="Arial" w:hAnsi="Arial" w:cs="Arial" w:eastAsiaTheme="minorEastAsia"/>
          <w:b/>
          <w:bCs/>
          <w:kern w:val="14"/>
          <w:sz w:val="20"/>
          <w:szCs w:val="20"/>
        </w:rPr>
        <w:t>Definitions.</w:t>
      </w:r>
      <w:r w:rsidRPr="0072211F">
        <w:rPr>
          <w:rFonts w:ascii="Arial" w:hAnsi="Arial"/>
          <w:sz w:val="20"/>
        </w:rPr>
        <w:t xml:space="preserve"> Unless otherwise defined in this Guaranty, capitalized terms have the meanings specified or referred to in the PPA.</w:t>
      </w:r>
    </w:p>
    <w:p w:rsidRPr="0072211F" w:rsidR="005E2F0E" w:rsidP="0072211F" w:rsidRDefault="005E2F0E" w14:paraId="1AE591A8" w14:textId="77777777">
      <w:pPr>
        <w:keepNext/>
        <w:autoSpaceDE w:val="0"/>
        <w:autoSpaceDN w:val="0"/>
        <w:adjustRightInd w:val="0"/>
        <w:spacing w:before="240" w:after="120" w:line="240" w:lineRule="auto"/>
        <w:outlineLvl w:val="0"/>
        <w:rPr>
          <w:rFonts w:ascii="Arial" w:hAnsi="Arial"/>
          <w:b/>
          <w:caps/>
        </w:rPr>
      </w:pPr>
      <w:bookmarkStart w:name="_DV_M831" w:id="1207"/>
      <w:bookmarkStart w:name="_DV_M832" w:id="1208"/>
      <w:bookmarkStart w:name="_DV_M833" w:id="1209"/>
      <w:bookmarkStart w:name="_DV_M834" w:id="1210"/>
      <w:bookmarkStart w:name="_DV_M835" w:id="1211"/>
      <w:bookmarkStart w:name="_DV_M836" w:id="1212"/>
      <w:bookmarkStart w:name="_DV_M837" w:id="1213"/>
      <w:bookmarkStart w:name="_DV_M838" w:id="1214"/>
      <w:bookmarkStart w:name="_DV_M839" w:id="1215"/>
      <w:bookmarkStart w:name="_DV_M840" w:id="1216"/>
      <w:bookmarkStart w:name="_DV_M841" w:id="1217"/>
      <w:bookmarkStart w:name="_DV_M842" w:id="1218"/>
      <w:bookmarkStart w:name="_DV_M844" w:id="1219"/>
      <w:bookmarkStart w:name="_DV_M845" w:id="1220"/>
      <w:bookmarkStart w:name="_DV_M846" w:id="1221"/>
      <w:bookmarkStart w:name="_DV_M847" w:id="1222"/>
      <w:bookmarkStart w:name="_DV_M848" w:id="1223"/>
      <w:bookmarkStart w:name="_DV_M849" w:id="1224"/>
      <w:bookmarkStart w:name="_DV_M850" w:id="1225"/>
      <w:bookmarkStart w:name="_DV_M851" w:id="1226"/>
      <w:bookmarkStart w:name="_DV_M852" w:id="1227"/>
      <w:bookmarkStart w:name="_DV_M854" w:id="1228"/>
      <w:bookmarkStart w:name="_DV_M855" w:id="1229"/>
      <w:bookmarkStart w:name="_DV_M856" w:id="1230"/>
      <w:bookmarkStart w:name="_DV_M857" w:id="1231"/>
      <w:bookmarkStart w:name="_DV_M858" w:id="1232"/>
      <w:bookmarkStart w:name="_DV_M859" w:id="1233"/>
      <w:bookmarkStart w:name="_DV_M860" w:id="1234"/>
      <w:bookmarkStart w:name="_DV_M861" w:id="1235"/>
      <w:bookmarkStart w:name="_DV_M862" w:id="1236"/>
      <w:bookmarkStart w:name="_DV_M863" w:id="1237"/>
      <w:bookmarkStart w:name="_DV_M864" w:id="1238"/>
      <w:bookmarkStart w:name="_DV_M865" w:id="1239"/>
      <w:bookmarkStart w:name="_DV_M866" w:id="1240"/>
      <w:bookmarkStart w:name="_DV_M867" w:id="1241"/>
      <w:bookmarkStart w:name="_DV_M868" w:id="1242"/>
      <w:bookmarkStart w:name="_DV_M869" w:id="1243"/>
      <w:bookmarkStart w:name="_DV_M870" w:id="1244"/>
      <w:bookmarkStart w:name="_DV_M871" w:id="1245"/>
      <w:bookmarkStart w:name="_DV_M872" w:id="1246"/>
      <w:bookmarkStart w:name="_DV_M876" w:id="1247"/>
      <w:bookmarkStart w:name="_DV_M877" w:id="1248"/>
      <w:bookmarkStart w:name="_DV_M878" w:id="1249"/>
      <w:bookmarkStart w:name="_DV_M879" w:id="1250"/>
      <w:bookmarkStart w:name="_DV_M880" w:id="1251"/>
      <w:bookmarkStart w:name="_DV_M881" w:id="1252"/>
      <w:bookmarkStart w:name="_DV_M882" w:id="1253"/>
      <w:bookmarkStart w:name="_DV_M883" w:id="1254"/>
      <w:bookmarkStart w:name="_DV_M885" w:id="1255"/>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r w:rsidRPr="005E2F0E">
        <w:rPr>
          <w:rFonts w:ascii="Arial" w:hAnsi="Arial" w:eastAsia="Times New Roman" w:cs="Times New Roman"/>
          <w:b/>
          <w:caps/>
          <w:sz w:val="20"/>
          <w:szCs w:val="20"/>
        </w:rPr>
        <w:t xml:space="preserve">PART 2 </w:t>
      </w:r>
      <w:r w:rsidRPr="0072211F">
        <w:rPr>
          <w:rFonts w:ascii="Arial" w:hAnsi="Arial"/>
          <w:b/>
          <w:caps/>
          <w:sz w:val="20"/>
        </w:rPr>
        <w:t>Guaranty</w:t>
      </w:r>
    </w:p>
    <w:p w:rsidRPr="00EC0667" w:rsidR="005E2F0E" w:rsidP="0072211F" w:rsidRDefault="00AA7941" w14:paraId="74119539" w14:textId="6C9F9228">
      <w:pPr>
        <w:tabs>
          <w:tab w:val="left" w:pos="540"/>
        </w:tabs>
        <w:autoSpaceDE w:val="0"/>
        <w:autoSpaceDN w:val="0"/>
        <w:adjustRightInd w:val="0"/>
        <w:spacing w:before="120" w:after="120" w:line="240" w:lineRule="auto"/>
        <w:jc w:val="both"/>
        <w:outlineLvl w:val="1"/>
      </w:pPr>
      <w:r w:rsidRPr="00052DE3">
        <w:rPr>
          <w:rFonts w:ascii="Arial" w:hAnsi="Arial" w:eastAsia="Times New Roman" w:cs="Times New Roman"/>
          <w:bCs/>
        </w:rPr>
        <w:t>2.1</w:t>
      </w:r>
      <w:r w:rsidRPr="00052DE3">
        <w:rPr>
          <w:rFonts w:ascii="Arial" w:hAnsi="Arial" w:eastAsia="Times New Roman" w:cs="Times New Roman"/>
        </w:rPr>
        <w:t xml:space="preserve">  </w:t>
      </w:r>
      <w:r w:rsidRPr="0072211F" w:rsidR="005E2F0E">
        <w:rPr>
          <w:rFonts w:ascii="Arial" w:hAnsi="Arial" w:cs="Arial" w:eastAsiaTheme="minorEastAsia"/>
          <w:b/>
          <w:kern w:val="14"/>
          <w:sz w:val="20"/>
          <w:szCs w:val="20"/>
        </w:rPr>
        <w:t>Guaranty.</w:t>
      </w:r>
      <w:r w:rsidRPr="0072211F" w:rsidR="005E2F0E">
        <w:rPr>
          <w:rFonts w:ascii="Arial" w:hAnsi="Arial" w:cs="Arial" w:eastAsiaTheme="minorEastAsia"/>
          <w:b/>
          <w:i/>
          <w:kern w:val="14"/>
          <w:sz w:val="20"/>
          <w:szCs w:val="20"/>
        </w:rPr>
        <w:t xml:space="preserve"> </w:t>
      </w:r>
      <w:r w:rsidRPr="0072211F" w:rsidR="005E2F0E">
        <w:rPr>
          <w:rFonts w:ascii="Arial" w:hAnsi="Arial"/>
          <w:sz w:val="20"/>
        </w:rPr>
        <w:t>Guarantor unconditionally and irrevocably guarantees to Beneficiary and Beneficiary’s successors and assigns, that Guarantor will make prompt and full payment of any obligations of Company to Beneficiary when due, whether by acceleration or otherwise, with any interest as may accrue under the PPA or under any other documents or instruments now or in the future evidencing, securing, or otherwise relating to the PPA (“</w:t>
      </w:r>
      <w:r w:rsidRPr="0072211F" w:rsidR="005E2F0E">
        <w:rPr>
          <w:rFonts w:ascii="Arial" w:hAnsi="Arial"/>
          <w:b/>
          <w:sz w:val="20"/>
        </w:rPr>
        <w:t>Guaranteed Obligations</w:t>
      </w:r>
      <w:r w:rsidRPr="0072211F" w:rsidR="005E2F0E">
        <w:rPr>
          <w:rFonts w:ascii="Arial" w:hAnsi="Arial"/>
          <w:sz w:val="20"/>
        </w:rPr>
        <w:t>”), except that Guarantor’s liability under this Guaranty will in no event exceed the aggregate amount of Eligible Collateral that Company must provide in accordance with PPA Part 6 (</w:t>
      </w:r>
      <w:r w:rsidRPr="0072211F" w:rsidR="005E2F0E">
        <w:rPr>
          <w:rFonts w:ascii="Arial" w:hAnsi="Arial"/>
          <w:i/>
          <w:sz w:val="20"/>
        </w:rPr>
        <w:t>Performance Security</w:t>
      </w:r>
      <w:r w:rsidRPr="0072211F" w:rsidR="005E2F0E">
        <w:rPr>
          <w:rFonts w:ascii="Arial" w:hAnsi="Arial"/>
          <w:sz w:val="20"/>
        </w:rPr>
        <w:t>) (plus costs of enforcement of this Guaranty as provided in Section 4.4 (</w:t>
      </w:r>
      <w:r w:rsidRPr="0072211F" w:rsidR="005E2F0E">
        <w:rPr>
          <w:rFonts w:ascii="Arial" w:hAnsi="Arial"/>
          <w:i/>
          <w:sz w:val="20"/>
        </w:rPr>
        <w:t>Expenses</w:t>
      </w:r>
      <w:r w:rsidRPr="0072211F" w:rsidR="005E2F0E">
        <w:rPr>
          <w:rFonts w:ascii="Arial" w:hAnsi="Arial"/>
          <w:sz w:val="20"/>
        </w:rPr>
        <w:t>)). Guarantor must immediately pay for any obligation of Company upon demand by Beneficiary.</w:t>
      </w:r>
    </w:p>
    <w:p w:rsidRPr="00EC0667" w:rsidR="005E2F0E" w:rsidP="0072211F" w:rsidRDefault="005E2F0E" w14:paraId="61969893" w14:textId="77777777">
      <w:pPr>
        <w:tabs>
          <w:tab w:val="left" w:pos="540"/>
          <w:tab w:val="left" w:pos="1440"/>
        </w:tabs>
        <w:autoSpaceDE w:val="0"/>
        <w:autoSpaceDN w:val="0"/>
        <w:adjustRightInd w:val="0"/>
        <w:spacing w:before="120" w:after="120" w:line="240" w:lineRule="auto"/>
        <w:jc w:val="both"/>
        <w:outlineLvl w:val="1"/>
        <w:rPr>
          <w:rFonts w:ascii="Arial" w:hAnsi="Arial"/>
          <w:i/>
        </w:rPr>
      </w:pPr>
      <w:r w:rsidRPr="005E2F0E">
        <w:rPr>
          <w:rFonts w:ascii="Arial" w:hAnsi="Arial" w:eastAsia="Times New Roman" w:cs="Times New Roman"/>
          <w:b/>
          <w:sz w:val="20"/>
          <w:szCs w:val="20"/>
        </w:rPr>
        <w:t>2.2</w:t>
      </w:r>
      <w:r w:rsidRPr="005E2F0E">
        <w:rPr>
          <w:rFonts w:ascii="Arial" w:hAnsi="Arial" w:eastAsia="Times New Roman" w:cs="Times New Roman"/>
          <w:b/>
          <w:i/>
          <w:sz w:val="20"/>
          <w:szCs w:val="20"/>
        </w:rPr>
        <w:tab/>
      </w:r>
      <w:r w:rsidRPr="0072211F">
        <w:rPr>
          <w:rFonts w:ascii="Arial" w:hAnsi="Arial"/>
          <w:b/>
          <w:sz w:val="20"/>
        </w:rPr>
        <w:t>Guaranty Absolute</w:t>
      </w:r>
      <w:r w:rsidRPr="0072211F">
        <w:rPr>
          <w:rFonts w:ascii="Arial" w:hAnsi="Arial"/>
          <w:b/>
          <w:i/>
          <w:sz w:val="20"/>
        </w:rPr>
        <w:t>.</w:t>
      </w:r>
    </w:p>
    <w:p w:rsidRPr="00EC0667" w:rsidR="005E2F0E" w:rsidP="0072211F" w:rsidRDefault="005E2F0E" w14:paraId="69683CC1" w14:textId="77777777">
      <w:pPr>
        <w:tabs>
          <w:tab w:val="left" w:pos="1440"/>
        </w:tabs>
        <w:autoSpaceDE w:val="0"/>
        <w:autoSpaceDN w:val="0"/>
        <w:adjustRightInd w:val="0"/>
        <w:spacing w:before="120" w:after="120" w:line="240" w:lineRule="auto"/>
        <w:ind w:left="270"/>
        <w:jc w:val="both"/>
        <w:outlineLvl w:val="1"/>
      </w:pPr>
      <w:r w:rsidRPr="005E2F0E">
        <w:rPr>
          <w:rFonts w:ascii="Arial" w:hAnsi="Arial" w:eastAsia="Times New Roman" w:cs="Times New Roman"/>
          <w:b/>
          <w:iCs/>
          <w:sz w:val="20"/>
          <w:szCs w:val="20"/>
        </w:rPr>
        <w:t>2.2.1.</w:t>
      </w:r>
      <w:r w:rsidRPr="0072211F">
        <w:rPr>
          <w:rFonts w:ascii="Arial" w:hAnsi="Arial"/>
          <w:b/>
          <w:sz w:val="20"/>
        </w:rPr>
        <w:t xml:space="preserve"> Guarantor Guarantees.</w:t>
      </w:r>
      <w:r w:rsidRPr="0072211F">
        <w:rPr>
          <w:rFonts w:ascii="Arial" w:hAnsi="Arial"/>
          <w:sz w:val="20"/>
        </w:rPr>
        <w:t xml:space="preserve"> Guarantor absolutely guarantees that the Guaranteed Obligations will be paid strictly in accordance with the terms of the PPA, regardless of any law or regulation in effect now, or that may come into effect in the future, in any jurisdiction affecting any of the terms or the rights of Beneficiary regarding the PPA. This Guaranty constitutes a guarantee of payment and not of collection. The obligations of Guarantor under this Guaranty are primary obligations and are several from Company or any other Person, and Guarantor is the principal obligor under this Guaranty. Guarantor’s liability under this Guaranty will be direct and immediate and not conditional or contingent upon the pursuit of any remedies against Company or any other person, nor against securities or liens available to Beneficiary or Beneficiary’s successors or assigns. </w:t>
      </w:r>
      <w:r w:rsidRPr="0072211F">
        <w:rPr>
          <w:rFonts w:ascii="Arial" w:hAnsi="Arial"/>
          <w:b/>
          <w:sz w:val="20"/>
        </w:rPr>
        <w:t>Guarantor’s liability under this Guaranty will be irrevocable, absolute, and unconditional irrespective of, and Guarantor unconditionally and irrevocably waives any defenses it may now have or later acquire in any way relating to:</w:t>
      </w:r>
    </w:p>
    <w:p w:rsidRPr="00EC0667" w:rsidR="005E2F0E" w:rsidP="00D94D93" w:rsidRDefault="005E2F0E" w14:paraId="5EEFB3E5" w14:textId="77777777">
      <w:pPr>
        <w:widowControl w:val="0"/>
        <w:numPr>
          <w:ilvl w:val="6"/>
          <w:numId w:val="50"/>
        </w:numPr>
        <w:tabs>
          <w:tab w:val="left" w:pos="1080"/>
          <w:tab w:val="left" w:pos="5788"/>
        </w:tabs>
        <w:autoSpaceDE w:val="0"/>
        <w:autoSpaceDN w:val="0"/>
        <w:adjustRightInd w:val="0"/>
        <w:spacing w:before="120" w:after="120" w:line="240" w:lineRule="auto"/>
        <w:ind w:left="540" w:firstLine="0"/>
        <w:jc w:val="both"/>
        <w:outlineLvl w:val="6"/>
        <w:rPr>
          <w:rFonts w:cs="Arial"/>
          <w:b/>
        </w:rPr>
      </w:pPr>
      <w:r w:rsidRPr="0072211F">
        <w:rPr>
          <w:rFonts w:ascii="Arial" w:hAnsi="Arial"/>
          <w:b/>
          <w:sz w:val="20"/>
        </w:rPr>
        <w:lastRenderedPageBreak/>
        <w:t>any change in the time, manner, or place of payment of, or in any other term of, any of the Guaranteed Obligations, or any other amendment, modification, or waiver of, or any consent to departure from, the terms of any Guaranteed Obligations, or any compromise, settlement, release, or termination of any of the Guaranteed Obligations;</w:t>
      </w:r>
    </w:p>
    <w:p w:rsidRPr="00EC0667" w:rsidR="005E2F0E" w:rsidP="00D94D93" w:rsidRDefault="005E2F0E" w14:paraId="2CD534BB" w14:textId="77777777">
      <w:pPr>
        <w:widowControl w:val="0"/>
        <w:numPr>
          <w:ilvl w:val="6"/>
          <w:numId w:val="50"/>
        </w:numPr>
        <w:tabs>
          <w:tab w:val="left" w:pos="1080"/>
          <w:tab w:val="left" w:pos="5788"/>
        </w:tabs>
        <w:autoSpaceDE w:val="0"/>
        <w:autoSpaceDN w:val="0"/>
        <w:adjustRightInd w:val="0"/>
        <w:spacing w:before="120" w:after="120" w:line="240" w:lineRule="auto"/>
        <w:ind w:left="540" w:firstLine="0"/>
        <w:jc w:val="both"/>
        <w:outlineLvl w:val="6"/>
        <w:rPr>
          <w:rFonts w:cs="Arial"/>
          <w:b/>
        </w:rPr>
      </w:pPr>
      <w:r w:rsidRPr="0072211F">
        <w:rPr>
          <w:rFonts w:ascii="Arial" w:hAnsi="Arial"/>
          <w:b/>
          <w:sz w:val="20"/>
        </w:rPr>
        <w:t>any change, restructuring, or termination of the corporate structure or existence of Company or any of its subsidiaries, including Guarantor’s disposal of any part of Guarantor’s interest in Company, or Guarantor’s alteration of Guarantor’s investment in Company in any manner;</w:t>
      </w:r>
    </w:p>
    <w:p w:rsidRPr="00EC0667" w:rsidR="005E2F0E" w:rsidP="00D94D93" w:rsidRDefault="005E2F0E" w14:paraId="0A54A9ED" w14:textId="77777777">
      <w:pPr>
        <w:keepNext/>
        <w:keepLines/>
        <w:numPr>
          <w:ilvl w:val="6"/>
          <w:numId w:val="50"/>
        </w:numPr>
        <w:tabs>
          <w:tab w:val="left" w:pos="1080"/>
          <w:tab w:val="left" w:pos="5788"/>
        </w:tabs>
        <w:autoSpaceDE w:val="0"/>
        <w:autoSpaceDN w:val="0"/>
        <w:adjustRightInd w:val="0"/>
        <w:spacing w:before="120" w:after="120" w:line="240" w:lineRule="auto"/>
        <w:ind w:left="547" w:firstLine="0"/>
        <w:jc w:val="both"/>
        <w:outlineLvl w:val="6"/>
        <w:rPr>
          <w:rFonts w:cs="Arial"/>
          <w:b/>
        </w:rPr>
      </w:pPr>
      <w:r w:rsidRPr="0072211F">
        <w:rPr>
          <w:rFonts w:ascii="Arial" w:hAnsi="Arial"/>
          <w:b/>
          <w:sz w:val="20"/>
        </w:rPr>
        <w:t>any lack of validity or enforceability, in whole or in part, of the Guaranteed Obligations, the PPA, or any agreement or instrument relating the Guaranteed Obligations or the PPA;</w:t>
      </w:r>
    </w:p>
    <w:p w:rsidRPr="00EC0667" w:rsidR="005E2F0E" w:rsidP="00D94D93" w:rsidRDefault="005E2F0E" w14:paraId="6D07A137" w14:textId="77777777">
      <w:pPr>
        <w:widowControl w:val="0"/>
        <w:numPr>
          <w:ilvl w:val="6"/>
          <w:numId w:val="50"/>
        </w:numPr>
        <w:tabs>
          <w:tab w:val="left" w:pos="1080"/>
          <w:tab w:val="left" w:pos="5788"/>
        </w:tabs>
        <w:autoSpaceDE w:val="0"/>
        <w:autoSpaceDN w:val="0"/>
        <w:adjustRightInd w:val="0"/>
        <w:spacing w:before="120" w:after="120" w:line="240" w:lineRule="auto"/>
        <w:ind w:left="540" w:firstLine="0"/>
        <w:jc w:val="both"/>
        <w:outlineLvl w:val="6"/>
        <w:rPr>
          <w:rFonts w:cs="Arial"/>
          <w:b/>
        </w:rPr>
      </w:pPr>
      <w:r w:rsidRPr="0072211F">
        <w:rPr>
          <w:rFonts w:ascii="Arial" w:hAnsi="Arial"/>
          <w:b/>
          <w:sz w:val="20"/>
        </w:rPr>
        <w:t>any failure of Beneficiary to disclose to either Company or Guarantor any information relating to the business, condition (financial or otherwise), operations, performance, properties, or prospects of either Company or any of its subsidiaries now or in the future known to Beneficiary (Guarantor waiving any duty on the part of Beneficiary to disclose the information);</w:t>
      </w:r>
    </w:p>
    <w:p w:rsidRPr="00EC0667" w:rsidR="005E2F0E" w:rsidP="00D94D93" w:rsidRDefault="005E2F0E" w14:paraId="58C0BD0E" w14:textId="77777777">
      <w:pPr>
        <w:widowControl w:val="0"/>
        <w:numPr>
          <w:ilvl w:val="6"/>
          <w:numId w:val="50"/>
        </w:numPr>
        <w:tabs>
          <w:tab w:val="left" w:pos="1080"/>
          <w:tab w:val="left" w:pos="5788"/>
        </w:tabs>
        <w:autoSpaceDE w:val="0"/>
        <w:autoSpaceDN w:val="0"/>
        <w:adjustRightInd w:val="0"/>
        <w:spacing w:before="120" w:after="120" w:line="240" w:lineRule="auto"/>
        <w:ind w:left="540" w:firstLine="0"/>
        <w:jc w:val="both"/>
        <w:outlineLvl w:val="6"/>
        <w:rPr>
          <w:rFonts w:cs="Arial"/>
          <w:b/>
        </w:rPr>
      </w:pPr>
      <w:r w:rsidRPr="0072211F">
        <w:rPr>
          <w:rFonts w:ascii="Arial" w:hAnsi="Arial"/>
          <w:b/>
          <w:sz w:val="20"/>
        </w:rPr>
        <w:t>any failure, omission, delay, or lack on the part of Beneficiary to enforce, ascertain, or exercise any right, power, or remedy under or pursuant to the terms of the PPA, the Guaranteed Obligations, or this Guaranty;</w:t>
      </w:r>
    </w:p>
    <w:p w:rsidRPr="00EC0667" w:rsidR="005E2F0E" w:rsidP="00D94D93" w:rsidRDefault="005E2F0E" w14:paraId="7521A883" w14:textId="77777777">
      <w:pPr>
        <w:widowControl w:val="0"/>
        <w:numPr>
          <w:ilvl w:val="6"/>
          <w:numId w:val="50"/>
        </w:numPr>
        <w:tabs>
          <w:tab w:val="left" w:pos="1080"/>
          <w:tab w:val="left" w:pos="5788"/>
        </w:tabs>
        <w:autoSpaceDE w:val="0"/>
        <w:autoSpaceDN w:val="0"/>
        <w:adjustRightInd w:val="0"/>
        <w:spacing w:before="120" w:after="120" w:line="240" w:lineRule="auto"/>
        <w:ind w:left="540" w:firstLine="0"/>
        <w:jc w:val="both"/>
        <w:outlineLvl w:val="6"/>
        <w:rPr>
          <w:rFonts w:cs="Arial"/>
          <w:b/>
        </w:rPr>
      </w:pPr>
      <w:r w:rsidRPr="0072211F">
        <w:rPr>
          <w:rFonts w:ascii="Arial" w:hAnsi="Arial"/>
          <w:b/>
          <w:sz w:val="20"/>
        </w:rPr>
        <w:t>any failure by Beneficiary to commence an action against Company, including as contemplated by</w:t>
      </w:r>
      <w:r w:rsidRPr="005E2F0E">
        <w:rPr>
          <w:rFonts w:ascii="Arial" w:hAnsi="Arial" w:eastAsia="Times New Roman" w:cs="Times New Roman"/>
          <w:b/>
          <w:sz w:val="20"/>
          <w:szCs w:val="20"/>
        </w:rPr>
        <w:t xml:space="preserve"> the provisions of</w:t>
      </w:r>
      <w:r w:rsidRPr="0072211F">
        <w:rPr>
          <w:rFonts w:ascii="Arial" w:hAnsi="Arial"/>
          <w:b/>
          <w:sz w:val="20"/>
        </w:rPr>
        <w:t xml:space="preserve"> O.C.G.A. Section 10-7-24, as amended;</w:t>
      </w:r>
      <w:bookmarkStart w:name="_DV_M843" w:id="1256"/>
      <w:bookmarkEnd w:id="1256"/>
      <w:r w:rsidRPr="0072211F">
        <w:rPr>
          <w:rFonts w:ascii="Arial" w:hAnsi="Arial"/>
          <w:b/>
          <w:sz w:val="20"/>
        </w:rPr>
        <w:t xml:space="preserve"> any lack of due diligence by Beneficiary in the collection or protection of or realization upon any collateral securing the Guaranteed Obligations; </w:t>
      </w:r>
    </w:p>
    <w:p w:rsidRPr="00EC0667" w:rsidR="005E2F0E" w:rsidP="00D94D93" w:rsidRDefault="005E2F0E" w14:paraId="274A8F0B" w14:textId="77777777">
      <w:pPr>
        <w:widowControl w:val="0"/>
        <w:numPr>
          <w:ilvl w:val="6"/>
          <w:numId w:val="50"/>
        </w:numPr>
        <w:tabs>
          <w:tab w:val="left" w:pos="1080"/>
          <w:tab w:val="left" w:pos="5788"/>
        </w:tabs>
        <w:autoSpaceDE w:val="0"/>
        <w:autoSpaceDN w:val="0"/>
        <w:adjustRightInd w:val="0"/>
        <w:spacing w:before="120" w:after="120" w:line="240" w:lineRule="auto"/>
        <w:ind w:left="540" w:firstLine="0"/>
        <w:jc w:val="both"/>
        <w:outlineLvl w:val="6"/>
        <w:rPr>
          <w:rFonts w:cs="Arial"/>
          <w:b/>
        </w:rPr>
      </w:pPr>
      <w:r w:rsidRPr="0072211F">
        <w:rPr>
          <w:rFonts w:ascii="Arial" w:hAnsi="Arial"/>
          <w:b/>
          <w:sz w:val="20"/>
        </w:rPr>
        <w:t>the bankruptcy, insolvency, winding up, dissolution, liquidation, administration, reorganization, or other similar or dissimilar failure or financial disability of Guarantor or Company, or any legal limitation, disability, incapacity, or other circumstance relating to Guarantor or Company;</w:t>
      </w:r>
    </w:p>
    <w:p w:rsidRPr="00EC0667" w:rsidR="005E2F0E" w:rsidP="00D94D93" w:rsidRDefault="005E2F0E" w14:paraId="725E70BC" w14:textId="77777777">
      <w:pPr>
        <w:widowControl w:val="0"/>
        <w:numPr>
          <w:ilvl w:val="6"/>
          <w:numId w:val="50"/>
        </w:numPr>
        <w:tabs>
          <w:tab w:val="left" w:pos="1080"/>
          <w:tab w:val="left" w:pos="5788"/>
        </w:tabs>
        <w:autoSpaceDE w:val="0"/>
        <w:autoSpaceDN w:val="0"/>
        <w:adjustRightInd w:val="0"/>
        <w:spacing w:before="120" w:after="120" w:line="240" w:lineRule="auto"/>
        <w:ind w:left="540" w:firstLine="0"/>
        <w:jc w:val="both"/>
        <w:outlineLvl w:val="6"/>
        <w:rPr>
          <w:rFonts w:cs="Arial"/>
          <w:b/>
        </w:rPr>
      </w:pPr>
      <w:r w:rsidRPr="0072211F">
        <w:rPr>
          <w:rFonts w:ascii="Arial" w:hAnsi="Arial"/>
          <w:b/>
          <w:sz w:val="20"/>
        </w:rPr>
        <w:t>the addition, substitution or partial or entire release of any guarantor, maker, or other Parson (including Company) primarily or secondarily liable or responsible for the payment and observance of the Guaranteed Obligations or by any extension, waiver, amendment, or other action or instrument that may release or discharge (in whole or in part) a guarantor, maker, or other Person (other than as a result of the indefeasible payment of the Guaranteed Obligations in full);</w:t>
      </w:r>
    </w:p>
    <w:p w:rsidRPr="00EC0667" w:rsidR="005E2F0E" w:rsidP="00D94D93" w:rsidRDefault="005E2F0E" w14:paraId="2C17D109" w14:textId="77777777">
      <w:pPr>
        <w:widowControl w:val="0"/>
        <w:numPr>
          <w:ilvl w:val="6"/>
          <w:numId w:val="50"/>
        </w:numPr>
        <w:tabs>
          <w:tab w:val="left" w:pos="1080"/>
          <w:tab w:val="left" w:pos="5788"/>
        </w:tabs>
        <w:autoSpaceDE w:val="0"/>
        <w:autoSpaceDN w:val="0"/>
        <w:adjustRightInd w:val="0"/>
        <w:spacing w:before="120" w:after="120" w:line="240" w:lineRule="auto"/>
        <w:ind w:left="540" w:firstLine="0"/>
        <w:jc w:val="both"/>
        <w:outlineLvl w:val="6"/>
        <w:rPr>
          <w:rFonts w:cs="Arial"/>
          <w:b/>
        </w:rPr>
      </w:pPr>
      <w:r w:rsidRPr="0072211F">
        <w:rPr>
          <w:rFonts w:ascii="Arial" w:hAnsi="Arial"/>
          <w:b/>
          <w:sz w:val="20"/>
        </w:rPr>
        <w:t xml:space="preserve">the taking, variation, renewal, addition, substitution, subordination, or partial or entire release of any security or other credit support for the Guaranteed Obligations, or the enforcement or neglect to perfect or enforce the security or support; or </w:t>
      </w:r>
    </w:p>
    <w:p w:rsidRPr="00EC0667" w:rsidR="005E2F0E" w:rsidP="00D94D93" w:rsidRDefault="005E2F0E" w14:paraId="28BB201C" w14:textId="40B7006B">
      <w:pPr>
        <w:widowControl w:val="0"/>
        <w:numPr>
          <w:ilvl w:val="6"/>
          <w:numId w:val="50"/>
        </w:numPr>
        <w:tabs>
          <w:tab w:val="left" w:pos="1080"/>
          <w:tab w:val="left" w:pos="5788"/>
        </w:tabs>
        <w:autoSpaceDE w:val="0"/>
        <w:autoSpaceDN w:val="0"/>
        <w:adjustRightInd w:val="0"/>
        <w:spacing w:before="120" w:after="120" w:line="240" w:lineRule="auto"/>
        <w:ind w:left="540" w:firstLine="0"/>
        <w:jc w:val="both"/>
        <w:outlineLvl w:val="6"/>
        <w:rPr>
          <w:rFonts w:cs="Arial"/>
          <w:b/>
        </w:rPr>
      </w:pPr>
      <w:r w:rsidRPr="0072211F">
        <w:rPr>
          <w:rFonts w:ascii="Arial" w:hAnsi="Arial"/>
          <w:b/>
          <w:sz w:val="20"/>
        </w:rPr>
        <w:t>any circumstance whatsoever (including any statute of limitations) or any act of Beneficiary or any existence of or reliance on any representation by Beneficiary that might otherwise constitute a legal or equitable defense available to, or a discharge of, Guarantor.</w:t>
      </w:r>
    </w:p>
    <w:p w:rsidRPr="00EC0667" w:rsidR="005E2F0E" w:rsidP="0072211F" w:rsidRDefault="005E2F0E" w14:paraId="2DCBA3D8" w14:textId="77777777">
      <w:pPr>
        <w:tabs>
          <w:tab w:val="left" w:pos="2160"/>
          <w:tab w:val="left" w:pos="5068"/>
        </w:tabs>
        <w:autoSpaceDE w:val="0"/>
        <w:autoSpaceDN w:val="0"/>
        <w:adjustRightInd w:val="0"/>
        <w:spacing w:before="120" w:after="120" w:line="240" w:lineRule="auto"/>
        <w:ind w:left="270"/>
        <w:jc w:val="both"/>
        <w:outlineLvl w:val="5"/>
      </w:pPr>
      <w:r w:rsidRPr="005E2F0E">
        <w:rPr>
          <w:rFonts w:ascii="Arial" w:hAnsi="Arial" w:eastAsia="Times New Roman" w:cs="Times New Roman"/>
          <w:b/>
          <w:sz w:val="20"/>
          <w:szCs w:val="20"/>
        </w:rPr>
        <w:t>2.2.2.</w:t>
      </w:r>
      <w:r w:rsidRPr="0072211F">
        <w:rPr>
          <w:rFonts w:ascii="Arial" w:hAnsi="Arial"/>
          <w:b/>
          <w:sz w:val="20"/>
        </w:rPr>
        <w:t xml:space="preserve"> Guarantee Effectiveness.</w:t>
      </w:r>
      <w:r w:rsidRPr="0072211F">
        <w:rPr>
          <w:rFonts w:ascii="Arial" w:hAnsi="Arial"/>
          <w:sz w:val="20"/>
        </w:rPr>
        <w:t xml:space="preserve"> This Guaranty will continue to be effective or must be reinstated by Guarantor, as applicable, if at any time any payment of the Guaranteed Obligations should for any reason subsequently be asserted or declared to be void or voidable, or is unwound in any way under any state or federal law, including any provision of the U.S. Bankruptcy Code related to fraudulent conveyance or preference (each, a “</w:t>
      </w:r>
      <w:r w:rsidRPr="0072211F">
        <w:rPr>
          <w:rFonts w:ascii="Arial" w:hAnsi="Arial"/>
          <w:b/>
          <w:sz w:val="20"/>
        </w:rPr>
        <w:t>Voidable Transfer</w:t>
      </w:r>
      <w:r w:rsidRPr="0072211F">
        <w:rPr>
          <w:rFonts w:ascii="Arial" w:hAnsi="Arial"/>
          <w:sz w:val="20"/>
        </w:rPr>
        <w:t>”). Beneficiary or any other person is not required to repay or restore, in whole or in part, any Voidable Transfer, and any attempt to repay or restore any Voidable Transfer will be construed as though the payment had not been made.</w:t>
      </w:r>
    </w:p>
    <w:p w:rsidRPr="00EC0667" w:rsidR="005E2F0E" w:rsidP="0072211F" w:rsidRDefault="005E2F0E" w14:paraId="78596EDB" w14:textId="77777777">
      <w:pPr>
        <w:tabs>
          <w:tab w:val="left" w:pos="2160"/>
          <w:tab w:val="left" w:pos="5068"/>
        </w:tabs>
        <w:autoSpaceDE w:val="0"/>
        <w:autoSpaceDN w:val="0"/>
        <w:adjustRightInd w:val="0"/>
        <w:spacing w:before="120" w:after="120" w:line="240" w:lineRule="auto"/>
        <w:ind w:left="270"/>
        <w:jc w:val="both"/>
        <w:outlineLvl w:val="5"/>
      </w:pPr>
      <w:r w:rsidRPr="005E2F0E">
        <w:rPr>
          <w:rFonts w:ascii="Arial" w:hAnsi="Arial" w:eastAsia="Times New Roman" w:cs="Times New Roman"/>
          <w:b/>
          <w:sz w:val="20"/>
          <w:szCs w:val="20"/>
        </w:rPr>
        <w:t>2.2.3.</w:t>
      </w:r>
      <w:r w:rsidRPr="0072211F">
        <w:rPr>
          <w:rFonts w:ascii="Arial" w:hAnsi="Arial"/>
          <w:sz w:val="20"/>
        </w:rPr>
        <w:t xml:space="preserve"> </w:t>
      </w:r>
      <w:r w:rsidRPr="0072211F">
        <w:rPr>
          <w:rFonts w:ascii="Arial" w:hAnsi="Arial"/>
          <w:b/>
          <w:sz w:val="20"/>
        </w:rPr>
        <w:t xml:space="preserve">No Release of Guaranty. </w:t>
      </w:r>
      <w:r w:rsidRPr="0072211F">
        <w:rPr>
          <w:rFonts w:ascii="Arial" w:hAnsi="Arial"/>
          <w:sz w:val="20"/>
        </w:rPr>
        <w:t xml:space="preserve">No action that Beneficiary takes or fails to take in connection with the Guaranteed Obligations, or any security for the payment of any of the Guaranteed Obligations, nor any </w:t>
      </w:r>
      <w:r w:rsidRPr="0072211F">
        <w:rPr>
          <w:rFonts w:ascii="Arial" w:hAnsi="Arial"/>
          <w:sz w:val="20"/>
        </w:rPr>
        <w:lastRenderedPageBreak/>
        <w:t>course of dealing with Company or any other person, will release Guarantor’s obligations under this Guaranty, affect this Guaranty in any way, or give Guarantor any recourse against Beneficiary.</w:t>
      </w:r>
    </w:p>
    <w:p w:rsidRPr="00EC0667" w:rsidR="005E2F0E" w:rsidP="0072211F" w:rsidRDefault="005E2F0E" w14:paraId="19FEBC26" w14:textId="77777777">
      <w:pPr>
        <w:tabs>
          <w:tab w:val="left" w:pos="2160"/>
          <w:tab w:val="left" w:pos="5068"/>
        </w:tabs>
        <w:spacing w:before="120" w:after="120" w:line="240" w:lineRule="auto"/>
        <w:ind w:left="270"/>
        <w:jc w:val="both"/>
        <w:outlineLvl w:val="5"/>
      </w:pPr>
      <w:r w:rsidRPr="005E2F0E">
        <w:rPr>
          <w:rFonts w:ascii="Arial" w:hAnsi="Arial" w:eastAsia="Calibri" w:cs="Times New Roman"/>
          <w:b/>
          <w:sz w:val="20"/>
          <w:szCs w:val="20"/>
        </w:rPr>
        <w:t>2.2.4.</w:t>
      </w:r>
      <w:r w:rsidRPr="0072211F">
        <w:rPr>
          <w:rFonts w:ascii="Arial" w:hAnsi="Arial"/>
          <w:b/>
          <w:sz w:val="20"/>
        </w:rPr>
        <w:t xml:space="preserve"> Enforcement following PPA Event of Default.</w:t>
      </w:r>
      <w:r w:rsidRPr="0072211F">
        <w:rPr>
          <w:rFonts w:ascii="Arial" w:hAnsi="Arial"/>
          <w:sz w:val="20"/>
        </w:rPr>
        <w:t xml:space="preserve"> In the case of an Event of Default under the PPA or regarding any of the Guaranteed Obligations, Guarantor agrees that Beneficiary will have the right to enforce its rights, powers, and remedies under the PPA and Guaranty or under any other instrument now or in the future evidencing, securing, or otherwise relating to the Guaranteed Obligations, and apply any payments or credits received by Company or Guarantor or realized from any security, in any manner and in any order as Beneficiary, in its sole discretion, sees fit, and all rights, powers, and remedies available to Beneficiary in that event will be nonexclusive and cumulative of all other rights, powers, and remedies provided under the PPA, this Guaranty, by law, or in equity. If the Guaranteed Obligations are partially paid at the election of Beneficiary or Beneficiary’s successors or assigns, to pursue any of the remedies available to Beneficiary, or if the indebtedness is otherwise partially paid, this Guaranty will nevertheless remain in full force and effect, and Guarantor will remain liable for the entire balance of the Guaranteed Obligations even though any rights that Guarantor may have against Company may be destroyed or diminished by the exercise of the remedy.</w:t>
      </w:r>
    </w:p>
    <w:p w:rsidRPr="0072211F" w:rsidR="005E2F0E" w:rsidP="00D94D93" w:rsidRDefault="005E2F0E" w14:paraId="5C84C98E" w14:textId="77777777">
      <w:pPr>
        <w:keepNext/>
        <w:widowControl w:val="0"/>
        <w:numPr>
          <w:ilvl w:val="1"/>
          <w:numId w:val="52"/>
        </w:numPr>
        <w:tabs>
          <w:tab w:val="left" w:pos="540"/>
        </w:tabs>
        <w:autoSpaceDE w:val="0"/>
        <w:autoSpaceDN w:val="0"/>
        <w:adjustRightInd w:val="0"/>
        <w:spacing w:before="120" w:after="120" w:line="240" w:lineRule="auto"/>
        <w:jc w:val="both"/>
        <w:outlineLvl w:val="1"/>
        <w:rPr>
          <w:rFonts w:ascii="Arial" w:hAnsi="Arial"/>
          <w:b/>
        </w:rPr>
      </w:pPr>
      <w:r w:rsidRPr="0072211F">
        <w:rPr>
          <w:rFonts w:ascii="Arial" w:hAnsi="Arial"/>
          <w:b/>
          <w:sz w:val="20"/>
        </w:rPr>
        <w:t>Waivers and Acknowledgments.</w:t>
      </w:r>
    </w:p>
    <w:p w:rsidRPr="00EC0667" w:rsidR="005E2F0E" w:rsidP="0072211F" w:rsidRDefault="005E2F0E" w14:paraId="6D353EED" w14:textId="77777777">
      <w:pPr>
        <w:autoSpaceDE w:val="0"/>
        <w:autoSpaceDN w:val="0"/>
        <w:adjustRightInd w:val="0"/>
        <w:spacing w:before="120" w:after="120" w:line="240" w:lineRule="auto"/>
        <w:ind w:left="270"/>
        <w:jc w:val="both"/>
        <w:outlineLvl w:val="5"/>
      </w:pPr>
      <w:r w:rsidRPr="005E2F0E">
        <w:rPr>
          <w:rFonts w:ascii="Arial" w:hAnsi="Arial" w:eastAsia="Times New Roman" w:cs="Times New Roman"/>
          <w:b/>
          <w:sz w:val="20"/>
          <w:szCs w:val="20"/>
        </w:rPr>
        <w:t>2.3.1.</w:t>
      </w:r>
      <w:r w:rsidRPr="0072211F">
        <w:rPr>
          <w:rFonts w:ascii="Arial" w:hAnsi="Arial"/>
          <w:b/>
          <w:sz w:val="20"/>
        </w:rPr>
        <w:t xml:space="preserve"> Guarantor Notice Waiver.</w:t>
      </w:r>
      <w:r w:rsidRPr="0072211F">
        <w:rPr>
          <w:rFonts w:ascii="Arial" w:hAnsi="Arial"/>
          <w:sz w:val="20"/>
        </w:rPr>
        <w:t xml:space="preserve"> Guarantor unconditionally and irrevocably waives promptness, diligence, presentment, demand of payment, acceptance, notice of acceptance, protest, notice of dishonor, and any other notices regarding any of the Guaranteed Obligations and this Guaranty.</w:t>
      </w:r>
    </w:p>
    <w:p w:rsidRPr="00EC0667" w:rsidR="005E2F0E" w:rsidP="0072211F" w:rsidRDefault="005E2F0E" w14:paraId="2EBBEAFB" w14:textId="4797D453">
      <w:pPr>
        <w:tabs>
          <w:tab w:val="left" w:pos="2160"/>
        </w:tabs>
        <w:autoSpaceDE w:val="0"/>
        <w:autoSpaceDN w:val="0"/>
        <w:adjustRightInd w:val="0"/>
        <w:spacing w:before="120" w:after="120" w:line="240" w:lineRule="auto"/>
        <w:ind w:left="270"/>
        <w:jc w:val="both"/>
        <w:outlineLvl w:val="5"/>
      </w:pPr>
      <w:r w:rsidRPr="005E2F0E">
        <w:rPr>
          <w:rFonts w:ascii="Arial" w:hAnsi="Arial" w:eastAsia="Times New Roman" w:cs="Times New Roman"/>
          <w:b/>
          <w:sz w:val="20"/>
          <w:szCs w:val="20"/>
        </w:rPr>
        <w:t>2.3.2.</w:t>
      </w:r>
      <w:r w:rsidRPr="0072211F">
        <w:rPr>
          <w:rFonts w:ascii="Arial" w:hAnsi="Arial"/>
          <w:b/>
          <w:sz w:val="20"/>
        </w:rPr>
        <w:t xml:space="preserve"> Guarantor Waiver of Guaranty and Acknowledgement of Continuing Obligations. </w:t>
      </w:r>
      <w:r w:rsidRPr="0072211F">
        <w:rPr>
          <w:rFonts w:ascii="Arial" w:hAnsi="Arial"/>
          <w:sz w:val="20"/>
        </w:rPr>
        <w:t xml:space="preserve">Guarantor unconditionally and irrevocably waives any right to revoke this Guaranty and acknowledges that this Guaranty is continuing in nature and applies to all Guaranteed Obligations, whether existing now or in the future. </w:t>
      </w:r>
      <w:r w:rsidRPr="005E2F0E">
        <w:rPr>
          <w:rFonts w:ascii="Arial" w:hAnsi="Arial" w:eastAsia="Times New Roman" w:cs="Times New Roman"/>
          <w:sz w:val="20"/>
          <w:szCs w:val="20"/>
        </w:rPr>
        <w:t>The provisions of this</w:t>
      </w:r>
      <w:r w:rsidRPr="0072211F">
        <w:rPr>
          <w:rFonts w:ascii="Arial" w:hAnsi="Arial"/>
          <w:sz w:val="20"/>
        </w:rPr>
        <w:t xml:space="preserve"> Guaranty will extend and be applicable to any modification of the PPA.</w:t>
      </w:r>
    </w:p>
    <w:p w:rsidRPr="00EC0667" w:rsidR="005E2F0E" w:rsidP="0072211F" w:rsidRDefault="005E2F0E" w14:paraId="7A3273C6" w14:textId="77777777">
      <w:pPr>
        <w:tabs>
          <w:tab w:val="left" w:pos="2160"/>
          <w:tab w:val="left" w:pos="5068"/>
        </w:tabs>
        <w:autoSpaceDE w:val="0"/>
        <w:autoSpaceDN w:val="0"/>
        <w:adjustRightInd w:val="0"/>
        <w:spacing w:before="120" w:after="120" w:line="240" w:lineRule="auto"/>
        <w:ind w:left="270"/>
        <w:jc w:val="both"/>
        <w:outlineLvl w:val="5"/>
      </w:pPr>
      <w:r w:rsidRPr="005E2F0E">
        <w:rPr>
          <w:rFonts w:ascii="Arial" w:hAnsi="Arial" w:eastAsia="Times New Roman" w:cs="Times New Roman"/>
          <w:b/>
          <w:sz w:val="20"/>
          <w:szCs w:val="20"/>
        </w:rPr>
        <w:t>2.3.3.</w:t>
      </w:r>
      <w:r w:rsidRPr="0072211F">
        <w:rPr>
          <w:rFonts w:ascii="Arial" w:hAnsi="Arial"/>
          <w:b/>
          <w:sz w:val="20"/>
        </w:rPr>
        <w:t xml:space="preserve"> Waiver of Rights and Remedies.</w:t>
      </w:r>
      <w:r w:rsidRPr="0072211F">
        <w:rPr>
          <w:rFonts w:ascii="Arial" w:hAnsi="Arial"/>
          <w:sz w:val="20"/>
        </w:rPr>
        <w:t xml:space="preserve"> Guarantor unconditionally and irrevocably waives all rights and remedies accorded by application of law to sureties or guarantors and Guarantor must not assert or take advantage of those rights or remedies, including:</w:t>
      </w:r>
    </w:p>
    <w:p w:rsidRPr="00EC0667" w:rsidR="005E2F0E" w:rsidP="00D94D93" w:rsidRDefault="005E2F0E" w14:paraId="7C9075E7" w14:textId="77777777">
      <w:pPr>
        <w:widowControl w:val="0"/>
        <w:numPr>
          <w:ilvl w:val="6"/>
          <w:numId w:val="51"/>
        </w:numPr>
        <w:tabs>
          <w:tab w:val="left" w:pos="1260"/>
          <w:tab w:val="left" w:pos="2160"/>
          <w:tab w:val="left" w:pos="5788"/>
        </w:tabs>
        <w:autoSpaceDE w:val="0"/>
        <w:autoSpaceDN w:val="0"/>
        <w:adjustRightInd w:val="0"/>
        <w:spacing w:before="120" w:after="120" w:line="240" w:lineRule="auto"/>
        <w:ind w:left="806" w:firstLine="4"/>
        <w:jc w:val="both"/>
        <w:outlineLvl w:val="6"/>
        <w:rPr>
          <w:rFonts w:cs="Arial"/>
        </w:rPr>
      </w:pPr>
      <w:r w:rsidRPr="0072211F">
        <w:rPr>
          <w:rFonts w:ascii="Arial" w:hAnsi="Arial"/>
          <w:sz w:val="20"/>
        </w:rPr>
        <w:t>any right to require Beneficiary to proceed against Company or any other person or to proceed against or exhaust any security held by Beneficiary at any time or to pursue any other remedy in Beneficiary’s power before proceeding against Guarantor;</w:t>
      </w:r>
    </w:p>
    <w:p w:rsidRPr="00EC0667" w:rsidR="005E2F0E" w:rsidP="00D94D93" w:rsidRDefault="005E2F0E" w14:paraId="4D080C3D" w14:textId="77777777">
      <w:pPr>
        <w:widowControl w:val="0"/>
        <w:numPr>
          <w:ilvl w:val="6"/>
          <w:numId w:val="51"/>
        </w:numPr>
        <w:tabs>
          <w:tab w:val="left" w:pos="1260"/>
          <w:tab w:val="left" w:pos="2160"/>
          <w:tab w:val="left" w:pos="5788"/>
        </w:tabs>
        <w:autoSpaceDE w:val="0"/>
        <w:autoSpaceDN w:val="0"/>
        <w:adjustRightInd w:val="0"/>
        <w:spacing w:before="120" w:after="120" w:line="240" w:lineRule="auto"/>
        <w:ind w:left="806" w:firstLine="4"/>
        <w:jc w:val="both"/>
        <w:outlineLvl w:val="6"/>
        <w:rPr>
          <w:rFonts w:cs="Arial"/>
        </w:rPr>
      </w:pPr>
      <w:r w:rsidRPr="0072211F">
        <w:rPr>
          <w:rFonts w:ascii="Arial" w:hAnsi="Arial"/>
          <w:sz w:val="20"/>
        </w:rPr>
        <w:t>any defense that may arise because of the incapacity, lack of authority, death, or disability of any other Person or the failure of Beneficiary to file or enforce a claim against the estate (in administration, bankruptcy, or any other proceeding) of any other Person; or</w:t>
      </w:r>
    </w:p>
    <w:p w:rsidRPr="00EC0667" w:rsidR="005E2F0E" w:rsidP="00D94D93" w:rsidRDefault="005E2F0E" w14:paraId="48CA5A99" w14:textId="77777777">
      <w:pPr>
        <w:widowControl w:val="0"/>
        <w:numPr>
          <w:ilvl w:val="6"/>
          <w:numId w:val="51"/>
        </w:numPr>
        <w:tabs>
          <w:tab w:val="left" w:pos="1260"/>
          <w:tab w:val="left" w:pos="2160"/>
          <w:tab w:val="left" w:pos="5788"/>
        </w:tabs>
        <w:autoSpaceDE w:val="0"/>
        <w:autoSpaceDN w:val="0"/>
        <w:adjustRightInd w:val="0"/>
        <w:spacing w:before="120" w:after="120" w:line="240" w:lineRule="auto"/>
        <w:ind w:left="806" w:firstLine="4"/>
        <w:jc w:val="both"/>
        <w:outlineLvl w:val="6"/>
        <w:rPr>
          <w:rFonts w:cs="Arial"/>
        </w:rPr>
      </w:pPr>
      <w:r w:rsidRPr="0072211F">
        <w:rPr>
          <w:rFonts w:ascii="Arial" w:hAnsi="Arial"/>
          <w:sz w:val="20"/>
        </w:rPr>
        <w:t>any defense arising because of the exercise of any right or remedy available to, or election made by, Beneficiary under the U.S. Bankruptcy Code, whether as an unsecured or under secured creditor, seeking adequate protection or otherwise.</w:t>
      </w:r>
    </w:p>
    <w:p w:rsidRPr="00EC0667" w:rsidR="005E2F0E" w:rsidP="0072211F" w:rsidRDefault="005E2F0E" w14:paraId="160282A4" w14:textId="77777777">
      <w:pPr>
        <w:tabs>
          <w:tab w:val="left" w:pos="2160"/>
          <w:tab w:val="left" w:pos="5068"/>
        </w:tabs>
        <w:autoSpaceDE w:val="0"/>
        <w:autoSpaceDN w:val="0"/>
        <w:adjustRightInd w:val="0"/>
        <w:spacing w:before="120" w:after="120" w:line="240" w:lineRule="auto"/>
        <w:ind w:left="270"/>
        <w:jc w:val="both"/>
        <w:outlineLvl w:val="5"/>
      </w:pPr>
      <w:r w:rsidRPr="005E2F0E">
        <w:rPr>
          <w:rFonts w:ascii="Arial" w:hAnsi="Arial" w:eastAsia="Times New Roman" w:cs="Times New Roman"/>
          <w:b/>
          <w:sz w:val="20"/>
          <w:szCs w:val="20"/>
        </w:rPr>
        <w:t>2.3.4.</w:t>
      </w:r>
      <w:r w:rsidRPr="0072211F">
        <w:rPr>
          <w:rFonts w:ascii="Arial" w:hAnsi="Arial"/>
          <w:b/>
          <w:sz w:val="20"/>
        </w:rPr>
        <w:t xml:space="preserve"> Guarantor’s Waiver of Defenses Based on Set-Off or Counterclaim.</w:t>
      </w:r>
      <w:r w:rsidRPr="0072211F">
        <w:rPr>
          <w:rFonts w:ascii="Arial" w:hAnsi="Arial"/>
          <w:sz w:val="20"/>
        </w:rPr>
        <w:t xml:space="preserve"> Guarantor unconditionally and irrevocably waives any defense based on any right of set-off or counterclaim against or concerning the obligations of Guarantor under this Guaranty.</w:t>
      </w:r>
    </w:p>
    <w:p w:rsidRPr="00EC0667" w:rsidR="005E2F0E" w:rsidP="0072211F" w:rsidRDefault="005E2F0E" w14:paraId="795A85FF" w14:textId="77777777">
      <w:pPr>
        <w:autoSpaceDE w:val="0"/>
        <w:autoSpaceDN w:val="0"/>
        <w:adjustRightInd w:val="0"/>
        <w:spacing w:before="120" w:after="120" w:line="240" w:lineRule="auto"/>
        <w:ind w:left="270"/>
        <w:jc w:val="both"/>
        <w:outlineLvl w:val="5"/>
      </w:pPr>
      <w:r w:rsidRPr="005E2F0E">
        <w:rPr>
          <w:rFonts w:ascii="Arial" w:hAnsi="Arial" w:eastAsia="Times New Roman" w:cs="Times New Roman"/>
          <w:b/>
          <w:sz w:val="20"/>
          <w:szCs w:val="20"/>
        </w:rPr>
        <w:t>2.3.5.</w:t>
      </w:r>
      <w:r w:rsidRPr="0072211F">
        <w:rPr>
          <w:rFonts w:ascii="Arial" w:hAnsi="Arial"/>
          <w:sz w:val="20"/>
        </w:rPr>
        <w:t xml:space="preserve"> </w:t>
      </w:r>
      <w:r w:rsidRPr="0072211F">
        <w:rPr>
          <w:rFonts w:ascii="Arial" w:hAnsi="Arial"/>
          <w:b/>
          <w:sz w:val="20"/>
        </w:rPr>
        <w:t xml:space="preserve">Guarantor Waiver of Defenses, Claims, and Discharges. </w:t>
      </w:r>
      <w:r w:rsidRPr="0072211F">
        <w:rPr>
          <w:rFonts w:ascii="Arial" w:hAnsi="Arial"/>
          <w:sz w:val="20"/>
        </w:rPr>
        <w:t xml:space="preserve">Guarantor unconditionally and irrevocably waives all defenses, claims, and discharges of Company, or any other obligor regarding the Guaranteed Obligations. Without limiting the generality of the preceding sentence, Guarantor will not assert, plead, or enforce against Beneficiary or any other Person any defense of waiver, release, statute of limitations, res judicata, statute of frauds, fraud, incapacity, minority, usury, illegality, or unenforceability that may be available to Company or any other person liable concerning any indebtedness, or any setoff available against Beneficiary to Company or any other Person, whether or not on account of a related transaction. Guarantor expressly waives reliance on any anti-deficiency statute(s). If a foreclosure proceeding is commenced, Guarantor expressly agrees that Guarantor will be and remain unconditionally liable, to the fullest extent permitted by applicable law, for any deficiency remaining after foreclosure of any mortgage or security interest securing indebtedness, whether or not </w:t>
      </w:r>
      <w:r w:rsidRPr="0072211F">
        <w:rPr>
          <w:rFonts w:ascii="Arial" w:hAnsi="Arial"/>
          <w:sz w:val="20"/>
        </w:rPr>
        <w:lastRenderedPageBreak/>
        <w:t>the liability of Company or any other person for the deficiency is discharged under statute or judicial decision.</w:t>
      </w:r>
    </w:p>
    <w:p w:rsidRPr="00EC0667" w:rsidR="005E2F0E" w:rsidP="0072211F" w:rsidRDefault="005E2F0E" w14:paraId="20D37F39" w14:textId="78AA186F">
      <w:pPr>
        <w:tabs>
          <w:tab w:val="left" w:pos="540"/>
        </w:tabs>
        <w:autoSpaceDE w:val="0"/>
        <w:autoSpaceDN w:val="0"/>
        <w:adjustRightInd w:val="0"/>
        <w:spacing w:before="120" w:after="120" w:line="240" w:lineRule="auto"/>
        <w:jc w:val="both"/>
        <w:outlineLvl w:val="1"/>
      </w:pPr>
      <w:r w:rsidRPr="00087BC0">
        <w:rPr>
          <w:rFonts w:ascii="Arial" w:hAnsi="Arial" w:eastAsia="Times New Roman" w:cs="Times New Roman"/>
          <w:bCs/>
        </w:rPr>
        <w:t>2.4</w:t>
      </w:r>
      <w:r w:rsidRPr="00087BC0">
        <w:rPr>
          <w:rFonts w:ascii="Arial" w:hAnsi="Arial" w:eastAsia="Times New Roman" w:cs="Times New Roman"/>
          <w:bCs/>
        </w:rPr>
        <w:tab/>
      </w:r>
      <w:r w:rsidRPr="0072211F">
        <w:rPr>
          <w:rFonts w:ascii="Arial" w:hAnsi="Arial" w:cs="Arial" w:eastAsiaTheme="minorEastAsia"/>
          <w:b/>
          <w:bCs/>
          <w:kern w:val="14"/>
          <w:sz w:val="20"/>
          <w:szCs w:val="20"/>
        </w:rPr>
        <w:t>Subrogation.</w:t>
      </w:r>
      <w:r w:rsidRPr="0072211F">
        <w:rPr>
          <w:rFonts w:ascii="Arial" w:hAnsi="Arial" w:cs="Arial"/>
          <w:sz w:val="20"/>
          <w:szCs w:val="20"/>
        </w:rPr>
        <w:t xml:space="preserve"> </w:t>
      </w:r>
      <w:r w:rsidRPr="0072211F">
        <w:rPr>
          <w:rFonts w:ascii="Arial" w:hAnsi="Arial"/>
          <w:sz w:val="20"/>
        </w:rPr>
        <w:t>Despite any payment or payments made by Guarantor under this Guaranty, Guarantor unconditionally and irrevocably waives any rights of subrogation to the rights of Beneficiary against Company and any rights of reimbursement, assignment, indemnification, or implied contract or any similar rights (including any statutory rights of subrogation under U.S. Bankruptcy Code Section 509 (11 U.S.C. § 509)) against Company or against any other guarantor of all or any part of the Guaranteed Obligations until when the Guaranteed Obligations have been indefeasibly performed in full. If, despite the preceding sentence, any amount will be paid to Guarantor on account of the subrogation or similar rights at any time when all of the Guaranteed Obligations will not have been indefeasibly paid in full, those amounts will be held by Guarantor in trust for Beneficiary and Guarantor must turn over to Beneficiary those amounts in the exact form received by Guarantor, to be applied against the Guaranteed Obligations in the order that Beneficiary may determine in Beneficiary’s sole discretion.</w:t>
      </w:r>
    </w:p>
    <w:p w:rsidRPr="00EC0667" w:rsidR="005E2F0E" w:rsidP="0072211F" w:rsidRDefault="005E2F0E" w14:paraId="6CC483A6" w14:textId="0E00637D">
      <w:pPr>
        <w:tabs>
          <w:tab w:val="left" w:pos="540"/>
        </w:tabs>
        <w:autoSpaceDE w:val="0"/>
        <w:autoSpaceDN w:val="0"/>
        <w:adjustRightInd w:val="0"/>
        <w:spacing w:before="120" w:after="120" w:line="240" w:lineRule="auto"/>
        <w:jc w:val="both"/>
        <w:outlineLvl w:val="1"/>
      </w:pPr>
      <w:r w:rsidRPr="00087BC0">
        <w:rPr>
          <w:rFonts w:ascii="Arial" w:hAnsi="Arial" w:eastAsia="Times New Roman" w:cs="Times New Roman"/>
          <w:bCs/>
        </w:rPr>
        <w:t>2.5</w:t>
      </w:r>
      <w:r w:rsidRPr="00087BC0">
        <w:rPr>
          <w:rFonts w:ascii="Arial" w:hAnsi="Arial" w:eastAsia="Times New Roman" w:cs="Times New Roman"/>
          <w:bCs/>
          <w:i/>
        </w:rPr>
        <w:tab/>
      </w:r>
      <w:r w:rsidRPr="0072211F">
        <w:rPr>
          <w:rFonts w:ascii="Arial" w:hAnsi="Arial" w:cs="Arial" w:eastAsiaTheme="minorEastAsia"/>
          <w:b/>
          <w:bCs/>
          <w:kern w:val="14"/>
          <w:sz w:val="20"/>
          <w:szCs w:val="20"/>
        </w:rPr>
        <w:t>Contribution, Indemnification, Reimbursement</w:t>
      </w:r>
      <w:r w:rsidRPr="0072211F">
        <w:rPr>
          <w:rFonts w:ascii="Arial" w:hAnsi="Arial" w:cs="Arial" w:eastAsiaTheme="minorEastAsia"/>
          <w:b/>
          <w:kern w:val="14"/>
          <w:sz w:val="20"/>
          <w:szCs w:val="20"/>
        </w:rPr>
        <w:t>.</w:t>
      </w:r>
      <w:r w:rsidRPr="0072211F">
        <w:rPr>
          <w:rFonts w:ascii="Arial" w:hAnsi="Arial"/>
          <w:sz w:val="20"/>
        </w:rPr>
        <w:t xml:space="preserve"> Guarantor unconditionally, irrevocably, and absolutely waives all right of contribution, indemnification, reimbursement, or similar rights against Company regarding the Guaranty, whether the rights arise under an express or implied contract or by operation of law, and it is the intention of Guarantor and Company that Guarantor will not be deemed to be a “creditor” (as defined in U.S. Bankruptcy Code Section 101 or any other applicable law) of Company because of the existence of this Guaranty if Company becomes a debtor in any proceeding under the U.S. Bankruptcy Code or any other applicable law.</w:t>
      </w:r>
    </w:p>
    <w:p w:rsidRPr="00EC0667" w:rsidR="005E2F0E" w:rsidP="0072211F" w:rsidRDefault="005E2F0E" w14:paraId="49FB5E42" w14:textId="56000818">
      <w:pPr>
        <w:tabs>
          <w:tab w:val="left" w:pos="540"/>
        </w:tabs>
        <w:autoSpaceDE w:val="0"/>
        <w:autoSpaceDN w:val="0"/>
        <w:adjustRightInd w:val="0"/>
        <w:spacing w:before="120" w:after="120" w:line="240" w:lineRule="auto"/>
        <w:jc w:val="both"/>
        <w:outlineLvl w:val="1"/>
      </w:pPr>
      <w:r w:rsidRPr="00087BC0">
        <w:rPr>
          <w:rFonts w:ascii="Arial" w:hAnsi="Arial" w:eastAsia="Times New Roman" w:cs="Times New Roman"/>
          <w:bCs/>
        </w:rPr>
        <w:t>2.6</w:t>
      </w:r>
      <w:r w:rsidRPr="00087BC0">
        <w:rPr>
          <w:rFonts w:ascii="Arial" w:hAnsi="Arial" w:eastAsia="Times New Roman" w:cs="Times New Roman"/>
          <w:bCs/>
          <w:i/>
        </w:rPr>
        <w:tab/>
      </w:r>
      <w:r w:rsidRPr="0072211F">
        <w:rPr>
          <w:rFonts w:ascii="Arial" w:hAnsi="Arial" w:cs="Arial" w:eastAsiaTheme="minorEastAsia"/>
          <w:b/>
          <w:bCs/>
          <w:kern w:val="14"/>
          <w:sz w:val="20"/>
          <w:szCs w:val="20"/>
        </w:rPr>
        <w:t>Agreement regarding Bankruptcy of Company</w:t>
      </w:r>
      <w:r w:rsidRPr="0072211F">
        <w:rPr>
          <w:rFonts w:ascii="Arial" w:hAnsi="Arial" w:cs="Arial" w:eastAsiaTheme="minorEastAsia"/>
          <w:b/>
          <w:kern w:val="14"/>
          <w:sz w:val="20"/>
          <w:szCs w:val="20"/>
        </w:rPr>
        <w:t>.</w:t>
      </w:r>
      <w:r w:rsidRPr="0072211F">
        <w:rPr>
          <w:rFonts w:ascii="Arial" w:hAnsi="Arial"/>
          <w:sz w:val="20"/>
        </w:rPr>
        <w:t xml:space="preserve"> So long as any Guaranteed Obligations are owed to Beneficiary, Guarantor must not, without the prior written consent of Beneficiary, commence, or join with any other person in commencing, any bankruptcy, reorganization or insolvency proceeding against Company.</w:t>
      </w:r>
    </w:p>
    <w:p w:rsidRPr="0072211F" w:rsidR="005E2F0E" w:rsidP="0072211F" w:rsidRDefault="005E2F0E" w14:paraId="4B5BD3A1" w14:textId="77777777">
      <w:pPr>
        <w:keepNext/>
        <w:autoSpaceDE w:val="0"/>
        <w:autoSpaceDN w:val="0"/>
        <w:adjustRightInd w:val="0"/>
        <w:spacing w:before="240" w:after="120" w:line="240" w:lineRule="auto"/>
        <w:outlineLvl w:val="0"/>
        <w:rPr>
          <w:rFonts w:ascii="Arial" w:hAnsi="Arial"/>
          <w:b/>
          <w:caps/>
        </w:rPr>
      </w:pPr>
      <w:r w:rsidRPr="005E2F0E">
        <w:rPr>
          <w:rFonts w:ascii="Arial" w:hAnsi="Arial" w:eastAsia="Times New Roman" w:cs="Times New Roman"/>
          <w:b/>
          <w:caps/>
          <w:sz w:val="20"/>
          <w:szCs w:val="20"/>
        </w:rPr>
        <w:t xml:space="preserve">PART 3 </w:t>
      </w:r>
      <w:r w:rsidRPr="0072211F">
        <w:rPr>
          <w:rFonts w:ascii="Arial" w:hAnsi="Arial"/>
          <w:b/>
          <w:caps/>
          <w:sz w:val="20"/>
        </w:rPr>
        <w:t>Representations and Warranties</w:t>
      </w:r>
    </w:p>
    <w:p w:rsidRPr="00EC0667" w:rsidR="005E2F0E" w:rsidP="0072211F" w:rsidRDefault="005E2F0E" w14:paraId="1CD2B689" w14:textId="77777777">
      <w:pPr>
        <w:spacing w:before="120" w:after="120" w:line="240" w:lineRule="auto"/>
        <w:jc w:val="both"/>
        <w:rPr>
          <w:rFonts w:ascii="Arial" w:hAnsi="Arial"/>
        </w:rPr>
      </w:pPr>
      <w:r w:rsidRPr="0072211F">
        <w:rPr>
          <w:rFonts w:ascii="Arial" w:hAnsi="Arial"/>
          <w:sz w:val="20"/>
        </w:rPr>
        <w:t>Guarantor hereby represents and warrants as follows:</w:t>
      </w:r>
    </w:p>
    <w:p w:rsidRPr="00EC0667" w:rsidR="005E2F0E" w:rsidP="0072211F" w:rsidRDefault="005E2F0E" w14:paraId="5AB16096" w14:textId="77777777">
      <w:pPr>
        <w:tabs>
          <w:tab w:val="left" w:pos="540"/>
        </w:tabs>
        <w:autoSpaceDE w:val="0"/>
        <w:autoSpaceDN w:val="0"/>
        <w:adjustRightInd w:val="0"/>
        <w:spacing w:before="120" w:after="120" w:line="240" w:lineRule="auto"/>
        <w:jc w:val="both"/>
        <w:outlineLvl w:val="1"/>
      </w:pPr>
      <w:r w:rsidRPr="005E2F0E">
        <w:rPr>
          <w:rFonts w:ascii="Arial" w:hAnsi="Arial" w:eastAsia="Times New Roman" w:cs="Times New Roman"/>
          <w:b/>
          <w:sz w:val="20"/>
          <w:szCs w:val="20"/>
        </w:rPr>
        <w:t>3.1</w:t>
      </w:r>
      <w:r w:rsidRPr="005E2F0E">
        <w:rPr>
          <w:rFonts w:ascii="Arial" w:hAnsi="Arial" w:eastAsia="Times New Roman" w:cs="Times New Roman"/>
          <w:i/>
          <w:sz w:val="20"/>
          <w:szCs w:val="20"/>
        </w:rPr>
        <w:tab/>
      </w:r>
      <w:r w:rsidRPr="0072211F">
        <w:rPr>
          <w:rFonts w:ascii="Arial" w:hAnsi="Arial"/>
          <w:b/>
          <w:sz w:val="20"/>
        </w:rPr>
        <w:t>Organization.</w:t>
      </w:r>
      <w:r w:rsidRPr="0072211F">
        <w:rPr>
          <w:rFonts w:ascii="Arial" w:hAnsi="Arial"/>
          <w:sz w:val="20"/>
        </w:rPr>
        <w:t xml:space="preserve"> Guarantor is </w:t>
      </w:r>
      <w:r w:rsidRPr="0072211F">
        <w:rPr>
          <w:rFonts w:ascii="Arial" w:hAnsi="Arial"/>
          <w:sz w:val="20"/>
          <w:highlight w:val="yellow"/>
        </w:rPr>
        <w:t xml:space="preserve">#a </w:t>
      </w:r>
      <w:r w:rsidRPr="0072211F">
        <w:rPr>
          <w:rFonts w:ascii="Arial" w:hAnsi="Arial"/>
          <w:b/>
          <w:i/>
          <w:color w:val="FF0000"/>
          <w:sz w:val="20"/>
          <w:highlight w:val="yellow"/>
          <w:u w:val="single"/>
        </w:rPr>
        <w:t>OR</w:t>
      </w:r>
      <w:r w:rsidRPr="0072211F">
        <w:rPr>
          <w:rFonts w:ascii="Arial" w:hAnsi="Arial"/>
          <w:sz w:val="20"/>
          <w:highlight w:val="yellow"/>
        </w:rPr>
        <w:t xml:space="preserve"> #an</w:t>
      </w:r>
      <w:r w:rsidRPr="0072211F">
        <w:rPr>
          <w:rFonts w:ascii="Arial" w:hAnsi="Arial"/>
          <w:sz w:val="20"/>
        </w:rPr>
        <w:t xml:space="preserve"> </w:t>
      </w:r>
      <w:r w:rsidRPr="0072211F">
        <w:rPr>
          <w:rFonts w:ascii="Arial" w:hAnsi="Arial"/>
          <w:sz w:val="20"/>
          <w:highlight w:val="yellow"/>
        </w:rPr>
        <w:t>#GuarantorEntityType#</w:t>
      </w:r>
      <w:r w:rsidRPr="0072211F">
        <w:rPr>
          <w:rFonts w:ascii="Arial" w:hAnsi="Arial"/>
          <w:sz w:val="20"/>
        </w:rPr>
        <w:t xml:space="preserve"> organized, validly existing, and in good standing under the laws of the state of </w:t>
      </w:r>
      <w:r w:rsidRPr="0072211F">
        <w:rPr>
          <w:rFonts w:ascii="Arial" w:hAnsi="Arial"/>
          <w:sz w:val="20"/>
          <w:highlight w:val="yellow"/>
        </w:rPr>
        <w:t>#GuarantorEntityRegistrationState</w:t>
      </w:r>
      <w:r w:rsidRPr="0072211F">
        <w:rPr>
          <w:rFonts w:ascii="Arial" w:hAnsi="Arial"/>
          <w:sz w:val="20"/>
        </w:rPr>
        <w:t>.</w:t>
      </w:r>
    </w:p>
    <w:p w:rsidRPr="00EC0667" w:rsidR="005E2F0E" w:rsidP="0072211F" w:rsidRDefault="005E2F0E" w14:paraId="61D34AE2" w14:textId="77777777">
      <w:pPr>
        <w:tabs>
          <w:tab w:val="left" w:pos="540"/>
        </w:tabs>
        <w:autoSpaceDE w:val="0"/>
        <w:autoSpaceDN w:val="0"/>
        <w:adjustRightInd w:val="0"/>
        <w:spacing w:before="120" w:after="120" w:line="240" w:lineRule="auto"/>
        <w:jc w:val="both"/>
        <w:outlineLvl w:val="1"/>
      </w:pPr>
      <w:r w:rsidRPr="005E2F0E">
        <w:rPr>
          <w:rFonts w:ascii="Arial" w:hAnsi="Arial" w:eastAsia="Times New Roman" w:cs="Times New Roman"/>
          <w:b/>
          <w:sz w:val="20"/>
          <w:szCs w:val="20"/>
        </w:rPr>
        <w:t>3.2</w:t>
      </w:r>
      <w:r w:rsidRPr="005E2F0E">
        <w:rPr>
          <w:rFonts w:ascii="Arial" w:hAnsi="Arial" w:eastAsia="Times New Roman" w:cs="Times New Roman"/>
          <w:i/>
          <w:sz w:val="20"/>
          <w:szCs w:val="20"/>
        </w:rPr>
        <w:tab/>
      </w:r>
      <w:r w:rsidRPr="0072211F">
        <w:rPr>
          <w:rFonts w:ascii="Arial" w:hAnsi="Arial"/>
          <w:b/>
          <w:sz w:val="20"/>
        </w:rPr>
        <w:t>Authorization; No Conflict.</w:t>
      </w:r>
      <w:r w:rsidRPr="0072211F">
        <w:rPr>
          <w:rFonts w:ascii="Arial" w:hAnsi="Arial"/>
          <w:sz w:val="20"/>
        </w:rPr>
        <w:t xml:space="preserve"> The execution and delivery by Guarantor of this Guaranty, and the performance by Guarantor of its obligations under this Guaranty: (i) are within Guarantor’s </w:t>
      </w:r>
      <w:r w:rsidRPr="0072211F">
        <w:rPr>
          <w:rFonts w:ascii="Arial" w:hAnsi="Arial"/>
          <w:sz w:val="20"/>
          <w:highlight w:val="yellow"/>
        </w:rPr>
        <w:t>#GuarantorEntityType#</w:t>
      </w:r>
      <w:r w:rsidRPr="0072211F">
        <w:rPr>
          <w:rFonts w:ascii="Arial" w:hAnsi="Arial"/>
          <w:sz w:val="20"/>
        </w:rPr>
        <w:t xml:space="preserve"> powers; (ii) have been duly authorized by all necessary </w:t>
      </w:r>
      <w:r w:rsidRPr="0072211F">
        <w:rPr>
          <w:rFonts w:ascii="Arial" w:hAnsi="Arial"/>
          <w:sz w:val="20"/>
          <w:highlight w:val="yellow"/>
        </w:rPr>
        <w:t>#GuarantorEntityType#</w:t>
      </w:r>
      <w:r w:rsidRPr="0072211F">
        <w:rPr>
          <w:rFonts w:ascii="Arial" w:hAnsi="Arial"/>
          <w:sz w:val="20"/>
        </w:rPr>
        <w:t xml:space="preserve"> action; (iii) do not contravene its </w:t>
      </w:r>
      <w:r w:rsidRPr="0072211F">
        <w:rPr>
          <w:rFonts w:ascii="Arial" w:hAnsi="Arial"/>
          <w:sz w:val="20"/>
          <w:highlight w:val="yellow"/>
        </w:rPr>
        <w:t xml:space="preserve">#bylaws </w:t>
      </w:r>
      <w:r w:rsidRPr="0072211F">
        <w:rPr>
          <w:rFonts w:ascii="Arial" w:hAnsi="Arial"/>
          <w:b/>
          <w:i/>
          <w:color w:val="FF0000"/>
          <w:sz w:val="20"/>
          <w:highlight w:val="yellow"/>
          <w:u w:val="single"/>
        </w:rPr>
        <w:t>OR</w:t>
      </w:r>
      <w:r w:rsidRPr="0072211F">
        <w:rPr>
          <w:rFonts w:ascii="Arial" w:hAnsi="Arial"/>
          <w:sz w:val="20"/>
          <w:highlight w:val="yellow"/>
        </w:rPr>
        <w:t xml:space="preserve"> #operating agreement </w:t>
      </w:r>
      <w:r w:rsidRPr="0072211F">
        <w:rPr>
          <w:rFonts w:ascii="Arial" w:hAnsi="Arial"/>
          <w:b/>
          <w:i/>
          <w:color w:val="FF0000"/>
          <w:sz w:val="20"/>
          <w:highlight w:val="yellow"/>
          <w:u w:val="single"/>
        </w:rPr>
        <w:t>OR</w:t>
      </w:r>
      <w:r w:rsidRPr="0072211F">
        <w:rPr>
          <w:rFonts w:ascii="Arial" w:hAnsi="Arial"/>
          <w:sz w:val="20"/>
          <w:highlight w:val="yellow"/>
        </w:rPr>
        <w:t xml:space="preserve"> #OtherOrganizationalDocument</w:t>
      </w:r>
      <w:r w:rsidRPr="0072211F">
        <w:rPr>
          <w:rFonts w:ascii="Arial" w:hAnsi="Arial"/>
          <w:sz w:val="20"/>
        </w:rPr>
        <w:t xml:space="preserve"> or any law or regulation applicable to or binding on Guarantor or any of its properties; and (iv) do not require the consent or approval of any Person that has not already been obtained or the satisfaction or waiver of any conditions precedent to the effectiveness of this Guaranty that have not been satisfied or waived.</w:t>
      </w:r>
    </w:p>
    <w:p w:rsidRPr="00EC0667" w:rsidR="005E2F0E" w:rsidP="0072211F" w:rsidRDefault="005E2F0E" w14:paraId="01ECABA1" w14:textId="77777777">
      <w:pPr>
        <w:tabs>
          <w:tab w:val="left" w:pos="540"/>
        </w:tabs>
        <w:autoSpaceDE w:val="0"/>
        <w:autoSpaceDN w:val="0"/>
        <w:adjustRightInd w:val="0"/>
        <w:spacing w:before="120" w:after="120" w:line="240" w:lineRule="auto"/>
        <w:jc w:val="both"/>
        <w:outlineLvl w:val="1"/>
      </w:pPr>
      <w:r w:rsidRPr="005E2F0E">
        <w:rPr>
          <w:rFonts w:ascii="Arial" w:hAnsi="Arial" w:eastAsia="Times New Roman" w:cs="Times New Roman"/>
          <w:b/>
          <w:sz w:val="20"/>
          <w:szCs w:val="20"/>
        </w:rPr>
        <w:t>3.3</w:t>
      </w:r>
      <w:r w:rsidRPr="005E2F0E">
        <w:rPr>
          <w:rFonts w:ascii="Arial" w:hAnsi="Arial" w:eastAsia="Times New Roman" w:cs="Times New Roman"/>
          <w:i/>
          <w:sz w:val="20"/>
          <w:szCs w:val="20"/>
        </w:rPr>
        <w:tab/>
      </w:r>
      <w:r w:rsidRPr="0072211F">
        <w:rPr>
          <w:rFonts w:ascii="Arial" w:hAnsi="Arial"/>
          <w:b/>
          <w:sz w:val="20"/>
        </w:rPr>
        <w:t>Enforceability.</w:t>
      </w:r>
      <w:r w:rsidRPr="0072211F">
        <w:rPr>
          <w:rFonts w:ascii="Arial" w:hAnsi="Arial"/>
          <w:sz w:val="20"/>
        </w:rPr>
        <w:t xml:space="preserve"> This Guaranty constitutes the legal, valid, and binding obligation of Guarantor, enforceable against Guarantor in accordance with its terms, except to the extent that that enforceability may be limited by applicable bankruptcy, insolvency, dissolution, reorganization, moratorium, liquidation, or other similar laws affecting creditors’ rights generally and by general principles of equity (regardless of whether enforcement is sought in a proceeding in equity or at law).</w:t>
      </w:r>
    </w:p>
    <w:p w:rsidRPr="00EC0667" w:rsidR="005E2F0E" w:rsidP="0072211F" w:rsidRDefault="005E2F0E" w14:paraId="6F80E5B3" w14:textId="77777777">
      <w:pPr>
        <w:tabs>
          <w:tab w:val="left" w:pos="540"/>
        </w:tabs>
        <w:autoSpaceDE w:val="0"/>
        <w:autoSpaceDN w:val="0"/>
        <w:adjustRightInd w:val="0"/>
        <w:spacing w:before="120" w:after="120" w:line="240" w:lineRule="auto"/>
        <w:jc w:val="both"/>
        <w:outlineLvl w:val="1"/>
      </w:pPr>
      <w:r w:rsidRPr="005E2F0E">
        <w:rPr>
          <w:rFonts w:ascii="Arial" w:hAnsi="Arial" w:eastAsia="Times New Roman" w:cs="Times New Roman"/>
          <w:b/>
          <w:sz w:val="20"/>
          <w:szCs w:val="20"/>
        </w:rPr>
        <w:t>3.4</w:t>
      </w:r>
      <w:r w:rsidRPr="005E2F0E">
        <w:rPr>
          <w:rFonts w:ascii="Arial" w:hAnsi="Arial" w:eastAsia="Times New Roman" w:cs="Times New Roman"/>
          <w:i/>
          <w:sz w:val="20"/>
          <w:szCs w:val="20"/>
        </w:rPr>
        <w:tab/>
      </w:r>
      <w:r w:rsidRPr="0072211F">
        <w:rPr>
          <w:rFonts w:ascii="Arial" w:hAnsi="Arial"/>
          <w:b/>
          <w:sz w:val="20"/>
        </w:rPr>
        <w:t>No Bankruptcy Proceedings.</w:t>
      </w:r>
      <w:r w:rsidRPr="0072211F">
        <w:rPr>
          <w:rFonts w:ascii="Arial" w:hAnsi="Arial"/>
          <w:sz w:val="20"/>
        </w:rPr>
        <w:t xml:space="preserve"> There are no bankruptcy proceedings pending or being contemplated by Guarantor or, to Guarantor’s knowledge, threatened against it.</w:t>
      </w:r>
    </w:p>
    <w:p w:rsidRPr="00EC0667" w:rsidR="005E2F0E" w:rsidP="0072211F" w:rsidRDefault="005E2F0E" w14:paraId="3EF8F64C" w14:textId="77777777">
      <w:pPr>
        <w:tabs>
          <w:tab w:val="left" w:pos="540"/>
        </w:tabs>
        <w:autoSpaceDE w:val="0"/>
        <w:autoSpaceDN w:val="0"/>
        <w:adjustRightInd w:val="0"/>
        <w:spacing w:before="120" w:after="120" w:line="240" w:lineRule="auto"/>
        <w:jc w:val="both"/>
        <w:outlineLvl w:val="1"/>
      </w:pPr>
      <w:r w:rsidRPr="005E2F0E">
        <w:rPr>
          <w:rFonts w:ascii="Arial" w:hAnsi="Arial" w:eastAsia="Times New Roman" w:cs="Times New Roman"/>
          <w:b/>
          <w:sz w:val="20"/>
          <w:szCs w:val="20"/>
        </w:rPr>
        <w:t>3.5</w:t>
      </w:r>
      <w:r w:rsidRPr="005E2F0E">
        <w:rPr>
          <w:rFonts w:ascii="Arial" w:hAnsi="Arial" w:eastAsia="Times New Roman" w:cs="Times New Roman"/>
          <w:i/>
          <w:sz w:val="20"/>
          <w:szCs w:val="20"/>
        </w:rPr>
        <w:tab/>
      </w:r>
      <w:r w:rsidRPr="0072211F">
        <w:rPr>
          <w:rFonts w:ascii="Arial" w:hAnsi="Arial"/>
          <w:b/>
          <w:sz w:val="20"/>
        </w:rPr>
        <w:t>No Legal Proceedings.</w:t>
      </w:r>
      <w:r w:rsidRPr="0072211F">
        <w:rPr>
          <w:rFonts w:ascii="Arial" w:hAnsi="Arial"/>
          <w:sz w:val="20"/>
        </w:rPr>
        <w:t xml:space="preserve"> There are no legal proceedings that would be reasonably likely to materially adversely affect Guarantor’s ability to perform this Guaranty.</w:t>
      </w:r>
    </w:p>
    <w:p w:rsidRPr="0072211F" w:rsidR="005E2F0E" w:rsidP="0072211F" w:rsidRDefault="005E2F0E" w14:paraId="700D8C29" w14:textId="77777777">
      <w:pPr>
        <w:keepNext/>
        <w:autoSpaceDE w:val="0"/>
        <w:autoSpaceDN w:val="0"/>
        <w:adjustRightInd w:val="0"/>
        <w:spacing w:before="240" w:after="120" w:line="240" w:lineRule="auto"/>
        <w:outlineLvl w:val="0"/>
        <w:rPr>
          <w:rFonts w:ascii="Arial" w:hAnsi="Arial"/>
          <w:b/>
          <w:caps/>
        </w:rPr>
      </w:pPr>
      <w:r w:rsidRPr="005E2F0E">
        <w:rPr>
          <w:rFonts w:ascii="Arial" w:hAnsi="Arial" w:eastAsia="Times New Roman" w:cs="Times New Roman"/>
          <w:b/>
          <w:caps/>
          <w:sz w:val="20"/>
          <w:szCs w:val="20"/>
        </w:rPr>
        <w:t xml:space="preserve">PART 4 - </w:t>
      </w:r>
      <w:r w:rsidRPr="0072211F">
        <w:rPr>
          <w:rFonts w:ascii="Arial" w:hAnsi="Arial"/>
          <w:b/>
          <w:caps/>
          <w:sz w:val="20"/>
        </w:rPr>
        <w:t>Miscellaneous</w:t>
      </w:r>
    </w:p>
    <w:p w:rsidRPr="00EC0667" w:rsidR="005E2F0E" w:rsidP="0072211F" w:rsidRDefault="005E2F0E" w14:paraId="52C6F6D5" w14:textId="7D891869">
      <w:pPr>
        <w:tabs>
          <w:tab w:val="left" w:pos="540"/>
        </w:tabs>
        <w:autoSpaceDE w:val="0"/>
        <w:autoSpaceDN w:val="0"/>
        <w:adjustRightInd w:val="0"/>
        <w:spacing w:before="120" w:after="120" w:line="240" w:lineRule="auto"/>
        <w:jc w:val="both"/>
        <w:outlineLvl w:val="1"/>
      </w:pPr>
      <w:r w:rsidRPr="00087BC0">
        <w:rPr>
          <w:rFonts w:ascii="Arial" w:hAnsi="Arial" w:eastAsia="Times New Roman" w:cs="Times New Roman"/>
          <w:bCs/>
        </w:rPr>
        <w:t>4.1</w:t>
      </w:r>
      <w:r w:rsidRPr="00087BC0">
        <w:rPr>
          <w:rFonts w:ascii="Arial" w:hAnsi="Arial" w:eastAsia="Times New Roman" w:cs="Times New Roman"/>
          <w:bCs/>
          <w:i/>
        </w:rPr>
        <w:tab/>
      </w:r>
      <w:r w:rsidRPr="0072211F">
        <w:rPr>
          <w:rFonts w:ascii="Arial" w:hAnsi="Arial" w:cs="Arial" w:eastAsiaTheme="minorEastAsia"/>
          <w:b/>
          <w:bCs/>
          <w:kern w:val="14"/>
          <w:sz w:val="20"/>
          <w:szCs w:val="20"/>
        </w:rPr>
        <w:t>Continuing Guaranty; Assignment</w:t>
      </w:r>
      <w:r w:rsidRPr="0072211F">
        <w:rPr>
          <w:rFonts w:ascii="Arial" w:hAnsi="Arial" w:cs="Arial" w:eastAsiaTheme="minorEastAsia"/>
          <w:b/>
          <w:kern w:val="14"/>
          <w:sz w:val="20"/>
          <w:szCs w:val="20"/>
        </w:rPr>
        <w:t xml:space="preserve">. </w:t>
      </w:r>
      <w:r w:rsidRPr="0072211F">
        <w:rPr>
          <w:rFonts w:ascii="Arial" w:hAnsi="Arial"/>
          <w:sz w:val="20"/>
        </w:rPr>
        <w:t xml:space="preserve">This Guaranty is a continuing guaranty and will: (i) remain in full force and effect until all of the Guaranty Obligations have been satisfied; (ii) consistent with the terms </w:t>
      </w:r>
      <w:r w:rsidRPr="0072211F">
        <w:rPr>
          <w:rFonts w:ascii="Arial" w:hAnsi="Arial"/>
          <w:sz w:val="20"/>
        </w:rPr>
        <w:lastRenderedPageBreak/>
        <w:t>of this Guaranty, apply to all Guaranteed Obligations whenever arising; (iii) be binding upon Guarantor, its successors and assigns; and (iv) inure to the benefit of, and be enforceable by, Beneficiary and its permitted assignees under this Guaranty. Guarantor must not assign or delegate Guarantor’s rights or obligations under this Guaranty without: (i) the prior written consent of Beneficiary, which consent may be withheld in Beneficiary’s sole discretion; and (ii) a written assignment and assumption agreement in form and substance reasonably acceptable to Beneficiary. Without prejudice to the survival of any of the other agreements of Guarantor under this Guaranty, the agreements and obligations of Guarantor contained in Section 4.4 (</w:t>
      </w:r>
      <w:r w:rsidRPr="0072211F">
        <w:rPr>
          <w:rFonts w:ascii="Arial" w:hAnsi="Arial"/>
          <w:i/>
          <w:sz w:val="20"/>
        </w:rPr>
        <w:t>Expenses</w:t>
      </w:r>
      <w:r w:rsidRPr="0072211F">
        <w:rPr>
          <w:rFonts w:ascii="Arial" w:hAnsi="Arial"/>
          <w:sz w:val="20"/>
        </w:rPr>
        <w:t>) (regarding enforcement expenses) and the last sentence of Section 2.2.1</w:t>
      </w:r>
      <w:r w:rsidRPr="005E2F0E">
        <w:rPr>
          <w:rFonts w:ascii="Arial" w:hAnsi="Arial" w:eastAsia="Times New Roman" w:cs="Times New Roman"/>
          <w:sz w:val="20"/>
          <w:szCs w:val="20"/>
        </w:rPr>
        <w:t xml:space="preserve"> </w:t>
      </w:r>
      <w:r w:rsidRPr="0072211F">
        <w:rPr>
          <w:rFonts w:ascii="Arial" w:hAnsi="Arial"/>
          <w:sz w:val="20"/>
        </w:rPr>
        <w:t>(</w:t>
      </w:r>
      <w:r w:rsidRPr="0072211F">
        <w:rPr>
          <w:rFonts w:ascii="Arial" w:hAnsi="Arial"/>
          <w:i/>
          <w:sz w:val="20"/>
        </w:rPr>
        <w:t>Guarantor Guarantees</w:t>
      </w:r>
      <w:r w:rsidRPr="0072211F">
        <w:rPr>
          <w:rFonts w:ascii="Arial" w:hAnsi="Arial"/>
          <w:sz w:val="20"/>
        </w:rPr>
        <w:t>) will survive the payment in full of the Guaranteed Obligations and all of the other amounts payable under this Guaranty.</w:t>
      </w:r>
    </w:p>
    <w:p w:rsidRPr="00EC0667" w:rsidR="005E2F0E" w:rsidP="0072211F" w:rsidRDefault="005E2F0E" w14:paraId="35F81F9F" w14:textId="2400359D">
      <w:pPr>
        <w:tabs>
          <w:tab w:val="left" w:pos="540"/>
        </w:tabs>
        <w:spacing w:before="120" w:after="120" w:line="240" w:lineRule="auto"/>
        <w:jc w:val="both"/>
      </w:pPr>
      <w:r w:rsidRPr="00087BC0">
        <w:rPr>
          <w:rFonts w:ascii="Arial" w:hAnsi="Arial" w:eastAsia="Times New Roman" w:cs="Times New Roman"/>
          <w:bCs/>
        </w:rPr>
        <w:t>4.2</w:t>
      </w:r>
      <w:r w:rsidRPr="00087BC0">
        <w:rPr>
          <w:rFonts w:ascii="Arial" w:hAnsi="Arial" w:eastAsia="Calibri" w:cs="Times New Roman"/>
          <w:bCs/>
        </w:rPr>
        <w:tab/>
      </w:r>
      <w:r w:rsidRPr="0072211F">
        <w:rPr>
          <w:rFonts w:ascii="Arial" w:hAnsi="Arial" w:cs="Arial" w:eastAsiaTheme="minorEastAsia"/>
          <w:b/>
          <w:bCs/>
          <w:kern w:val="14"/>
          <w:sz w:val="20"/>
          <w:szCs w:val="20"/>
        </w:rPr>
        <w:t xml:space="preserve">Notices. </w:t>
      </w:r>
      <w:r w:rsidRPr="0072211F">
        <w:rPr>
          <w:rFonts w:ascii="Arial" w:hAnsi="Arial"/>
          <w:sz w:val="20"/>
        </w:rPr>
        <w:t xml:space="preserve">All notices, requests, demands and other communications that are required or may be given under this Guaranty must be in writing and will be deemed to have been given when actually received if: (i) personally delivered; (ii) transmitted by facsimile, electronic, or digital transmission method; or (iii) if sent by certified or registered mail, return receipt requested. In each case, notice will be </w:t>
      </w:r>
      <w:bookmarkStart w:name="_DV_M873" w:id="1257"/>
      <w:bookmarkEnd w:id="1257"/>
      <w:r w:rsidRPr="0072211F">
        <w:rPr>
          <w:rFonts w:ascii="Arial" w:hAnsi="Arial"/>
          <w:sz w:val="20"/>
        </w:rPr>
        <w:t xml:space="preserve">to </w:t>
      </w:r>
      <w:bookmarkStart w:name="_DV_M874" w:id="1258"/>
      <w:bookmarkEnd w:id="1258"/>
      <w:r w:rsidRPr="0072211F">
        <w:rPr>
          <w:rFonts w:ascii="Arial" w:hAnsi="Arial"/>
          <w:sz w:val="20"/>
        </w:rPr>
        <w:t>the contacts identified in this Section 4.2 (</w:t>
      </w:r>
      <w:r w:rsidRPr="0072211F">
        <w:rPr>
          <w:rFonts w:ascii="Arial" w:hAnsi="Arial"/>
          <w:i/>
          <w:sz w:val="20"/>
        </w:rPr>
        <w:t>Notices</w:t>
      </w:r>
      <w:r w:rsidRPr="0072211F">
        <w:rPr>
          <w:rFonts w:ascii="Arial" w:hAnsi="Arial"/>
          <w:sz w:val="20"/>
        </w:rPr>
        <w:t xml:space="preserve">) </w:t>
      </w:r>
      <w:bookmarkStart w:name="_DV_M875" w:id="1259"/>
      <w:bookmarkEnd w:id="1259"/>
      <w:r w:rsidRPr="0072211F">
        <w:rPr>
          <w:rFonts w:ascii="Arial" w:hAnsi="Arial"/>
          <w:sz w:val="20"/>
        </w:rPr>
        <w:t>or to the other place and with the other copies as Beneficiary or Guarantor may designate for itself by written notice to the other under this Section 4.2</w:t>
      </w:r>
      <w:r w:rsidRPr="005E2F0E">
        <w:rPr>
          <w:rFonts w:ascii="Arial" w:hAnsi="Arial" w:eastAsia="Times New Roman" w:cs="Times New Roman"/>
          <w:sz w:val="20"/>
          <w:szCs w:val="20"/>
        </w:rPr>
        <w:t>.</w:t>
      </w:r>
      <w:r w:rsidRPr="0072211F">
        <w:rPr>
          <w:rFonts w:ascii="Arial" w:hAnsi="Arial"/>
          <w:sz w:val="20"/>
        </w:rPr>
        <w:t xml:space="preserve"> Delivery by facsimile of an executed counterpart of a signature page to any amendment or waiver of any provision of this Guaranty will be effective as delivery of an original executed counterpart to the amendment or waiver.</w:t>
      </w:r>
    </w:p>
    <w:tbl>
      <w:tblPr>
        <w:tblW w:w="0" w:type="auto"/>
        <w:tblLook w:val="00A0" w:firstRow="1" w:lastRow="0" w:firstColumn="1" w:lastColumn="0" w:noHBand="0" w:noVBand="0"/>
      </w:tblPr>
      <w:tblGrid>
        <w:gridCol w:w="4815"/>
        <w:gridCol w:w="4545"/>
      </w:tblGrid>
      <w:tr w:rsidRPr="00EC0667" w:rsidR="005E2F0E" w14:paraId="4862A1F6" w14:textId="77777777">
        <w:trPr>
          <w:trHeight w:val="360"/>
        </w:trPr>
        <w:tc>
          <w:tcPr>
            <w:tcW w:w="5019" w:type="dxa"/>
            <w:vAlign w:val="center"/>
          </w:tcPr>
          <w:p w:rsidRPr="00EC0667" w:rsidR="005E2F0E" w:rsidP="005E2F0E" w:rsidRDefault="005E2F0E" w14:paraId="0AE1F33A" w14:textId="77777777">
            <w:pPr>
              <w:keepNext/>
              <w:keepLines/>
              <w:spacing w:before="120" w:after="120" w:line="240" w:lineRule="auto"/>
              <w:rPr>
                <w:rFonts w:ascii="Arial" w:hAnsi="Arial" w:cs="Arial"/>
                <w:b/>
                <w:color w:val="000000"/>
                <w:sz w:val="20"/>
                <w:szCs w:val="20"/>
              </w:rPr>
            </w:pPr>
            <w:r w:rsidRPr="00EC0667">
              <w:rPr>
                <w:rFonts w:ascii="Arial" w:hAnsi="Arial" w:cs="Arial"/>
                <w:b/>
                <w:color w:val="000000"/>
                <w:sz w:val="20"/>
                <w:szCs w:val="20"/>
              </w:rPr>
              <w:t>Notice to GPC:</w:t>
            </w:r>
          </w:p>
        </w:tc>
        <w:tc>
          <w:tcPr>
            <w:tcW w:w="4989" w:type="dxa"/>
            <w:vAlign w:val="center"/>
          </w:tcPr>
          <w:p w:rsidRPr="00EC0667" w:rsidR="005E2F0E" w:rsidP="005E2F0E" w:rsidRDefault="005E2F0E" w14:paraId="193CB118" w14:textId="77777777">
            <w:pPr>
              <w:keepNext/>
              <w:keepLines/>
              <w:spacing w:before="120" w:after="120" w:line="240" w:lineRule="auto"/>
              <w:rPr>
                <w:rFonts w:ascii="Arial" w:hAnsi="Arial" w:cs="Arial"/>
                <w:b/>
                <w:color w:val="000000"/>
                <w:sz w:val="20"/>
                <w:szCs w:val="20"/>
              </w:rPr>
            </w:pPr>
            <w:r w:rsidRPr="00EC0667">
              <w:rPr>
                <w:rFonts w:ascii="Arial" w:hAnsi="Arial" w:cs="Arial"/>
                <w:b/>
                <w:color w:val="000000"/>
                <w:sz w:val="20"/>
                <w:szCs w:val="20"/>
              </w:rPr>
              <w:t>With Copy to:</w:t>
            </w:r>
          </w:p>
        </w:tc>
      </w:tr>
      <w:tr w:rsidRPr="00EC0667" w:rsidR="005E2F0E" w14:paraId="7F8DF7B2" w14:textId="77777777">
        <w:tc>
          <w:tcPr>
            <w:tcW w:w="5019" w:type="dxa"/>
            <w:vAlign w:val="center"/>
          </w:tcPr>
          <w:p w:rsidRPr="005E2F0E" w:rsidR="005E2F0E" w:rsidP="0072211F" w:rsidRDefault="005E2F0E" w14:paraId="0AEC35B5" w14:textId="77777777">
            <w:pPr>
              <w:keepLines/>
              <w:spacing w:after="0" w:line="240" w:lineRule="auto"/>
              <w:rPr>
                <w:rFonts w:ascii="Arial" w:hAnsi="Arial" w:eastAsia="Calibri" w:cs="Times New Roman"/>
                <w:color w:val="000000"/>
                <w:sz w:val="20"/>
                <w:szCs w:val="20"/>
              </w:rPr>
            </w:pPr>
            <w:r w:rsidRPr="005E2F0E">
              <w:rPr>
                <w:rFonts w:ascii="Arial" w:hAnsi="Arial" w:eastAsia="Calibri" w:cs="Times New Roman"/>
                <w:color w:val="000000"/>
                <w:sz w:val="20"/>
                <w:szCs w:val="20"/>
              </w:rPr>
              <w:t>Georgia Power Company</w:t>
            </w:r>
          </w:p>
          <w:p w:rsidRPr="005E2F0E" w:rsidR="005E2F0E" w:rsidP="0072211F" w:rsidRDefault="005E2F0E" w14:paraId="22D52457" w14:textId="77777777">
            <w:pPr>
              <w:keepLines/>
              <w:spacing w:after="0" w:line="240" w:lineRule="auto"/>
              <w:rPr>
                <w:rFonts w:ascii="Arial" w:hAnsi="Arial" w:eastAsia="MS Gothic" w:cs="Times New Roman"/>
                <w:sz w:val="20"/>
                <w:szCs w:val="20"/>
              </w:rPr>
            </w:pPr>
            <w:r w:rsidRPr="005E2F0E">
              <w:rPr>
                <w:rFonts w:ascii="Arial" w:hAnsi="Arial" w:eastAsia="Calibri" w:cs="Times New Roman"/>
                <w:sz w:val="20"/>
                <w:szCs w:val="20"/>
              </w:rPr>
              <w:t>c/o Southern Company Services, Inc.</w:t>
            </w:r>
          </w:p>
          <w:p w:rsidRPr="005E2F0E" w:rsidR="005E2F0E" w:rsidP="0072211F" w:rsidRDefault="005E2F0E" w14:paraId="65DFF14C" w14:textId="77777777">
            <w:pPr>
              <w:keepLines/>
              <w:spacing w:after="0" w:line="240" w:lineRule="auto"/>
              <w:rPr>
                <w:rFonts w:ascii="Arial" w:hAnsi="Arial" w:eastAsia="MS Gothic" w:cs="Times New Roman"/>
                <w:sz w:val="20"/>
                <w:szCs w:val="20"/>
              </w:rPr>
            </w:pPr>
            <w:r w:rsidRPr="005E2F0E">
              <w:rPr>
                <w:rFonts w:ascii="Arial" w:hAnsi="Arial" w:eastAsia="MS Gothic" w:cs="Times New Roman"/>
                <w:sz w:val="20"/>
                <w:szCs w:val="20"/>
              </w:rPr>
              <w:t>Attn: Assistant Treasurer, BIN SC 1407</w:t>
            </w:r>
          </w:p>
          <w:p w:rsidRPr="005E2F0E" w:rsidR="005E2F0E" w:rsidP="0072211F" w:rsidRDefault="005E2F0E" w14:paraId="5B38ECB0" w14:textId="77777777">
            <w:pPr>
              <w:keepLines/>
              <w:spacing w:after="0" w:line="240" w:lineRule="auto"/>
              <w:rPr>
                <w:rFonts w:ascii="Arial" w:hAnsi="Arial" w:eastAsia="Calibri" w:cs="Times New Roman"/>
                <w:sz w:val="20"/>
                <w:szCs w:val="20"/>
              </w:rPr>
            </w:pPr>
            <w:r w:rsidRPr="005E2F0E">
              <w:rPr>
                <w:rFonts w:ascii="Arial" w:hAnsi="Arial" w:eastAsia="Calibri" w:cs="Times New Roman"/>
                <w:sz w:val="20"/>
                <w:szCs w:val="20"/>
              </w:rPr>
              <w:t xml:space="preserve">30 Ivan Allen Junior Boulevard, NW </w:t>
            </w:r>
          </w:p>
          <w:p w:rsidRPr="005E2F0E" w:rsidR="005E2F0E" w:rsidP="0072211F" w:rsidRDefault="005E2F0E" w14:paraId="31DD1459" w14:textId="77777777">
            <w:pPr>
              <w:keepLines/>
              <w:spacing w:after="0" w:line="240" w:lineRule="auto"/>
              <w:rPr>
                <w:rFonts w:ascii="Arial" w:hAnsi="Arial" w:eastAsia="Calibri" w:cs="Times New Roman"/>
                <w:color w:val="000000"/>
                <w:sz w:val="20"/>
                <w:szCs w:val="20"/>
              </w:rPr>
            </w:pPr>
            <w:r w:rsidRPr="005E2F0E">
              <w:rPr>
                <w:rFonts w:ascii="Arial" w:hAnsi="Arial" w:eastAsia="Calibri" w:cs="Times New Roman"/>
                <w:color w:val="000000"/>
                <w:sz w:val="20"/>
                <w:szCs w:val="20"/>
              </w:rPr>
              <w:t>Atlanta, GA 30308</w:t>
            </w:r>
          </w:p>
          <w:p w:rsidRPr="005E2F0E" w:rsidR="005E2F0E" w:rsidP="0072211F" w:rsidRDefault="005E2F0E" w14:paraId="09627034" w14:textId="77777777">
            <w:pPr>
              <w:keepLines/>
              <w:spacing w:after="0" w:line="240" w:lineRule="auto"/>
              <w:rPr>
                <w:rFonts w:ascii="Arial" w:hAnsi="Arial" w:eastAsia="Calibri" w:cs="Times New Roman"/>
                <w:color w:val="000000"/>
                <w:sz w:val="20"/>
                <w:szCs w:val="20"/>
              </w:rPr>
            </w:pPr>
            <w:hyperlink w:history="1" r:id="rId21">
              <w:r w:rsidRPr="005E2F0E">
                <w:rPr>
                  <w:rFonts w:ascii="Arial" w:hAnsi="Arial" w:eastAsia="Calibri" w:cs="Times New Roman"/>
                  <w:sz w:val="20"/>
                  <w:szCs w:val="20"/>
                  <w:u w:val="single"/>
                </w:rPr>
                <w:t>G2GPCERG@southernco.com</w:t>
              </w:r>
            </w:hyperlink>
            <w:r w:rsidRPr="005E2F0E">
              <w:rPr>
                <w:rFonts w:ascii="Arial" w:hAnsi="Arial" w:eastAsia="Calibri" w:cs="Times New Roman"/>
                <w:sz w:val="20"/>
                <w:szCs w:val="20"/>
              </w:rPr>
              <w:t xml:space="preserve"> </w:t>
            </w:r>
          </w:p>
        </w:tc>
        <w:tc>
          <w:tcPr>
            <w:tcW w:w="4989" w:type="dxa"/>
          </w:tcPr>
          <w:p w:rsidRPr="005E2F0E" w:rsidR="005E2F0E" w:rsidP="0072211F" w:rsidRDefault="005E2F0E" w14:paraId="20773483" w14:textId="77777777">
            <w:pPr>
              <w:keepLines/>
              <w:spacing w:after="0" w:line="240" w:lineRule="auto"/>
              <w:rPr>
                <w:rFonts w:ascii="Arial" w:hAnsi="Arial" w:eastAsia="Calibri" w:cs="Times New Roman"/>
                <w:color w:val="000000"/>
                <w:sz w:val="20"/>
                <w:szCs w:val="20"/>
              </w:rPr>
            </w:pPr>
            <w:r w:rsidRPr="005E2F0E">
              <w:rPr>
                <w:rFonts w:ascii="Arial" w:hAnsi="Arial" w:eastAsia="Calibri" w:cs="Times New Roman"/>
                <w:color w:val="000000"/>
                <w:sz w:val="20"/>
                <w:szCs w:val="20"/>
              </w:rPr>
              <w:t>Georgia Power Company Legal Dept.</w:t>
            </w:r>
          </w:p>
          <w:p w:rsidRPr="005E2F0E" w:rsidR="005E2F0E" w:rsidP="0072211F" w:rsidRDefault="005E2F0E" w14:paraId="18265338" w14:textId="77777777">
            <w:pPr>
              <w:keepLines/>
              <w:spacing w:after="0" w:line="240" w:lineRule="auto"/>
              <w:rPr>
                <w:rFonts w:ascii="Arial" w:hAnsi="Arial" w:eastAsia="Calibri" w:cs="Times New Roman"/>
                <w:color w:val="000000"/>
                <w:sz w:val="20"/>
                <w:szCs w:val="20"/>
              </w:rPr>
            </w:pPr>
            <w:r w:rsidRPr="005E2F0E">
              <w:rPr>
                <w:rFonts w:ascii="Arial" w:hAnsi="Arial" w:eastAsia="Calibri" w:cs="Times New Roman"/>
                <w:color w:val="000000"/>
                <w:sz w:val="20"/>
                <w:szCs w:val="20"/>
              </w:rPr>
              <w:t>Attn: Commercial &amp; Transactions, Bin 10180</w:t>
            </w:r>
          </w:p>
          <w:p w:rsidRPr="005E2F0E" w:rsidR="005E2F0E" w:rsidP="0072211F" w:rsidRDefault="005E2F0E" w14:paraId="115345B7" w14:textId="77777777">
            <w:pPr>
              <w:keepLines/>
              <w:spacing w:after="0" w:line="240" w:lineRule="auto"/>
              <w:rPr>
                <w:rFonts w:ascii="Arial" w:hAnsi="Arial" w:eastAsia="Calibri" w:cs="Times New Roman"/>
                <w:color w:val="000000"/>
                <w:sz w:val="20"/>
                <w:szCs w:val="20"/>
              </w:rPr>
            </w:pPr>
            <w:r w:rsidRPr="005E2F0E">
              <w:rPr>
                <w:rFonts w:ascii="Arial" w:hAnsi="Arial" w:eastAsia="Calibri" w:cs="Times New Roman"/>
                <w:color w:val="000000"/>
                <w:sz w:val="20"/>
                <w:szCs w:val="20"/>
              </w:rPr>
              <w:t>241 Ralph McGill Blvd., N.E.</w:t>
            </w:r>
          </w:p>
          <w:p w:rsidRPr="005E2F0E" w:rsidR="005E2F0E" w:rsidP="0072211F" w:rsidRDefault="005E2F0E" w14:paraId="42A64410" w14:textId="77777777">
            <w:pPr>
              <w:keepLines/>
              <w:spacing w:after="0" w:line="240" w:lineRule="auto"/>
              <w:rPr>
                <w:rFonts w:ascii="Arial" w:hAnsi="Arial" w:eastAsia="Calibri" w:cs="Times New Roman"/>
                <w:color w:val="000000"/>
                <w:sz w:val="20"/>
                <w:szCs w:val="20"/>
              </w:rPr>
            </w:pPr>
            <w:r w:rsidRPr="005E2F0E">
              <w:rPr>
                <w:rFonts w:ascii="Arial" w:hAnsi="Arial" w:eastAsia="Calibri" w:cs="Times New Roman"/>
                <w:color w:val="000000"/>
                <w:sz w:val="20"/>
                <w:szCs w:val="20"/>
              </w:rPr>
              <w:t>Atlanta, GA 30308</w:t>
            </w:r>
          </w:p>
        </w:tc>
      </w:tr>
      <w:tr w:rsidRPr="00EC0667" w:rsidR="005E2F0E" w14:paraId="189E7C18" w14:textId="77777777">
        <w:trPr>
          <w:gridAfter w:val="1"/>
          <w:wAfter w:w="4932" w:type="dxa"/>
          <w:trHeight w:val="360"/>
        </w:trPr>
        <w:tc>
          <w:tcPr>
            <w:tcW w:w="5076" w:type="dxa"/>
            <w:vAlign w:val="center"/>
          </w:tcPr>
          <w:p w:rsidRPr="00EC0667" w:rsidR="005E2F0E" w:rsidP="0072211F" w:rsidRDefault="005E2F0E" w14:paraId="0464585C" w14:textId="77777777">
            <w:pPr>
              <w:keepNext/>
              <w:keepLines/>
              <w:spacing w:after="0" w:line="240" w:lineRule="auto"/>
              <w:rPr>
                <w:rFonts w:ascii="Arial" w:hAnsi="Arial" w:cs="Arial"/>
                <w:b/>
                <w:color w:val="000000"/>
                <w:sz w:val="20"/>
                <w:szCs w:val="20"/>
              </w:rPr>
            </w:pPr>
            <w:r w:rsidRPr="005E2F0E">
              <w:rPr>
                <w:rFonts w:ascii="Arial" w:hAnsi="Arial" w:eastAsia="Times New Roman" w:cs="Times New Roman"/>
                <w:sz w:val="20"/>
                <w:szCs w:val="20"/>
              </w:rPr>
              <w:br/>
            </w:r>
            <w:r w:rsidRPr="00EC0667">
              <w:rPr>
                <w:rFonts w:ascii="Arial" w:hAnsi="Arial" w:cs="Arial"/>
                <w:b/>
                <w:color w:val="000000"/>
                <w:sz w:val="20"/>
                <w:szCs w:val="20"/>
              </w:rPr>
              <w:t>Notice to Guarantor:</w:t>
            </w:r>
          </w:p>
        </w:tc>
      </w:tr>
      <w:tr w:rsidRPr="00EC0667" w:rsidR="005E2F0E" w14:paraId="222A00C9" w14:textId="77777777">
        <w:trPr>
          <w:gridAfter w:val="1"/>
          <w:wAfter w:w="4932" w:type="dxa"/>
        </w:trPr>
        <w:tc>
          <w:tcPr>
            <w:tcW w:w="5076" w:type="dxa"/>
            <w:vAlign w:val="center"/>
          </w:tcPr>
          <w:p w:rsidRPr="005E2F0E" w:rsidR="005E2F0E" w:rsidP="0072211F" w:rsidRDefault="005E2F0E" w14:paraId="130B60D0" w14:textId="77777777">
            <w:pPr>
              <w:keepNext/>
              <w:keepLines/>
              <w:spacing w:after="0" w:line="240" w:lineRule="auto"/>
              <w:rPr>
                <w:rFonts w:ascii="Arial" w:hAnsi="Arial" w:eastAsia="Calibri" w:cs="Times New Roman"/>
                <w:color w:val="000000"/>
                <w:sz w:val="20"/>
                <w:szCs w:val="20"/>
                <w:highlight w:val="yellow"/>
              </w:rPr>
            </w:pPr>
            <w:r w:rsidRPr="005E2F0E">
              <w:rPr>
                <w:rFonts w:ascii="Arial" w:hAnsi="Arial" w:eastAsia="Calibri" w:cs="Times New Roman"/>
                <w:color w:val="000000"/>
                <w:sz w:val="20"/>
                <w:szCs w:val="20"/>
                <w:highlight w:val="yellow"/>
              </w:rPr>
              <w:t>#CompanyName</w:t>
            </w:r>
          </w:p>
          <w:p w:rsidRPr="005E2F0E" w:rsidR="005E2F0E" w:rsidP="0072211F" w:rsidRDefault="005E2F0E" w14:paraId="368DD8F7" w14:textId="77777777">
            <w:pPr>
              <w:keepNext/>
              <w:keepLines/>
              <w:spacing w:after="0" w:line="240" w:lineRule="auto"/>
              <w:rPr>
                <w:rFonts w:ascii="Arial" w:hAnsi="Arial" w:eastAsia="Calibri" w:cs="Times New Roman"/>
                <w:color w:val="000000"/>
                <w:sz w:val="20"/>
                <w:szCs w:val="20"/>
                <w:highlight w:val="yellow"/>
              </w:rPr>
            </w:pPr>
            <w:r w:rsidRPr="005E2F0E">
              <w:rPr>
                <w:rFonts w:ascii="Arial" w:hAnsi="Arial" w:eastAsia="Calibri" w:cs="Times New Roman"/>
                <w:color w:val="000000"/>
                <w:sz w:val="20"/>
                <w:szCs w:val="20"/>
                <w:highlight w:val="yellow"/>
              </w:rPr>
              <w:t>Attn: #IndividualName</w:t>
            </w:r>
          </w:p>
          <w:p w:rsidRPr="005E2F0E" w:rsidR="005E2F0E" w:rsidP="0072211F" w:rsidRDefault="005E2F0E" w14:paraId="7AC9478E" w14:textId="77777777">
            <w:pPr>
              <w:keepNext/>
              <w:keepLines/>
              <w:spacing w:after="0" w:line="240" w:lineRule="auto"/>
              <w:rPr>
                <w:rFonts w:ascii="Arial" w:hAnsi="Arial" w:eastAsia="Calibri" w:cs="Times New Roman"/>
                <w:color w:val="000000"/>
                <w:sz w:val="20"/>
                <w:szCs w:val="20"/>
                <w:highlight w:val="yellow"/>
              </w:rPr>
            </w:pPr>
            <w:r w:rsidRPr="005E2F0E">
              <w:rPr>
                <w:rFonts w:ascii="Arial" w:hAnsi="Arial" w:eastAsia="Calibri" w:cs="Times New Roman"/>
                <w:color w:val="000000"/>
                <w:sz w:val="20"/>
                <w:szCs w:val="20"/>
                <w:highlight w:val="yellow"/>
              </w:rPr>
              <w:t>#Title</w:t>
            </w:r>
          </w:p>
          <w:p w:rsidRPr="005E2F0E" w:rsidR="005E2F0E" w:rsidP="0072211F" w:rsidRDefault="005E2F0E" w14:paraId="16CB0BE6" w14:textId="77777777">
            <w:pPr>
              <w:keepNext/>
              <w:keepLines/>
              <w:spacing w:after="0" w:line="240" w:lineRule="auto"/>
              <w:rPr>
                <w:rFonts w:ascii="Arial" w:hAnsi="Arial" w:eastAsia="Calibri" w:cs="Times New Roman"/>
                <w:color w:val="000000"/>
                <w:sz w:val="20"/>
                <w:szCs w:val="20"/>
                <w:highlight w:val="yellow"/>
              </w:rPr>
            </w:pPr>
            <w:r w:rsidRPr="005E2F0E">
              <w:rPr>
                <w:rFonts w:ascii="Arial" w:hAnsi="Arial" w:eastAsia="Calibri" w:cs="Times New Roman"/>
                <w:color w:val="000000"/>
                <w:sz w:val="20"/>
                <w:szCs w:val="20"/>
                <w:highlight w:val="yellow"/>
              </w:rPr>
              <w:t>#StreetAddress</w:t>
            </w:r>
          </w:p>
          <w:p w:rsidRPr="0072211F" w:rsidR="005E2F0E" w:rsidP="0072211F" w:rsidRDefault="005E2F0E" w14:paraId="06942D08" w14:textId="77777777">
            <w:pPr>
              <w:keepNext/>
              <w:keepLines/>
              <w:spacing w:after="0" w:line="240" w:lineRule="auto"/>
              <w:rPr>
                <w:rFonts w:ascii="Arial" w:hAnsi="Arial"/>
                <w:color w:val="000000"/>
                <w:sz w:val="20"/>
              </w:rPr>
            </w:pPr>
            <w:r w:rsidRPr="005E2F0E">
              <w:rPr>
                <w:rFonts w:ascii="Arial" w:hAnsi="Arial" w:eastAsia="Calibri" w:cs="Times New Roman"/>
                <w:color w:val="000000"/>
                <w:sz w:val="20"/>
                <w:szCs w:val="20"/>
                <w:highlight w:val="yellow"/>
              </w:rPr>
              <w:t>#City, #State #ZipCode</w:t>
            </w:r>
          </w:p>
          <w:p w:rsidRPr="005E2F0E" w:rsidR="005E2F0E" w:rsidP="0072211F" w:rsidRDefault="005E2F0E" w14:paraId="7D904167" w14:textId="77777777">
            <w:pPr>
              <w:keepNext/>
              <w:keepLines/>
              <w:spacing w:after="0" w:line="240" w:lineRule="auto"/>
              <w:rPr>
                <w:rFonts w:ascii="Arial" w:hAnsi="Arial" w:eastAsia="Calibri" w:cs="Times New Roman"/>
                <w:color w:val="0563C1"/>
                <w:sz w:val="20"/>
                <w:szCs w:val="20"/>
              </w:rPr>
            </w:pPr>
            <w:r w:rsidRPr="005E2F0E">
              <w:rPr>
                <w:rFonts w:ascii="Arial" w:hAnsi="Arial" w:eastAsia="Calibri" w:cs="Times New Roman"/>
                <w:sz w:val="20"/>
                <w:szCs w:val="20"/>
                <w:highlight w:val="yellow"/>
              </w:rPr>
              <w:t>#Email#</w:t>
            </w:r>
          </w:p>
        </w:tc>
      </w:tr>
    </w:tbl>
    <w:p w:rsidRPr="00EC0667" w:rsidR="005E2F0E" w:rsidP="0072211F" w:rsidRDefault="005E2F0E" w14:paraId="406CD5F1" w14:textId="187F9DE3">
      <w:pPr>
        <w:tabs>
          <w:tab w:val="left" w:pos="540"/>
        </w:tabs>
        <w:spacing w:before="120" w:after="120" w:line="240" w:lineRule="auto"/>
        <w:jc w:val="both"/>
      </w:pPr>
      <w:r w:rsidRPr="00087BC0">
        <w:rPr>
          <w:rFonts w:ascii="Arial" w:hAnsi="Arial" w:eastAsia="Times New Roman" w:cs="Times New Roman"/>
          <w:bCs/>
        </w:rPr>
        <w:t>4.3</w:t>
      </w:r>
      <w:r w:rsidRPr="00087BC0">
        <w:rPr>
          <w:rFonts w:ascii="Arial" w:hAnsi="Arial" w:eastAsia="Times New Roman" w:cs="Times New Roman"/>
          <w:bCs/>
          <w:i/>
        </w:rPr>
        <w:tab/>
      </w:r>
      <w:r w:rsidRPr="0072211F">
        <w:rPr>
          <w:rFonts w:ascii="Arial" w:hAnsi="Arial" w:cs="Arial" w:eastAsiaTheme="minorEastAsia"/>
          <w:b/>
          <w:bCs/>
          <w:kern w:val="14"/>
          <w:sz w:val="20"/>
          <w:szCs w:val="20"/>
        </w:rPr>
        <w:t xml:space="preserve">Delay and Waiver. </w:t>
      </w:r>
      <w:r w:rsidRPr="0072211F">
        <w:rPr>
          <w:rFonts w:ascii="Arial" w:hAnsi="Arial"/>
          <w:sz w:val="20"/>
        </w:rPr>
        <w:t>No failure on the part of Beneficiary to exercise, and no delay in exercising, any right under this Guaranty will operate as a waiver any right under this Guaranty; nor will any single or partial exercise of any right under this Guaranty preclude any other or further exercise of the right under this Guaranty or the exercise of any other right. The remedies provided in this Guaranty are cumulative and not exclusive of any remedies provided by law.</w:t>
      </w:r>
    </w:p>
    <w:p w:rsidRPr="00EC0667" w:rsidR="005E2F0E" w:rsidP="0072211F" w:rsidRDefault="005E2F0E" w14:paraId="2A585DDC" w14:textId="50108F83">
      <w:pPr>
        <w:tabs>
          <w:tab w:val="left" w:pos="540"/>
        </w:tabs>
        <w:autoSpaceDE w:val="0"/>
        <w:autoSpaceDN w:val="0"/>
        <w:adjustRightInd w:val="0"/>
        <w:spacing w:before="120" w:after="120" w:line="240" w:lineRule="auto"/>
        <w:jc w:val="both"/>
        <w:outlineLvl w:val="1"/>
      </w:pPr>
      <w:r w:rsidRPr="00087BC0">
        <w:rPr>
          <w:rFonts w:ascii="Arial" w:hAnsi="Arial" w:eastAsia="Times New Roman" w:cs="Times New Roman"/>
          <w:bCs/>
        </w:rPr>
        <w:t>4.4</w:t>
      </w:r>
      <w:r w:rsidRPr="00087BC0">
        <w:rPr>
          <w:rFonts w:ascii="Arial" w:hAnsi="Arial" w:eastAsia="Times New Roman" w:cs="Times New Roman"/>
          <w:bCs/>
          <w:i/>
        </w:rPr>
        <w:tab/>
      </w:r>
      <w:r w:rsidRPr="0072211F">
        <w:rPr>
          <w:rFonts w:ascii="Arial" w:hAnsi="Arial" w:cs="Arial" w:eastAsiaTheme="minorEastAsia"/>
          <w:b/>
          <w:bCs/>
          <w:kern w:val="14"/>
          <w:sz w:val="20"/>
          <w:szCs w:val="20"/>
        </w:rPr>
        <w:t xml:space="preserve">Expenses. </w:t>
      </w:r>
      <w:r w:rsidRPr="0072211F">
        <w:rPr>
          <w:rFonts w:ascii="Arial" w:hAnsi="Arial"/>
          <w:sz w:val="20"/>
        </w:rPr>
        <w:t>Guarantor agrees to pay or reimburse Beneficiary and any permitted assignees of Beneficiary on demand for its reasonable costs, charges, and expenses (including reasonable fees and expenses of counsel) incurred in connection with the enforcement of this Guaranty or caused by any breach by Guarantor of any of its obligations under this Guaranty, including any actions taken in any bankruptcy or insolvency proceedings, if Guarantor is required to pay under this Guaranty.</w:t>
      </w:r>
    </w:p>
    <w:p w:rsidRPr="00EC0667" w:rsidR="005E2F0E" w:rsidP="0072211F" w:rsidRDefault="005E2F0E" w14:paraId="1B159C90" w14:textId="760373AC">
      <w:pPr>
        <w:tabs>
          <w:tab w:val="left" w:pos="540"/>
        </w:tabs>
        <w:autoSpaceDE w:val="0"/>
        <w:autoSpaceDN w:val="0"/>
        <w:adjustRightInd w:val="0"/>
        <w:spacing w:before="120" w:after="120" w:line="240" w:lineRule="auto"/>
        <w:jc w:val="both"/>
        <w:outlineLvl w:val="1"/>
      </w:pPr>
      <w:r w:rsidRPr="00087BC0">
        <w:rPr>
          <w:rFonts w:ascii="Arial" w:hAnsi="Arial" w:eastAsia="Times New Roman" w:cs="Times New Roman"/>
          <w:bCs/>
        </w:rPr>
        <w:t>4.5</w:t>
      </w:r>
      <w:r w:rsidRPr="00087BC0">
        <w:rPr>
          <w:rFonts w:ascii="Arial" w:hAnsi="Arial" w:eastAsia="Times New Roman" w:cs="Times New Roman"/>
          <w:bCs/>
          <w:i/>
        </w:rPr>
        <w:tab/>
      </w:r>
      <w:r w:rsidRPr="0072211F">
        <w:rPr>
          <w:rFonts w:ascii="Arial" w:hAnsi="Arial" w:cs="Arial" w:eastAsiaTheme="minorEastAsia"/>
          <w:b/>
          <w:bCs/>
          <w:kern w:val="14"/>
          <w:sz w:val="20"/>
          <w:szCs w:val="20"/>
        </w:rPr>
        <w:t xml:space="preserve">Entire Agreement; Amendments; Other Guarantees. </w:t>
      </w:r>
      <w:r w:rsidRPr="0072211F">
        <w:rPr>
          <w:rFonts w:ascii="Arial" w:hAnsi="Arial"/>
          <w:sz w:val="20"/>
        </w:rPr>
        <w:t xml:space="preserve">This Guaranty and any agreement, document, or instrument attached to this Guaranty or referred to in this Guaranty integrate all the terms and conditions mentioned in or incidental to this Guaranty and supersede all oral negotiations and prior writings in respect to the subject matter of this Guaranty. In the event of any conflict between the terms and conditions of this Guaranty and any related agreement, document, or instrument, the terms and conditions of this Guaranty will prevail. This Guaranty may only be amended or modified by an instrument in writing signed by each of Guarantor and Beneficiary and any permitted assignees of Beneficiary. Without limiting </w:t>
      </w:r>
      <w:r w:rsidRPr="0072211F">
        <w:rPr>
          <w:rFonts w:ascii="Arial" w:hAnsi="Arial"/>
          <w:sz w:val="20"/>
        </w:rPr>
        <w:lastRenderedPageBreak/>
        <w:t>the preceding in this Section 4.5 (</w:t>
      </w:r>
      <w:r w:rsidRPr="0072211F">
        <w:rPr>
          <w:rFonts w:ascii="Arial" w:hAnsi="Arial"/>
          <w:i/>
          <w:sz w:val="20"/>
        </w:rPr>
        <w:t>Entire Agreement; Amendments; Other Guarantees</w:t>
      </w:r>
      <w:r w:rsidRPr="0072211F">
        <w:rPr>
          <w:rFonts w:ascii="Arial" w:hAnsi="Arial"/>
          <w:sz w:val="20"/>
        </w:rPr>
        <w:t>): (i) this Guaranty will not release, modify, revoke, or terminate any other guaranty existing previously, now, or in the future executed by Guarantor; nor will any other guaranty previously, now, or in the future executed by Guarantor release, modify, revoke, or terminate this Guaranty; and (ii) all of Guarantor’s liabilities and obligations and Beneficiary’s rights and remedies under this Guaranty are in addition to and cumulative with those under any other guaranty executed by Guarantor in favor of Beneficiary or any affiliate of Beneficiary on or about the Effective Date or at any other time.</w:t>
      </w:r>
    </w:p>
    <w:p w:rsidRPr="00EC0667" w:rsidR="005E2F0E" w:rsidP="0072211F" w:rsidRDefault="005E2F0E" w14:paraId="2723F969" w14:textId="0B4A1511">
      <w:pPr>
        <w:tabs>
          <w:tab w:val="left" w:pos="540"/>
        </w:tabs>
        <w:autoSpaceDE w:val="0"/>
        <w:autoSpaceDN w:val="0"/>
        <w:adjustRightInd w:val="0"/>
        <w:spacing w:before="120" w:after="120" w:line="240" w:lineRule="auto"/>
        <w:jc w:val="both"/>
        <w:outlineLvl w:val="1"/>
      </w:pPr>
      <w:r w:rsidRPr="00087BC0">
        <w:rPr>
          <w:rFonts w:ascii="Arial" w:hAnsi="Arial" w:eastAsia="Times New Roman" w:cs="Times New Roman"/>
          <w:bCs/>
        </w:rPr>
        <w:t>4.6</w:t>
      </w:r>
      <w:r w:rsidRPr="00087BC0">
        <w:rPr>
          <w:rFonts w:ascii="Arial" w:hAnsi="Arial" w:eastAsia="Times New Roman" w:cs="Times New Roman"/>
          <w:bCs/>
          <w:i/>
        </w:rPr>
        <w:tab/>
      </w:r>
      <w:r w:rsidRPr="0072211F">
        <w:rPr>
          <w:rFonts w:ascii="Arial" w:hAnsi="Arial" w:cs="Arial" w:eastAsiaTheme="minorEastAsia"/>
          <w:b/>
          <w:bCs/>
          <w:kern w:val="14"/>
          <w:sz w:val="20"/>
          <w:szCs w:val="20"/>
        </w:rPr>
        <w:t xml:space="preserve">Headings. </w:t>
      </w:r>
      <w:r w:rsidRPr="0072211F">
        <w:rPr>
          <w:rFonts w:ascii="Arial" w:hAnsi="Arial"/>
          <w:sz w:val="20"/>
        </w:rPr>
        <w:t>The headings of the various Sections of this Guaranty are for convenience of reference only and will not modify, define, or limit any of the terms or provisions in this Guaranty.</w:t>
      </w:r>
    </w:p>
    <w:p w:rsidRPr="00EC0667" w:rsidR="005E2F0E" w:rsidP="0072211F" w:rsidRDefault="005E2F0E" w14:paraId="2A23F45B" w14:textId="77777777">
      <w:pPr>
        <w:tabs>
          <w:tab w:val="left" w:pos="540"/>
        </w:tabs>
        <w:autoSpaceDE w:val="0"/>
        <w:autoSpaceDN w:val="0"/>
        <w:adjustRightInd w:val="0"/>
        <w:spacing w:before="120" w:after="120" w:line="240" w:lineRule="auto"/>
        <w:jc w:val="both"/>
        <w:outlineLvl w:val="1"/>
        <w:rPr>
          <w:rFonts w:ascii="Arial" w:hAnsi="Arial"/>
        </w:rPr>
      </w:pPr>
      <w:r w:rsidRPr="005E2F0E">
        <w:rPr>
          <w:rFonts w:ascii="Arial" w:hAnsi="Arial" w:eastAsia="Times New Roman" w:cs="Times New Roman"/>
          <w:b/>
          <w:sz w:val="20"/>
          <w:szCs w:val="20"/>
        </w:rPr>
        <w:t>4.7</w:t>
      </w:r>
      <w:r w:rsidRPr="005E2F0E">
        <w:rPr>
          <w:rFonts w:ascii="Arial" w:hAnsi="Arial" w:eastAsia="Times New Roman" w:cs="Times New Roman"/>
          <w:i/>
          <w:sz w:val="20"/>
          <w:szCs w:val="20"/>
        </w:rPr>
        <w:tab/>
      </w:r>
      <w:r w:rsidRPr="0072211F">
        <w:rPr>
          <w:rFonts w:ascii="Arial" w:hAnsi="Arial"/>
          <w:b/>
          <w:sz w:val="20"/>
        </w:rPr>
        <w:t>Governing Law; Consent to Jurisdiction.</w:t>
      </w:r>
      <w:r w:rsidRPr="0072211F">
        <w:rPr>
          <w:rFonts w:ascii="Arial" w:hAnsi="Arial"/>
          <w:sz w:val="20"/>
        </w:rPr>
        <w:t xml:space="preserve"> </w:t>
      </w:r>
    </w:p>
    <w:p w:rsidRPr="00EC0667" w:rsidR="005E2F0E" w:rsidP="0072211F" w:rsidRDefault="005E2F0E" w14:paraId="40621E47" w14:textId="77777777">
      <w:pPr>
        <w:tabs>
          <w:tab w:val="left" w:pos="2250"/>
        </w:tabs>
        <w:autoSpaceDE w:val="0"/>
        <w:autoSpaceDN w:val="0"/>
        <w:adjustRightInd w:val="0"/>
        <w:spacing w:before="120" w:after="120" w:line="240" w:lineRule="auto"/>
        <w:ind w:left="270"/>
        <w:jc w:val="both"/>
        <w:outlineLvl w:val="1"/>
      </w:pPr>
      <w:r w:rsidRPr="005E2F0E">
        <w:rPr>
          <w:rFonts w:ascii="Arial" w:hAnsi="Arial" w:eastAsia="Times New Roman" w:cs="Times New Roman"/>
          <w:b/>
          <w:sz w:val="20"/>
          <w:szCs w:val="20"/>
        </w:rPr>
        <w:t>4.7.1.</w:t>
      </w:r>
      <w:r w:rsidRPr="0072211F">
        <w:rPr>
          <w:rFonts w:ascii="Arial" w:hAnsi="Arial"/>
          <w:b/>
          <w:sz w:val="20"/>
        </w:rPr>
        <w:t xml:space="preserve"> Governing Law. </w:t>
      </w:r>
      <w:r w:rsidRPr="0072211F">
        <w:rPr>
          <w:rFonts w:ascii="Arial" w:hAnsi="Arial"/>
          <w:sz w:val="20"/>
        </w:rPr>
        <w:t>This Guaranty will be construed and interpreted, and the rights of the parties determined, in accordance with the laws of the state of Georgia, without giving effect to principles of conflicts of law that would require the application of the laws of another jurisdiction.</w:t>
      </w:r>
    </w:p>
    <w:p w:rsidRPr="00EC0667" w:rsidR="005E2F0E" w:rsidP="0072211F" w:rsidRDefault="005E2F0E" w14:paraId="0F304DC2" w14:textId="5AB81763">
      <w:pPr>
        <w:tabs>
          <w:tab w:val="left" w:pos="2160"/>
        </w:tabs>
        <w:autoSpaceDE w:val="0"/>
        <w:autoSpaceDN w:val="0"/>
        <w:adjustRightInd w:val="0"/>
        <w:spacing w:before="120" w:after="120" w:line="240" w:lineRule="auto"/>
        <w:ind w:left="270"/>
        <w:jc w:val="both"/>
        <w:outlineLvl w:val="5"/>
      </w:pPr>
      <w:r w:rsidRPr="005E2F0E">
        <w:rPr>
          <w:rFonts w:ascii="Arial" w:hAnsi="Arial" w:eastAsia="Times New Roman" w:cs="Times New Roman"/>
          <w:b/>
          <w:sz w:val="20"/>
          <w:szCs w:val="20"/>
        </w:rPr>
        <w:t>4.7.2.</w:t>
      </w:r>
      <w:r w:rsidRPr="0072211F">
        <w:rPr>
          <w:rFonts w:ascii="Arial" w:hAnsi="Arial"/>
          <w:sz w:val="20"/>
        </w:rPr>
        <w:t xml:space="preserve"> </w:t>
      </w:r>
      <w:r w:rsidRPr="0072211F">
        <w:rPr>
          <w:rFonts w:ascii="Arial" w:hAnsi="Arial"/>
          <w:b/>
          <w:sz w:val="20"/>
        </w:rPr>
        <w:t xml:space="preserve">Consent to Jurisdiction. </w:t>
      </w:r>
      <w:r w:rsidRPr="001E0CC5" w:rsidR="0093533F">
        <w:rPr>
          <w:rFonts w:ascii="Arial" w:hAnsi="Arial"/>
          <w:b/>
          <w:sz w:val="20"/>
          <w:u w:val="single"/>
        </w:rPr>
        <w:t xml:space="preserve">Guarantor irrevocably and unconditionally: (i) agrees that </w:t>
      </w:r>
      <w:r w:rsidRPr="00340C5C" w:rsidR="0093533F">
        <w:rPr>
          <w:rFonts w:ascii="Arial" w:hAnsi="Arial" w:eastAsia="Times New Roman" w:cs="Times New Roman"/>
          <w:b/>
          <w:bCs/>
          <w:sz w:val="20"/>
          <w:szCs w:val="20"/>
          <w:u w:val="single"/>
        </w:rPr>
        <w:t xml:space="preserve">any </w:t>
      </w:r>
      <w:r w:rsidRPr="001E0CC5" w:rsidR="0093533F">
        <w:rPr>
          <w:rFonts w:ascii="Arial" w:hAnsi="Arial"/>
          <w:b/>
          <w:sz w:val="20"/>
          <w:u w:val="single"/>
        </w:rPr>
        <w:t xml:space="preserve">suit, action, or other legal proceeding arising out of this Guaranty </w:t>
      </w:r>
      <w:r w:rsidRPr="00340C5C" w:rsidR="0093533F">
        <w:rPr>
          <w:rFonts w:ascii="Arial" w:hAnsi="Arial" w:eastAsia="Times New Roman" w:cs="Times New Roman"/>
          <w:b/>
          <w:bCs/>
          <w:sz w:val="20"/>
          <w:szCs w:val="20"/>
          <w:u w:val="single"/>
        </w:rPr>
        <w:t>must</w:t>
      </w:r>
      <w:r w:rsidRPr="001E0CC5" w:rsidR="0093533F">
        <w:rPr>
          <w:rFonts w:ascii="Arial" w:hAnsi="Arial"/>
          <w:b/>
          <w:sz w:val="20"/>
          <w:u w:val="single"/>
        </w:rPr>
        <w:t xml:space="preserve"> be brought in </w:t>
      </w:r>
      <w:r w:rsidRPr="00340C5C" w:rsidR="0093533F">
        <w:rPr>
          <w:rFonts w:ascii="Arial" w:hAnsi="Arial" w:eastAsia="Times New Roman" w:cs="Times New Roman"/>
          <w:b/>
          <w:bCs/>
          <w:sz w:val="20"/>
          <w:szCs w:val="20"/>
          <w:u w:val="single"/>
        </w:rPr>
        <w:t>federal or state court located in the state</w:t>
      </w:r>
      <w:r w:rsidRPr="001E0CC5" w:rsidR="0093533F">
        <w:rPr>
          <w:rFonts w:ascii="Arial" w:hAnsi="Arial"/>
          <w:b/>
          <w:sz w:val="20"/>
          <w:u w:val="single"/>
        </w:rPr>
        <w:t xml:space="preserve"> of Georgia; (ii) </w:t>
      </w:r>
      <w:r w:rsidRPr="00340C5C" w:rsidR="0093533F">
        <w:rPr>
          <w:rFonts w:ascii="Arial" w:hAnsi="Arial" w:eastAsia="Times New Roman" w:cs="Times New Roman"/>
          <w:b/>
          <w:bCs/>
          <w:sz w:val="20"/>
          <w:szCs w:val="20"/>
          <w:u w:val="single"/>
        </w:rPr>
        <w:t>submits</w:t>
      </w:r>
      <w:r w:rsidRPr="001E0CC5" w:rsidR="0093533F">
        <w:rPr>
          <w:rFonts w:ascii="Arial" w:hAnsi="Arial"/>
          <w:b/>
          <w:sz w:val="20"/>
          <w:u w:val="single"/>
        </w:rPr>
        <w:t xml:space="preserve"> to the </w:t>
      </w:r>
      <w:r w:rsidRPr="00340C5C" w:rsidR="0093533F">
        <w:rPr>
          <w:rFonts w:ascii="Arial" w:hAnsi="Arial" w:eastAsia="Times New Roman" w:cs="Times New Roman"/>
          <w:b/>
          <w:bCs/>
          <w:sz w:val="20"/>
          <w:szCs w:val="20"/>
          <w:u w:val="single"/>
        </w:rPr>
        <w:t xml:space="preserve">exclusive </w:t>
      </w:r>
      <w:r w:rsidRPr="001E0CC5" w:rsidR="0093533F">
        <w:rPr>
          <w:rFonts w:ascii="Arial" w:hAnsi="Arial"/>
          <w:b/>
          <w:sz w:val="20"/>
          <w:u w:val="single"/>
        </w:rPr>
        <w:t xml:space="preserve">jurisdiction of those courts </w:t>
      </w:r>
      <w:r w:rsidRPr="00340C5C" w:rsidR="0093533F">
        <w:rPr>
          <w:rFonts w:ascii="Arial" w:hAnsi="Arial" w:eastAsia="Times New Roman" w:cs="Times New Roman"/>
          <w:b/>
          <w:bCs/>
          <w:sz w:val="20"/>
          <w:szCs w:val="20"/>
          <w:u w:val="single"/>
        </w:rPr>
        <w:t>for any such suit</w:t>
      </w:r>
      <w:r w:rsidRPr="001E0CC5" w:rsidR="0093533F">
        <w:rPr>
          <w:rFonts w:ascii="Arial" w:hAnsi="Arial"/>
          <w:b/>
          <w:sz w:val="20"/>
          <w:u w:val="single"/>
        </w:rPr>
        <w:t xml:space="preserve">, action, or proceeding; and (iii) waives any objection </w:t>
      </w:r>
      <w:r w:rsidRPr="00340C5C" w:rsidR="0093533F">
        <w:rPr>
          <w:rFonts w:ascii="Arial" w:hAnsi="Arial" w:eastAsia="Times New Roman" w:cs="Times New Roman"/>
          <w:b/>
          <w:bCs/>
          <w:sz w:val="20"/>
          <w:szCs w:val="20"/>
          <w:u w:val="single"/>
        </w:rPr>
        <w:t xml:space="preserve">to venue in those courts and any claim </w:t>
      </w:r>
      <w:r w:rsidRPr="001E0CC5" w:rsidR="0093533F">
        <w:rPr>
          <w:rFonts w:ascii="Arial" w:hAnsi="Arial"/>
          <w:b/>
          <w:sz w:val="20"/>
          <w:u w:val="single"/>
        </w:rPr>
        <w:t xml:space="preserve">that the suit, action, or proceeding </w:t>
      </w:r>
      <w:r w:rsidRPr="00340C5C" w:rsidR="0093533F">
        <w:rPr>
          <w:rFonts w:ascii="Arial" w:hAnsi="Arial" w:eastAsia="Times New Roman" w:cs="Times New Roman"/>
          <w:b/>
          <w:bCs/>
          <w:sz w:val="20"/>
          <w:szCs w:val="20"/>
          <w:u w:val="single"/>
        </w:rPr>
        <w:t>has been brought in an inconvenient forum</w:t>
      </w:r>
      <w:r w:rsidRPr="001E0CC5" w:rsidR="0093533F">
        <w:rPr>
          <w:rFonts w:ascii="Arial" w:hAnsi="Arial"/>
          <w:b/>
          <w:sz w:val="20"/>
        </w:rPr>
        <w:t>.</w:t>
      </w:r>
      <w:r w:rsidR="0093533F">
        <w:rPr>
          <w:rFonts w:ascii="Arial" w:hAnsi="Arial"/>
          <w:b/>
          <w:sz w:val="20"/>
        </w:rPr>
        <w:t xml:space="preserve"> </w:t>
      </w:r>
      <w:r w:rsidRPr="005042CC" w:rsidR="007C4BC5">
        <w:rPr>
          <w:rFonts w:ascii="Arial" w:hAnsi="Arial" w:eastAsia="Times New Roman" w:cs="Arial"/>
          <w:sz w:val="20"/>
          <w:szCs w:val="20"/>
          <w:highlight w:val="yellow"/>
        </w:rPr>
        <w:t>[</w:t>
      </w:r>
      <w:r w:rsidRPr="005042CC" w:rsidR="007C4BC5">
        <w:rPr>
          <w:rFonts w:ascii="Arial" w:hAnsi="Arial" w:eastAsia="Times New Roman" w:cs="Arial"/>
          <w:b/>
          <w:bCs/>
          <w:sz w:val="20"/>
          <w:szCs w:val="20"/>
          <w:highlight w:val="yellow"/>
        </w:rPr>
        <w:t>Applicable Only to Foreign Guarantor:</w:t>
      </w:r>
      <w:r w:rsidRPr="005042CC" w:rsidR="007C4BC5">
        <w:rPr>
          <w:rFonts w:ascii="Arial" w:hAnsi="Arial" w:eastAsia="Times New Roman" w:cs="Arial"/>
          <w:sz w:val="20"/>
          <w:szCs w:val="20"/>
          <w:highlight w:val="yellow"/>
        </w:rPr>
        <w:t xml:space="preserve"> Guarantor and Beneficiary further agree that a final judgment in any action or proceeding arising out of or relating to this Guaranty will be conclusive and may be enforced in any other jurisdiction within or outside the Untied States by suit on the judgment, a certified or exemplified copy of which will be conclusive evidence of the fact and the amount of indebtedness or liability therein described, or in any other manner provided by applicable law.]</w:t>
      </w:r>
    </w:p>
    <w:p w:rsidRPr="00EC0667" w:rsidR="005E2F0E" w:rsidP="0072211F" w:rsidRDefault="005E2F0E" w14:paraId="4B23B549" w14:textId="77777777">
      <w:pPr>
        <w:tabs>
          <w:tab w:val="left" w:pos="2160"/>
        </w:tabs>
        <w:autoSpaceDE w:val="0"/>
        <w:autoSpaceDN w:val="0"/>
        <w:adjustRightInd w:val="0"/>
        <w:spacing w:before="120" w:after="120" w:line="240" w:lineRule="auto"/>
        <w:ind w:left="270"/>
        <w:jc w:val="both"/>
        <w:outlineLvl w:val="5"/>
      </w:pPr>
      <w:r w:rsidRPr="005E2F0E">
        <w:rPr>
          <w:rFonts w:ascii="Arial" w:hAnsi="Arial" w:eastAsia="Times New Roman" w:cs="Times New Roman"/>
          <w:b/>
          <w:sz w:val="20"/>
          <w:szCs w:val="20"/>
        </w:rPr>
        <w:t>4.7.3.</w:t>
      </w:r>
      <w:r w:rsidRPr="0072211F">
        <w:rPr>
          <w:rFonts w:ascii="Arial" w:hAnsi="Arial"/>
          <w:b/>
          <w:sz w:val="20"/>
        </w:rPr>
        <w:t xml:space="preserve"> </w:t>
      </w:r>
      <w:r w:rsidRPr="0072211F">
        <w:rPr>
          <w:rFonts w:ascii="Arial" w:hAnsi="Arial"/>
          <w:b/>
          <w:sz w:val="20"/>
          <w:highlight w:val="yellow"/>
        </w:rPr>
        <w:t>[Applicable Only to Foreign Guarantor: Guarantor’s Process Agent.</w:t>
      </w:r>
      <w:r w:rsidRPr="0072211F">
        <w:rPr>
          <w:rFonts w:ascii="Arial" w:hAnsi="Arial"/>
          <w:sz w:val="20"/>
          <w:highlight w:val="yellow"/>
        </w:rPr>
        <w:t xml:space="preserve"> Guarantor irrevocably designates, appoints and empowers [_________________________________________ Georgia, ____ United States of America] as its authorized agent to receive on its behalf and on behalf of its property service of copies of the summons and complaint and any other process which may be served in any action or proceeding between Beneficiary and Guarantor arising out of or relating to this Guaranty. The service may be made by mailing or delivering a copy of the process in care of the process agent, and Guarantor irrevocably authorizes and directs its designated process agent to accept the service on its behalf. Guarantor further agrees that failure by a process agent appointed in accordance with this section to notify Guarantor of the process will not invalidate the process or service or the proceeding concerned. Despite the preceding sentences, nothing in this Guaranty will affect the rights of either party to serve process in any other manner permitted by applicable law. Guarantor will maintain the process agent, or any other Person located within the State of Georgia as may be acceptable to Beneficiary, as its agent for service of process in the State of Georgia during the duration of this Guaranty and twelve months after, at Guarantor’s sole cost and expense. If for any reason, the appointed process agent is no longer acting as process agent, Guarantor must promptly (and in any event within seven Days) appoint a replacement agent in the State of Georgia as its authorized agent to receive on its behalf and on behalf of its property, service of copies of the summons and complaint and any other process which may be served in any action or proceeding between Beneficiary and Guarantor arising out of or relating to this Guaranty. If Guarantor fails to appoint a replacement process agent as provided in this Section 4.7.3, Beneficiary may appoint the replacement process agent on behalf of Guarantor, at Guarantor’s sole cost and expense.]</w:t>
      </w:r>
    </w:p>
    <w:p w:rsidRPr="00EC0667" w:rsidR="005E2F0E" w:rsidP="0072211F" w:rsidRDefault="005E2F0E" w14:paraId="33EE98FF" w14:textId="77777777">
      <w:pPr>
        <w:tabs>
          <w:tab w:val="left" w:pos="2160"/>
        </w:tabs>
        <w:autoSpaceDE w:val="0"/>
        <w:autoSpaceDN w:val="0"/>
        <w:adjustRightInd w:val="0"/>
        <w:spacing w:after="0" w:line="240" w:lineRule="auto"/>
        <w:ind w:left="274"/>
        <w:jc w:val="both"/>
        <w:outlineLvl w:val="5"/>
      </w:pPr>
      <w:r w:rsidRPr="005E2F0E">
        <w:rPr>
          <w:rFonts w:ascii="Arial" w:hAnsi="Arial" w:eastAsia="Times New Roman" w:cs="Times New Roman"/>
          <w:b/>
          <w:bCs/>
          <w:sz w:val="20"/>
          <w:szCs w:val="20"/>
        </w:rPr>
        <w:t>4.7.4</w:t>
      </w:r>
      <w:r w:rsidRPr="0072211F">
        <w:rPr>
          <w:rFonts w:ascii="Arial" w:hAnsi="Arial"/>
          <w:b/>
          <w:sz w:val="20"/>
        </w:rPr>
        <w:t xml:space="preserve"> </w:t>
      </w:r>
      <w:r w:rsidRPr="0072211F">
        <w:rPr>
          <w:rFonts w:ascii="Arial" w:hAnsi="Arial"/>
          <w:b/>
          <w:sz w:val="20"/>
          <w:highlight w:val="yellow"/>
        </w:rPr>
        <w:t>[Applicable Only to Foreign Guarantor: Payment in U.S. Dollars; Judgement Currency.</w:t>
      </w:r>
      <w:r w:rsidRPr="0072211F">
        <w:rPr>
          <w:rFonts w:ascii="Arial" w:hAnsi="Arial"/>
          <w:sz w:val="20"/>
          <w:highlight w:val="yellow"/>
        </w:rPr>
        <w:t xml:space="preserve"> This Guaranty is made by the Guarantor regarding a transaction in which the specification of payment in United States Dollars (“</w:t>
      </w:r>
      <w:r w:rsidRPr="0072211F">
        <w:rPr>
          <w:rFonts w:ascii="Arial" w:hAnsi="Arial"/>
          <w:b/>
          <w:sz w:val="20"/>
          <w:highlight w:val="yellow"/>
        </w:rPr>
        <w:t>Dollars</w:t>
      </w:r>
      <w:r w:rsidRPr="0072211F">
        <w:rPr>
          <w:rFonts w:ascii="Arial" w:hAnsi="Arial"/>
          <w:sz w:val="20"/>
          <w:highlight w:val="yellow"/>
        </w:rPr>
        <w:t xml:space="preserve">”) and payment at the designated place of payment is of the essence, and Dollars will be the currency of accounting in all events. The payment obligations of the Guarantor under this Guaranty will not be discharged by any amount paid in another currency or in another place, whether in accordance with a judgment or otherwise, to the extent that any amount paid on conversion </w:t>
      </w:r>
      <w:r w:rsidRPr="0072211F">
        <w:rPr>
          <w:rFonts w:ascii="Arial" w:hAnsi="Arial"/>
          <w:sz w:val="20"/>
          <w:highlight w:val="yellow"/>
        </w:rPr>
        <w:lastRenderedPageBreak/>
        <w:t>to Dollars and transferred to the designated place of payment under normal banking procedures does not yield the amount of Dollars due under this Guaranty.]</w:t>
      </w:r>
    </w:p>
    <w:p w:rsidRPr="00EC0667" w:rsidR="005E2F0E" w:rsidP="0072211F" w:rsidRDefault="005E2F0E" w14:paraId="6370428E" w14:textId="77777777">
      <w:pPr>
        <w:tabs>
          <w:tab w:val="left" w:pos="2160"/>
        </w:tabs>
        <w:autoSpaceDE w:val="0"/>
        <w:autoSpaceDN w:val="0"/>
        <w:adjustRightInd w:val="0"/>
        <w:spacing w:before="120" w:after="0" w:line="240" w:lineRule="auto"/>
        <w:ind w:left="274"/>
        <w:jc w:val="both"/>
        <w:outlineLvl w:val="5"/>
        <w:rPr>
          <w:highlight w:val="yellow"/>
        </w:rPr>
      </w:pPr>
      <w:r w:rsidRPr="005E2F0E">
        <w:rPr>
          <w:rFonts w:ascii="Arial" w:hAnsi="Arial" w:eastAsia="Times New Roman" w:cs="Times New Roman"/>
          <w:b/>
          <w:bCs/>
          <w:sz w:val="20"/>
          <w:szCs w:val="20"/>
        </w:rPr>
        <w:t>4.7.5</w:t>
      </w:r>
      <w:r w:rsidRPr="0072211F">
        <w:rPr>
          <w:rFonts w:ascii="Arial" w:hAnsi="Arial"/>
          <w:b/>
          <w:sz w:val="20"/>
        </w:rPr>
        <w:t xml:space="preserve"> </w:t>
      </w:r>
      <w:r w:rsidRPr="0072211F">
        <w:rPr>
          <w:rFonts w:ascii="Arial" w:hAnsi="Arial"/>
          <w:b/>
          <w:sz w:val="20"/>
          <w:highlight w:val="yellow"/>
        </w:rPr>
        <w:t>[Applicable Only to Foreign Guarantor:</w:t>
      </w:r>
      <w:r w:rsidRPr="0072211F">
        <w:rPr>
          <w:rFonts w:ascii="Arial" w:hAnsi="Arial"/>
          <w:sz w:val="20"/>
          <w:highlight w:val="yellow"/>
        </w:rPr>
        <w:t xml:space="preserve"> </w:t>
      </w:r>
      <w:r w:rsidRPr="0072211F">
        <w:rPr>
          <w:rFonts w:ascii="Arial" w:hAnsi="Arial"/>
          <w:b/>
          <w:sz w:val="20"/>
          <w:highlight w:val="yellow"/>
        </w:rPr>
        <w:t>Withholding Taxes.</w:t>
      </w:r>
      <w:r w:rsidRPr="0072211F">
        <w:rPr>
          <w:rFonts w:ascii="Arial" w:hAnsi="Arial"/>
          <w:sz w:val="20"/>
          <w:highlight w:val="yellow"/>
        </w:rPr>
        <w:t xml:space="preserve"> </w:t>
      </w:r>
    </w:p>
    <w:p w:rsidRPr="00EC0667" w:rsidR="005E2F0E" w:rsidP="0072211F" w:rsidRDefault="005E2F0E" w14:paraId="64B62C35" w14:textId="77777777">
      <w:pPr>
        <w:autoSpaceDE w:val="0"/>
        <w:autoSpaceDN w:val="0"/>
        <w:adjustRightInd w:val="0"/>
        <w:spacing w:before="120" w:after="0" w:line="240" w:lineRule="auto"/>
        <w:ind w:left="1170" w:hanging="364"/>
        <w:jc w:val="both"/>
        <w:outlineLvl w:val="5"/>
        <w:rPr>
          <w:rFonts w:cs="Arial"/>
          <w:highlight w:val="yellow"/>
        </w:rPr>
      </w:pPr>
      <w:r w:rsidRPr="005E2F0E">
        <w:rPr>
          <w:rFonts w:ascii="Arial" w:hAnsi="Arial" w:eastAsia="Times New Roman" w:cs="Times New Roman"/>
          <w:b/>
          <w:bCs/>
          <w:sz w:val="20"/>
          <w:szCs w:val="20"/>
          <w:highlight w:val="yellow"/>
        </w:rPr>
        <w:t>a.</w:t>
      </w:r>
      <w:r w:rsidRPr="005E2F0E">
        <w:rPr>
          <w:rFonts w:ascii="Arial" w:hAnsi="Arial" w:eastAsia="Times New Roman" w:cs="Times New Roman"/>
          <w:sz w:val="20"/>
          <w:szCs w:val="20"/>
          <w:highlight w:val="yellow"/>
        </w:rPr>
        <w:t xml:space="preserve"> </w:t>
      </w:r>
      <w:r w:rsidRPr="005E2F0E">
        <w:rPr>
          <w:rFonts w:ascii="Arial" w:hAnsi="Arial" w:eastAsia="Times New Roman" w:cs="Times New Roman"/>
          <w:sz w:val="20"/>
          <w:szCs w:val="20"/>
          <w:highlight w:val="yellow"/>
        </w:rPr>
        <w:tab/>
      </w:r>
      <w:r w:rsidRPr="0072211F">
        <w:rPr>
          <w:rFonts w:ascii="Arial" w:hAnsi="Arial"/>
          <w:sz w:val="20"/>
          <w:highlight w:val="yellow"/>
        </w:rPr>
        <w:t>Each payment by Guarantor to Beneficiary in accordance with this Guaranty must be made free and clear of, and without deduction or withholding for or on Beneficiary of, any present or future taxes, duties, assessments, fees, deductions, withholding, levies, imposts, or charges of whatsoever nature (other than taxes imposed on income or gross revenue), together with any liabilities (including penalties, interest and expenses) in regarding the preceding imposed or levied by or on behalf of the government of any jurisdiction(s) in which the Guarantor is organized, headquartered, or conducting business, or any political subdivision of the government or any authority or agency of the government having the power to tax (“</w:t>
      </w:r>
      <w:r w:rsidRPr="0072211F">
        <w:rPr>
          <w:rFonts w:ascii="Arial" w:hAnsi="Arial"/>
          <w:b/>
          <w:sz w:val="20"/>
          <w:highlight w:val="yellow"/>
        </w:rPr>
        <w:t>Withholding Taxes</w:t>
      </w:r>
      <w:r w:rsidRPr="0072211F">
        <w:rPr>
          <w:rFonts w:ascii="Arial" w:hAnsi="Arial"/>
          <w:sz w:val="20"/>
          <w:highlight w:val="yellow"/>
        </w:rPr>
        <w:t>”), unless the deduction or withholding is required by the laws of any jurisdiction(s) in which the Guarantor is organized, headquartered, or conducting business, or any province or political subdivision of the jurisdiction(s) or by the administrative practice of any taxing authority. If any such deduction or withholding is required, or if no such deduction or withholding is required but Withholding Taxes are otherwise payable concerning the payment, Guarantor must:</w:t>
      </w:r>
    </w:p>
    <w:p w:rsidRPr="00EC0667" w:rsidR="005E2F0E" w:rsidP="0072211F" w:rsidRDefault="005E2F0E" w14:paraId="3BCAD94D" w14:textId="77777777">
      <w:pPr>
        <w:autoSpaceDE w:val="0"/>
        <w:autoSpaceDN w:val="0"/>
        <w:adjustRightInd w:val="0"/>
        <w:spacing w:before="120" w:after="0" w:line="240" w:lineRule="auto"/>
        <w:ind w:left="1440" w:hanging="274"/>
        <w:jc w:val="both"/>
        <w:outlineLvl w:val="5"/>
        <w:rPr>
          <w:rFonts w:cs="Arial"/>
          <w:highlight w:val="yellow"/>
        </w:rPr>
      </w:pPr>
      <w:r w:rsidRPr="005E2F0E">
        <w:rPr>
          <w:rFonts w:ascii="Arial" w:hAnsi="Arial" w:eastAsia="Times New Roman" w:cs="Times New Roman"/>
          <w:sz w:val="20"/>
          <w:szCs w:val="20"/>
          <w:highlight w:val="yellow"/>
        </w:rPr>
        <w:t xml:space="preserve">i.  </w:t>
      </w:r>
      <w:r w:rsidRPr="0072211F">
        <w:rPr>
          <w:rFonts w:ascii="Arial" w:hAnsi="Arial"/>
          <w:sz w:val="20"/>
          <w:highlight w:val="yellow"/>
        </w:rPr>
        <w:t>Pay any additional amount to Beneficiary as may be necessary to ensure that Beneficiary receives and retains a net sum after such deduction, withholding, or payment of Withholding Taxes (including any deduction, withholding, or payment of Withholding Taxes regarding the additional amount), free from any liability regrading the Withholding Taxes, equal to the sum that Beneficiary would have received and retained had no such deduction or withholding of Withholding Taxes been made or required to be made and had no such Withholding Taxes been payable;</w:t>
      </w:r>
    </w:p>
    <w:p w:rsidRPr="00EC0667" w:rsidR="005E2F0E" w:rsidP="0072211F" w:rsidRDefault="005E2F0E" w14:paraId="6FFF35F6" w14:textId="77777777">
      <w:pPr>
        <w:autoSpaceDE w:val="0"/>
        <w:autoSpaceDN w:val="0"/>
        <w:adjustRightInd w:val="0"/>
        <w:spacing w:before="120" w:after="0" w:line="240" w:lineRule="auto"/>
        <w:ind w:left="1440" w:hanging="274"/>
        <w:jc w:val="both"/>
        <w:outlineLvl w:val="5"/>
        <w:rPr>
          <w:rFonts w:cs="Arial"/>
          <w:highlight w:val="yellow"/>
        </w:rPr>
      </w:pPr>
      <w:r w:rsidRPr="005E2F0E">
        <w:rPr>
          <w:rFonts w:ascii="Arial" w:hAnsi="Arial" w:eastAsia="Times New Roman" w:cs="Times New Roman"/>
          <w:sz w:val="20"/>
          <w:szCs w:val="20"/>
          <w:highlight w:val="yellow"/>
        </w:rPr>
        <w:t>ii.</w:t>
      </w:r>
      <w:r w:rsidRPr="005E2F0E">
        <w:rPr>
          <w:rFonts w:ascii="Arial" w:hAnsi="Arial" w:eastAsia="Times New Roman" w:cs="Times New Roman"/>
          <w:sz w:val="20"/>
          <w:szCs w:val="20"/>
          <w:highlight w:val="yellow"/>
        </w:rPr>
        <w:tab/>
      </w:r>
      <w:r w:rsidRPr="0072211F">
        <w:rPr>
          <w:rFonts w:ascii="Arial" w:hAnsi="Arial"/>
          <w:sz w:val="20"/>
          <w:highlight w:val="yellow"/>
        </w:rPr>
        <w:t>Deduct the Withholding Taxes from the payment:</w:t>
      </w:r>
    </w:p>
    <w:p w:rsidRPr="00EC0667" w:rsidR="005E2F0E" w:rsidP="0072211F" w:rsidRDefault="005E2F0E" w14:paraId="2CC61A26" w14:textId="77777777">
      <w:pPr>
        <w:autoSpaceDE w:val="0"/>
        <w:autoSpaceDN w:val="0"/>
        <w:adjustRightInd w:val="0"/>
        <w:spacing w:before="120" w:after="0" w:line="240" w:lineRule="auto"/>
        <w:ind w:left="1440" w:hanging="274"/>
        <w:jc w:val="both"/>
        <w:outlineLvl w:val="5"/>
        <w:rPr>
          <w:rFonts w:cs="Arial"/>
          <w:highlight w:val="yellow"/>
        </w:rPr>
      </w:pPr>
      <w:r w:rsidRPr="005E2F0E">
        <w:rPr>
          <w:rFonts w:ascii="Arial" w:hAnsi="Arial" w:eastAsia="Times New Roman" w:cs="Times New Roman"/>
          <w:sz w:val="20"/>
          <w:szCs w:val="20"/>
          <w:highlight w:val="yellow"/>
        </w:rPr>
        <w:t>iii.</w:t>
      </w:r>
      <w:r w:rsidRPr="005E2F0E">
        <w:rPr>
          <w:rFonts w:ascii="Arial" w:hAnsi="Arial" w:eastAsia="Times New Roman" w:cs="Times New Roman"/>
          <w:sz w:val="20"/>
          <w:szCs w:val="20"/>
          <w:highlight w:val="yellow"/>
        </w:rPr>
        <w:tab/>
      </w:r>
      <w:r w:rsidRPr="0072211F">
        <w:rPr>
          <w:rFonts w:ascii="Arial" w:hAnsi="Arial"/>
          <w:sz w:val="20"/>
          <w:highlight w:val="yellow"/>
        </w:rPr>
        <w:t>Pay the full amount deducted to the relevant authority on account of the Withholding Taxes within the time provided under, and otherwise in accordance with applicable law or any jurisdiction; and</w:t>
      </w:r>
    </w:p>
    <w:p w:rsidRPr="00EC0667" w:rsidR="005E2F0E" w:rsidP="0072211F" w:rsidRDefault="005E2F0E" w14:paraId="46E60057" w14:textId="77777777">
      <w:pPr>
        <w:autoSpaceDE w:val="0"/>
        <w:autoSpaceDN w:val="0"/>
        <w:adjustRightInd w:val="0"/>
        <w:spacing w:before="120" w:after="0" w:line="240" w:lineRule="auto"/>
        <w:ind w:left="1440" w:hanging="274"/>
        <w:jc w:val="both"/>
        <w:outlineLvl w:val="5"/>
        <w:rPr>
          <w:rFonts w:cs="Arial"/>
          <w:highlight w:val="yellow"/>
        </w:rPr>
      </w:pPr>
      <w:r w:rsidRPr="005E2F0E">
        <w:rPr>
          <w:rFonts w:ascii="Arial" w:hAnsi="Arial" w:eastAsia="Times New Roman" w:cs="Times New Roman"/>
          <w:sz w:val="20"/>
          <w:szCs w:val="20"/>
          <w:highlight w:val="yellow"/>
        </w:rPr>
        <w:t>iv.</w:t>
      </w:r>
      <w:r w:rsidRPr="005E2F0E">
        <w:rPr>
          <w:rFonts w:ascii="Arial" w:hAnsi="Arial" w:eastAsia="Times New Roman" w:cs="Times New Roman"/>
          <w:sz w:val="20"/>
          <w:szCs w:val="20"/>
          <w:highlight w:val="yellow"/>
        </w:rPr>
        <w:tab/>
      </w:r>
      <w:r w:rsidRPr="0072211F">
        <w:rPr>
          <w:rFonts w:ascii="Arial" w:hAnsi="Arial"/>
          <w:sz w:val="20"/>
          <w:highlight w:val="yellow"/>
        </w:rPr>
        <w:t>Promptly after the date the Withholding Taxes are due under the applicable law of any jurisdiction, deliver to Beneficiary the forms prescribed by the relevant authority of the Withholding Taxes.</w:t>
      </w:r>
    </w:p>
    <w:p w:rsidRPr="00EC0667" w:rsidR="005E2F0E" w:rsidP="0072211F" w:rsidRDefault="005E2F0E" w14:paraId="00A7EFF6" w14:textId="77777777">
      <w:pPr>
        <w:autoSpaceDE w:val="0"/>
        <w:autoSpaceDN w:val="0"/>
        <w:adjustRightInd w:val="0"/>
        <w:spacing w:before="120" w:after="0" w:line="240" w:lineRule="auto"/>
        <w:ind w:left="1170" w:hanging="274"/>
        <w:jc w:val="both"/>
        <w:outlineLvl w:val="5"/>
        <w:rPr>
          <w:rFonts w:cs="Arial"/>
          <w:highlight w:val="yellow"/>
        </w:rPr>
      </w:pPr>
      <w:r w:rsidRPr="005E2F0E">
        <w:rPr>
          <w:rFonts w:ascii="Arial" w:hAnsi="Arial" w:eastAsia="Times New Roman" w:cs="Times New Roman"/>
          <w:sz w:val="20"/>
          <w:szCs w:val="20"/>
          <w:highlight w:val="yellow"/>
        </w:rPr>
        <w:t>b.</w:t>
      </w:r>
      <w:r w:rsidRPr="005E2F0E">
        <w:rPr>
          <w:rFonts w:ascii="Arial" w:hAnsi="Arial" w:eastAsia="Times New Roman" w:cs="Times New Roman"/>
          <w:sz w:val="20"/>
          <w:szCs w:val="20"/>
          <w:highlight w:val="yellow"/>
        </w:rPr>
        <w:tab/>
      </w:r>
      <w:r w:rsidRPr="0072211F">
        <w:rPr>
          <w:rFonts w:ascii="Arial" w:hAnsi="Arial"/>
          <w:sz w:val="20"/>
          <w:highlight w:val="yellow"/>
        </w:rPr>
        <w:t>Without duplication of Section 4.7.5.a above, Guarantor agrees to indemnify and hold harmless Beneficiary for any Withholding Taxes that may become payable by Beneficiary concerning any payment made by Guarantor under this Guaranty. Without limiting the generality of the preceding sentence, if:</w:t>
      </w:r>
    </w:p>
    <w:p w:rsidRPr="00EC0667" w:rsidR="005E2F0E" w:rsidP="0072211F" w:rsidRDefault="005E2F0E" w14:paraId="45AD687D" w14:textId="77777777">
      <w:pPr>
        <w:autoSpaceDE w:val="0"/>
        <w:autoSpaceDN w:val="0"/>
        <w:adjustRightInd w:val="0"/>
        <w:spacing w:before="120" w:after="0" w:line="240" w:lineRule="auto"/>
        <w:ind w:left="1440" w:hanging="274"/>
        <w:jc w:val="both"/>
        <w:outlineLvl w:val="5"/>
        <w:rPr>
          <w:rFonts w:cs="Arial"/>
          <w:highlight w:val="yellow"/>
        </w:rPr>
      </w:pPr>
      <w:r w:rsidRPr="005E2F0E">
        <w:rPr>
          <w:rFonts w:ascii="Arial" w:hAnsi="Arial" w:eastAsia="Times New Roman" w:cs="Times New Roman"/>
          <w:sz w:val="20"/>
          <w:szCs w:val="20"/>
          <w:highlight w:val="yellow"/>
        </w:rPr>
        <w:t>i.</w:t>
      </w:r>
      <w:r w:rsidRPr="005E2F0E">
        <w:rPr>
          <w:rFonts w:ascii="Arial" w:hAnsi="Arial" w:eastAsia="Times New Roman" w:cs="Times New Roman"/>
          <w:sz w:val="20"/>
          <w:szCs w:val="20"/>
          <w:highlight w:val="yellow"/>
        </w:rPr>
        <w:tab/>
      </w:r>
      <w:r w:rsidRPr="0072211F">
        <w:rPr>
          <w:rFonts w:ascii="Arial" w:hAnsi="Arial"/>
          <w:sz w:val="20"/>
          <w:highlight w:val="yellow"/>
        </w:rPr>
        <w:t>Guarantor or Beneficiary is assessed or reassessed by any applicable taxing authority for any Withholding Taxes regarding any payment made by the Guarantor under this Guaranty, Guarantor must pay the Withholding Taxes together with interest or penalties on the Withholding Taxes to the taxing authority on behalf of Beneficiary and without recourse against Beneficiary within 30 Days of demand by Beneficiary; or</w:t>
      </w:r>
    </w:p>
    <w:p w:rsidRPr="00EC0667" w:rsidR="005E2F0E" w:rsidP="0072211F" w:rsidRDefault="005E2F0E" w14:paraId="288E5F20" w14:textId="671FF5C6">
      <w:pPr>
        <w:autoSpaceDE w:val="0"/>
        <w:autoSpaceDN w:val="0"/>
        <w:adjustRightInd w:val="0"/>
        <w:spacing w:before="120" w:after="0" w:line="240" w:lineRule="auto"/>
        <w:ind w:left="1440" w:hanging="274"/>
        <w:jc w:val="both"/>
        <w:outlineLvl w:val="5"/>
        <w:rPr>
          <w:rFonts w:cs="Arial"/>
          <w:highlight w:val="yellow"/>
        </w:rPr>
      </w:pPr>
      <w:r w:rsidRPr="005E2F0E">
        <w:rPr>
          <w:rFonts w:ascii="Arial" w:hAnsi="Arial" w:eastAsia="Times New Roman" w:cs="Times New Roman"/>
          <w:sz w:val="20"/>
          <w:szCs w:val="20"/>
          <w:highlight w:val="yellow"/>
        </w:rPr>
        <w:t>ii.</w:t>
      </w:r>
      <w:r w:rsidRPr="005E2F0E">
        <w:rPr>
          <w:rFonts w:ascii="Arial" w:hAnsi="Arial" w:eastAsia="Times New Roman" w:cs="Times New Roman"/>
          <w:sz w:val="20"/>
          <w:szCs w:val="20"/>
          <w:highlight w:val="yellow"/>
        </w:rPr>
        <w:tab/>
      </w:r>
      <w:r w:rsidRPr="0072211F">
        <w:rPr>
          <w:rFonts w:ascii="Arial" w:hAnsi="Arial"/>
          <w:sz w:val="20"/>
          <w:highlight w:val="yellow"/>
        </w:rPr>
        <w:t>Beneficiary pays any Withholding Taxes regarding any payment made by Guarantor under this Guaranty, Guarantor agrees to indemnify Beneficiary upon receipt of the notice called or in Section 4.7.5.</w:t>
      </w:r>
      <w:r w:rsidRPr="005E2F0E">
        <w:rPr>
          <w:rFonts w:ascii="Arial" w:hAnsi="Arial" w:eastAsia="Times New Roman" w:cs="Times New Roman"/>
          <w:sz w:val="20"/>
          <w:szCs w:val="20"/>
          <w:highlight w:val="yellow"/>
        </w:rPr>
        <w:t>d</w:t>
      </w:r>
      <w:r w:rsidRPr="0072211F">
        <w:rPr>
          <w:rFonts w:ascii="Arial" w:hAnsi="Arial"/>
          <w:sz w:val="20"/>
          <w:highlight w:val="yellow"/>
        </w:rPr>
        <w:t>. below.</w:t>
      </w:r>
    </w:p>
    <w:p w:rsidRPr="00EC0667" w:rsidR="005E2F0E" w:rsidP="0072211F" w:rsidRDefault="005E2F0E" w14:paraId="78E41A26" w14:textId="27EADBDB">
      <w:pPr>
        <w:autoSpaceDE w:val="0"/>
        <w:autoSpaceDN w:val="0"/>
        <w:adjustRightInd w:val="0"/>
        <w:spacing w:before="120" w:after="0" w:line="240" w:lineRule="auto"/>
        <w:ind w:left="1170" w:hanging="274"/>
        <w:jc w:val="both"/>
        <w:outlineLvl w:val="5"/>
        <w:rPr>
          <w:rFonts w:cs="Arial"/>
          <w:highlight w:val="yellow"/>
        </w:rPr>
      </w:pPr>
      <w:r w:rsidRPr="005E2F0E">
        <w:rPr>
          <w:rFonts w:ascii="Arial" w:hAnsi="Arial" w:eastAsia="Times New Roman" w:cs="Times New Roman"/>
          <w:sz w:val="20"/>
          <w:szCs w:val="20"/>
          <w:highlight w:val="yellow"/>
        </w:rPr>
        <w:t>c.</w:t>
      </w:r>
      <w:r w:rsidRPr="005E2F0E">
        <w:rPr>
          <w:rFonts w:ascii="Arial" w:hAnsi="Arial" w:eastAsia="Times New Roman" w:cs="Times New Roman"/>
          <w:sz w:val="20"/>
          <w:szCs w:val="20"/>
          <w:highlight w:val="yellow"/>
        </w:rPr>
        <w:tab/>
      </w:r>
      <w:r w:rsidRPr="0072211F">
        <w:rPr>
          <w:rFonts w:ascii="Arial" w:hAnsi="Arial"/>
          <w:sz w:val="20"/>
          <w:highlight w:val="yellow"/>
        </w:rPr>
        <w:t>Without duplication of Section 4.7.5.</w:t>
      </w:r>
      <w:r w:rsidRPr="005E2F0E">
        <w:rPr>
          <w:rFonts w:ascii="Arial" w:hAnsi="Arial" w:eastAsia="Times New Roman" w:cs="Times New Roman"/>
          <w:sz w:val="20"/>
          <w:szCs w:val="20"/>
          <w:highlight w:val="yellow"/>
        </w:rPr>
        <w:t>a</w:t>
      </w:r>
      <w:r w:rsidRPr="0072211F">
        <w:rPr>
          <w:rFonts w:ascii="Arial" w:hAnsi="Arial"/>
          <w:sz w:val="20"/>
          <w:highlight w:val="yellow"/>
        </w:rPr>
        <w:t xml:space="preserve">. or </w:t>
      </w:r>
      <w:r w:rsidRPr="005E2F0E">
        <w:rPr>
          <w:rFonts w:ascii="Arial" w:hAnsi="Arial" w:eastAsia="Times New Roman" w:cs="Times New Roman"/>
          <w:sz w:val="20"/>
          <w:szCs w:val="20"/>
          <w:highlight w:val="yellow"/>
        </w:rPr>
        <w:t>b</w:t>
      </w:r>
      <w:r w:rsidRPr="0072211F">
        <w:rPr>
          <w:rFonts w:ascii="Arial" w:hAnsi="Arial"/>
          <w:sz w:val="20"/>
          <w:highlight w:val="yellow"/>
        </w:rPr>
        <w:t>. above, Guarantor agrees to indemnify and hold harmless Beneficiary for any additional taxes on net income that Beneficiary may be obligated to pay because of the receipt by it or payment by Guarantor of any amount under this Section 4.7.5.</w:t>
      </w:r>
    </w:p>
    <w:p w:rsidRPr="00EC0667" w:rsidR="005E2F0E" w:rsidP="0072211F" w:rsidRDefault="005E2F0E" w14:paraId="61CC279A" w14:textId="77777777">
      <w:pPr>
        <w:autoSpaceDE w:val="0"/>
        <w:autoSpaceDN w:val="0"/>
        <w:adjustRightInd w:val="0"/>
        <w:spacing w:before="120" w:after="0" w:line="240" w:lineRule="auto"/>
        <w:ind w:left="1170" w:hanging="274"/>
        <w:jc w:val="both"/>
        <w:outlineLvl w:val="5"/>
        <w:rPr>
          <w:rFonts w:cs="Arial"/>
          <w:highlight w:val="yellow"/>
        </w:rPr>
      </w:pPr>
      <w:r w:rsidRPr="005E2F0E">
        <w:rPr>
          <w:rFonts w:ascii="Arial" w:hAnsi="Arial" w:eastAsia="Times New Roman" w:cs="Times New Roman"/>
          <w:sz w:val="20"/>
          <w:szCs w:val="20"/>
          <w:highlight w:val="yellow"/>
        </w:rPr>
        <w:t>d.</w:t>
      </w:r>
      <w:r w:rsidRPr="005E2F0E">
        <w:rPr>
          <w:rFonts w:ascii="Arial" w:hAnsi="Arial" w:eastAsia="Times New Roman" w:cs="Times New Roman"/>
          <w:sz w:val="20"/>
          <w:szCs w:val="20"/>
          <w:highlight w:val="yellow"/>
        </w:rPr>
        <w:tab/>
      </w:r>
      <w:r w:rsidRPr="0072211F">
        <w:rPr>
          <w:rFonts w:ascii="Arial" w:hAnsi="Arial"/>
          <w:sz w:val="20"/>
          <w:highlight w:val="yellow"/>
        </w:rPr>
        <w:t xml:space="preserve">Beneficiary will promptly notify Guarantor of any Withholding Taxes that Beneficiary has paid or received an assessment or reassessment from any applicable taxing authority and for </w:t>
      </w:r>
      <w:r w:rsidRPr="0072211F">
        <w:rPr>
          <w:rFonts w:ascii="Arial" w:hAnsi="Arial"/>
          <w:sz w:val="20"/>
          <w:highlight w:val="yellow"/>
        </w:rPr>
        <w:lastRenderedPageBreak/>
        <w:t>which the Guarantor is required to indemnify it in accordance with this Section 4.7.5 and of the amount payable to it by Guarantor this Section 4.7.5, and Guarantor will indemnify Beneficiary within 60 Days of receipt of such notice. Beneficiary will reasonably determine the amount payable to it, will contest in good faith any taxes that Beneficiary believes in good faith are not assessable, and the determination will, absent manifest error, be final and binding on Guarantor.</w:t>
      </w:r>
    </w:p>
    <w:p w:rsidRPr="00EC0667" w:rsidR="005E2F0E" w:rsidP="0072211F" w:rsidRDefault="005E2F0E" w14:paraId="70182C43" w14:textId="77777777">
      <w:pPr>
        <w:autoSpaceDE w:val="0"/>
        <w:autoSpaceDN w:val="0"/>
        <w:adjustRightInd w:val="0"/>
        <w:spacing w:before="120" w:after="0" w:line="240" w:lineRule="auto"/>
        <w:ind w:left="1170" w:hanging="274"/>
        <w:jc w:val="both"/>
        <w:outlineLvl w:val="5"/>
        <w:rPr>
          <w:rFonts w:cs="Arial"/>
        </w:rPr>
      </w:pPr>
      <w:r w:rsidRPr="005E2F0E">
        <w:rPr>
          <w:rFonts w:ascii="Arial" w:hAnsi="Arial" w:eastAsia="Times New Roman" w:cs="Times New Roman"/>
          <w:sz w:val="20"/>
          <w:szCs w:val="20"/>
          <w:highlight w:val="yellow"/>
        </w:rPr>
        <w:t>e.</w:t>
      </w:r>
      <w:r w:rsidRPr="005E2F0E">
        <w:rPr>
          <w:rFonts w:ascii="Arial" w:hAnsi="Arial" w:eastAsia="Times New Roman" w:cs="Times New Roman"/>
          <w:sz w:val="20"/>
          <w:szCs w:val="20"/>
          <w:highlight w:val="yellow"/>
        </w:rPr>
        <w:tab/>
      </w:r>
      <w:r w:rsidRPr="0072211F">
        <w:rPr>
          <w:rFonts w:ascii="Arial" w:hAnsi="Arial"/>
          <w:sz w:val="20"/>
          <w:highlight w:val="yellow"/>
        </w:rPr>
        <w:t>Guarantor’s obligations under this Section 4.7.5 will survive for one year following termination of this Guaranty and the payment of all amounts payable under other provisions of this Guaranty.</w:t>
      </w:r>
    </w:p>
    <w:p w:rsidRPr="00EC0667" w:rsidR="005E2F0E" w:rsidP="0072211F" w:rsidRDefault="005E2F0E" w14:paraId="6A670710" w14:textId="78012B8F">
      <w:pPr>
        <w:tabs>
          <w:tab w:val="left" w:pos="2160"/>
        </w:tabs>
        <w:autoSpaceDE w:val="0"/>
        <w:autoSpaceDN w:val="0"/>
        <w:adjustRightInd w:val="0"/>
        <w:spacing w:before="120" w:after="0" w:line="240" w:lineRule="auto"/>
        <w:ind w:left="274"/>
        <w:jc w:val="both"/>
        <w:outlineLvl w:val="5"/>
      </w:pPr>
      <w:r w:rsidRPr="005E2F0E">
        <w:rPr>
          <w:rFonts w:ascii="Arial" w:hAnsi="Arial" w:eastAsia="Times New Roman" w:cs="Times New Roman"/>
          <w:b/>
          <w:bCs/>
          <w:sz w:val="20"/>
          <w:szCs w:val="20"/>
        </w:rPr>
        <w:t>4.7.6.</w:t>
      </w:r>
      <w:r w:rsidRPr="0072211F">
        <w:rPr>
          <w:rFonts w:ascii="Arial" w:hAnsi="Arial"/>
          <w:b/>
          <w:sz w:val="20"/>
        </w:rPr>
        <w:t xml:space="preserve"> </w:t>
      </w:r>
      <w:r w:rsidRPr="0072211F">
        <w:rPr>
          <w:rFonts w:ascii="Arial" w:hAnsi="Arial"/>
          <w:b/>
          <w:sz w:val="20"/>
          <w:highlight w:val="yellow"/>
        </w:rPr>
        <w:t>[Applicable Only to Foreign Guarantor: Waiver of Objection to Venue.</w:t>
      </w:r>
      <w:r w:rsidRPr="0072211F">
        <w:rPr>
          <w:rFonts w:ascii="Arial" w:hAnsi="Arial"/>
          <w:sz w:val="20"/>
          <w:highlight w:val="yellow"/>
        </w:rPr>
        <w:t xml:space="preserve"> </w:t>
      </w:r>
      <w:r w:rsidRPr="0072211F">
        <w:rPr>
          <w:rFonts w:ascii="Arial" w:hAnsi="Arial"/>
          <w:b/>
          <w:sz w:val="20"/>
          <w:highlight w:val="yellow"/>
        </w:rPr>
        <w:t xml:space="preserve">GUARANTOR </w:t>
      </w:r>
      <w:r w:rsidRPr="005E2F0E">
        <w:rPr>
          <w:rFonts w:ascii="Arial" w:hAnsi="Arial" w:eastAsia="Times New Roman" w:cs="Times New Roman"/>
          <w:b/>
          <w:bCs/>
          <w:sz w:val="20"/>
          <w:szCs w:val="20"/>
          <w:highlight w:val="yellow"/>
        </w:rPr>
        <w:t xml:space="preserve">HEREBY </w:t>
      </w:r>
      <w:r w:rsidRPr="0072211F">
        <w:rPr>
          <w:rFonts w:ascii="Arial" w:hAnsi="Arial"/>
          <w:b/>
          <w:sz w:val="20"/>
          <w:highlight w:val="yellow"/>
        </w:rPr>
        <w:t xml:space="preserve">IRREVOCABLY WAIVES, TO THE FULLEST EXTENT PERMITTED BY APPLICABLE LAW, ANY OBJECTION </w:t>
      </w:r>
      <w:r w:rsidRPr="005E2F0E">
        <w:rPr>
          <w:rFonts w:ascii="Arial" w:hAnsi="Arial" w:eastAsia="Times New Roman" w:cs="Times New Roman"/>
          <w:b/>
          <w:bCs/>
          <w:sz w:val="20"/>
          <w:szCs w:val="20"/>
          <w:highlight w:val="yellow"/>
        </w:rPr>
        <w:t>WHICH IT</w:t>
      </w:r>
      <w:r w:rsidRPr="0072211F">
        <w:rPr>
          <w:rFonts w:ascii="Arial" w:hAnsi="Arial"/>
          <w:b/>
          <w:sz w:val="20"/>
          <w:highlight w:val="yellow"/>
        </w:rPr>
        <w:t xml:space="preserve"> MAY NOW OR HEREAFTER HAVE TO THE LAYING OF VENUE OF ANY SUIT, ACTION OR PROCEEDING BETWEEN THEM ARISING OUT OF OR RELATING TO THIS GUARANTY BROUGHT IN ANY COURT IN OR OF THE STATE OF GEORGIA, AND HEREBY FURTHER IRREVOCABLY WAIVES ANY CLAIM THAT ANY SUCH SUIT, ACTION OR PROCEEDING BROUGHT IN ANY COURT IN OR OF THE STATE OF GEORGIA HAS BEEN BROUGHT IN AN INCONVENIENT FORUM.</w:t>
      </w:r>
      <w:r w:rsidRPr="0072211F">
        <w:rPr>
          <w:rFonts w:ascii="Arial" w:hAnsi="Arial"/>
          <w:sz w:val="20"/>
          <w:highlight w:val="yellow"/>
        </w:rPr>
        <w:t>]</w:t>
      </w:r>
      <w:r w:rsidRPr="0072211F">
        <w:rPr>
          <w:rFonts w:ascii="Arial" w:hAnsi="Arial"/>
          <w:sz w:val="20"/>
        </w:rPr>
        <w:t xml:space="preserve"> </w:t>
      </w:r>
    </w:p>
    <w:p w:rsidRPr="005E2F0E" w:rsidR="005E2F0E" w:rsidP="005E2F0E" w:rsidRDefault="005E2F0E" w14:paraId="0D86F36A" w14:textId="77777777">
      <w:pPr>
        <w:tabs>
          <w:tab w:val="left" w:pos="2160"/>
        </w:tabs>
        <w:autoSpaceDE w:val="0"/>
        <w:autoSpaceDN w:val="0"/>
        <w:adjustRightInd w:val="0"/>
        <w:spacing w:after="0" w:line="240" w:lineRule="auto"/>
        <w:ind w:left="274"/>
        <w:jc w:val="both"/>
        <w:outlineLvl w:val="5"/>
        <w:rPr>
          <w:rFonts w:ascii="Arial" w:hAnsi="Arial" w:eastAsia="Times New Roman" w:cs="Times New Roman"/>
          <w:sz w:val="20"/>
          <w:szCs w:val="20"/>
        </w:rPr>
      </w:pPr>
    </w:p>
    <w:p w:rsidRPr="00EC0667" w:rsidR="005E2F0E" w:rsidP="0072211F" w:rsidRDefault="005E2F0E" w14:paraId="0D34F3FD" w14:textId="072D72EA">
      <w:pPr>
        <w:tabs>
          <w:tab w:val="left" w:pos="2160"/>
        </w:tabs>
        <w:autoSpaceDE w:val="0"/>
        <w:autoSpaceDN w:val="0"/>
        <w:adjustRightInd w:val="0"/>
        <w:spacing w:after="0" w:line="240" w:lineRule="auto"/>
        <w:ind w:left="274"/>
        <w:jc w:val="both"/>
        <w:outlineLvl w:val="5"/>
      </w:pPr>
      <w:r w:rsidRPr="005E2F0E">
        <w:rPr>
          <w:rFonts w:ascii="Arial" w:hAnsi="Arial" w:eastAsia="Times New Roman" w:cs="Times New Roman"/>
          <w:b/>
          <w:bCs/>
          <w:sz w:val="20"/>
          <w:szCs w:val="20"/>
        </w:rPr>
        <w:t>4.7.7.</w:t>
      </w:r>
      <w:r w:rsidRPr="0072211F">
        <w:rPr>
          <w:rFonts w:ascii="Arial" w:hAnsi="Arial"/>
          <w:b/>
          <w:sz w:val="20"/>
        </w:rPr>
        <w:t xml:space="preserve"> </w:t>
      </w:r>
      <w:r w:rsidRPr="0072211F">
        <w:rPr>
          <w:rFonts w:ascii="Arial" w:hAnsi="Arial"/>
          <w:b/>
          <w:sz w:val="20"/>
          <w:highlight w:val="yellow"/>
        </w:rPr>
        <w:t>[Applicable Only to Foreign Guarantor: Waiver of Immunity.</w:t>
      </w:r>
      <w:r w:rsidRPr="0072211F">
        <w:rPr>
          <w:rFonts w:ascii="Arial" w:hAnsi="Arial"/>
          <w:sz w:val="20"/>
          <w:highlight w:val="yellow"/>
        </w:rPr>
        <w:t xml:space="preserve"> </w:t>
      </w:r>
      <w:r w:rsidRPr="0072211F">
        <w:rPr>
          <w:rFonts w:ascii="Arial" w:hAnsi="Arial"/>
          <w:b/>
          <w:sz w:val="20"/>
          <w:highlight w:val="yellow"/>
        </w:rPr>
        <w:t>TO THE EXTENT THAT</w:t>
      </w:r>
      <w:r w:rsidRPr="005E2F0E">
        <w:rPr>
          <w:rFonts w:ascii="Arial" w:hAnsi="Arial" w:eastAsia="Times New Roman" w:cs="Times New Roman"/>
          <w:b/>
          <w:bCs/>
          <w:sz w:val="20"/>
          <w:szCs w:val="20"/>
          <w:highlight w:val="yellow"/>
        </w:rPr>
        <w:t xml:space="preserve"> THE</w:t>
      </w:r>
      <w:r w:rsidRPr="0072211F">
        <w:rPr>
          <w:rFonts w:ascii="Arial" w:hAnsi="Arial"/>
          <w:b/>
          <w:sz w:val="20"/>
          <w:highlight w:val="yellow"/>
        </w:rPr>
        <w:t xml:space="preserve"> GUARANTOR HAS OR HEREAFTER MAY ACQUIRE ANY IMMUNITY FROM JURISDICTION OF ANY COURT IN THE STATE OF GEORGIA OR FROM ANY LEGAL PROCESS THEREIN, GUARANTOR HEREBY WAIVES, TO THE FULLEST EXTENT PERMITTED BY LAW, SUCH IMMUNITY</w:t>
      </w:r>
      <w:r w:rsidRPr="005E2F0E">
        <w:rPr>
          <w:rFonts w:ascii="Arial" w:hAnsi="Arial" w:eastAsia="Times New Roman" w:cs="Times New Roman"/>
          <w:b/>
          <w:bCs/>
          <w:sz w:val="20"/>
          <w:szCs w:val="20"/>
          <w:highlight w:val="yellow"/>
        </w:rPr>
        <w:t>,</w:t>
      </w:r>
      <w:r w:rsidRPr="0072211F">
        <w:rPr>
          <w:rFonts w:ascii="Arial" w:hAnsi="Arial"/>
          <w:b/>
          <w:sz w:val="20"/>
          <w:highlight w:val="yellow"/>
        </w:rPr>
        <w:t xml:space="preserve"> AND AGREES NOT TO ASSERT, BY WAY OF MOTION, AS A DEFENSE, OR OTHERWISE, IN ANY SUCH SUIT, ACTION OR PROCEEDING, THE DEFENSE OF SOVEREIGN IMMUNITY, OR ANY CLAIM: </w:t>
      </w:r>
      <w:r w:rsidRPr="005E2F0E">
        <w:rPr>
          <w:rFonts w:ascii="Arial" w:hAnsi="Arial" w:eastAsia="Times New Roman" w:cs="Times New Roman"/>
          <w:b/>
          <w:bCs/>
          <w:sz w:val="20"/>
          <w:szCs w:val="20"/>
          <w:highlight w:val="yellow"/>
        </w:rPr>
        <w:t xml:space="preserve">(1) </w:t>
      </w:r>
      <w:r w:rsidRPr="0072211F">
        <w:rPr>
          <w:rFonts w:ascii="Arial" w:hAnsi="Arial"/>
          <w:b/>
          <w:sz w:val="20"/>
          <w:highlight w:val="yellow"/>
        </w:rPr>
        <w:t xml:space="preserve">THAT IS NOT PERSONALLY SUBJECT TO THE JURISDICTION OF THE COURTS IN THE STATE OF GEORGIA BY REASON OF SOVEREIGN IMMUNITY OR OTHERWISE; (2) </w:t>
      </w:r>
      <w:r w:rsidRPr="005E2F0E">
        <w:rPr>
          <w:rFonts w:ascii="Arial" w:hAnsi="Arial" w:eastAsia="Times New Roman" w:cs="Times New Roman"/>
          <w:b/>
          <w:bCs/>
          <w:sz w:val="20"/>
          <w:szCs w:val="20"/>
          <w:highlight w:val="yellow"/>
        </w:rPr>
        <w:t>THAT IT</w:t>
      </w:r>
      <w:r w:rsidRPr="0072211F">
        <w:rPr>
          <w:rFonts w:ascii="Arial" w:hAnsi="Arial"/>
          <w:b/>
          <w:sz w:val="20"/>
          <w:highlight w:val="yellow"/>
        </w:rPr>
        <w:t xml:space="preserve"> IS IMMUNE FROM ANY LEGAL PROCESS (WHETHER THROUGH SERVICE OR NOTICE, ATTACHMENT PRIOR TO THE JUDGMENT, ATTACHMENTS IN AID OF EXECUTION, EXECUTION OR OTHERWISE) REGARDING ITSELF OR ITS PROPERTY, BY REASON OF SOVEREIGN IMMUNITY; (3) THAT ANY ACTION IS BROUGHT IN AN INCONVENIENT FORUM; (4) THAT THE VENUE OF ANY ACTION IS IMPROPER; OR (5) THAT THIS GUARANTY MAY NOT BE ENFORCED IN OR BY A FEDERAL COURT IN THE STATE OF GEORGIA. THE GUARANTOR EXPRESSLY ACKNOWLEDGES THAT THE FOREGOING WAIVERS AND SUBMISSIONS TO JURISDICTION ARE INTENDED TO BE IRREVOCABLE UNDER THE LAWS OF THE STATE OF GEORGIA AND OF THE UNITED STATES OF AMERICA AND OF THE LAWS APPLICABLE TO THE GUARANTOR, INCLUDING THE LAWS OF THE JURISDICTION IN WHICH THE GUARANTOR IS ORGANIZED.]</w:t>
      </w:r>
    </w:p>
    <w:p w:rsidRPr="00EC0667" w:rsidR="005E2F0E" w:rsidP="0072211F" w:rsidRDefault="005E2F0E" w14:paraId="4380F984" w14:textId="77777777">
      <w:pPr>
        <w:tabs>
          <w:tab w:val="left" w:pos="2160"/>
        </w:tabs>
        <w:autoSpaceDE w:val="0"/>
        <w:autoSpaceDN w:val="0"/>
        <w:adjustRightInd w:val="0"/>
        <w:spacing w:before="120" w:after="120" w:line="240" w:lineRule="auto"/>
        <w:ind w:left="270"/>
        <w:jc w:val="both"/>
        <w:outlineLvl w:val="5"/>
      </w:pPr>
      <w:r w:rsidRPr="005E2F0E">
        <w:rPr>
          <w:rFonts w:ascii="Arial" w:hAnsi="Arial" w:eastAsia="Times New Roman" w:cs="Times New Roman"/>
          <w:b/>
          <w:sz w:val="20"/>
          <w:szCs w:val="20"/>
        </w:rPr>
        <w:t>4.7.8.</w:t>
      </w:r>
      <w:r w:rsidRPr="0072211F">
        <w:rPr>
          <w:rFonts w:ascii="Arial" w:hAnsi="Arial"/>
          <w:b/>
          <w:sz w:val="20"/>
        </w:rPr>
        <w:t xml:space="preserve"> Waiver of Right to Jury Trial. GUARANTOR UNCONDITIONALLY AND IRREVOCABLY WAIVES ALL RIGHT TO TRIAL BY JURY IN ANY ACTION, PROCEEDING, OR COUNTERCLAIM (WHETHER BASED ON CONTRACT, TORT, OR OTHERWISE) ARISING OUT OF OR RELATING TO, THIS GUARANTY, OR THE ACTIONS OF BENEFICIARY IN THE NEGOTIATION, ADMINISTRATION, PERFORMANCE OR ENFORCEMENT OF THIS GUARANTY.</w:t>
      </w:r>
    </w:p>
    <w:p w:rsidRPr="00EC0667" w:rsidR="005E2F0E" w:rsidP="0072211F" w:rsidRDefault="005E2F0E" w14:paraId="45F1172B" w14:textId="5EEFA0A0">
      <w:pPr>
        <w:tabs>
          <w:tab w:val="left" w:pos="540"/>
        </w:tabs>
        <w:autoSpaceDE w:val="0"/>
        <w:autoSpaceDN w:val="0"/>
        <w:adjustRightInd w:val="0"/>
        <w:spacing w:before="120" w:after="120" w:line="240" w:lineRule="auto"/>
        <w:jc w:val="both"/>
        <w:outlineLvl w:val="1"/>
      </w:pPr>
      <w:r w:rsidRPr="00087BC0">
        <w:rPr>
          <w:rFonts w:ascii="Arial" w:hAnsi="Arial" w:eastAsia="Times New Roman" w:cs="Times New Roman"/>
          <w:bCs/>
        </w:rPr>
        <w:t>4.8</w:t>
      </w:r>
      <w:r w:rsidRPr="00087BC0">
        <w:rPr>
          <w:rFonts w:ascii="Arial" w:hAnsi="Arial" w:eastAsia="Times New Roman" w:cs="Times New Roman"/>
          <w:bCs/>
          <w:i/>
        </w:rPr>
        <w:tab/>
      </w:r>
      <w:r w:rsidRPr="0072211F">
        <w:rPr>
          <w:rFonts w:ascii="Arial" w:hAnsi="Arial" w:cs="Arial" w:eastAsiaTheme="minorEastAsia"/>
          <w:b/>
          <w:bCs/>
          <w:kern w:val="14"/>
          <w:sz w:val="20"/>
          <w:szCs w:val="20"/>
        </w:rPr>
        <w:t>Severability</w:t>
      </w:r>
      <w:r w:rsidRPr="0072211F">
        <w:rPr>
          <w:rFonts w:ascii="Arial" w:hAnsi="Arial" w:cs="Arial" w:eastAsiaTheme="minorEastAsia"/>
          <w:b/>
          <w:kern w:val="14"/>
          <w:sz w:val="20"/>
          <w:szCs w:val="20"/>
        </w:rPr>
        <w:t>.</w:t>
      </w:r>
      <w:r w:rsidRPr="0072211F">
        <w:rPr>
          <w:rFonts w:ascii="Arial" w:hAnsi="Arial"/>
          <w:sz w:val="20"/>
        </w:rPr>
        <w:t xml:space="preserve"> Any provision of this Guaranty that is prohibited or unenforceable will be ineffective to the extent of the prohibition or unenforceability without invalidating the remaining provisions of this Guaranty.</w:t>
      </w:r>
    </w:p>
    <w:p w:rsidRPr="00EC0667" w:rsidR="005E2F0E" w:rsidP="0072211F" w:rsidRDefault="005E2F0E" w14:paraId="4D129AC5" w14:textId="77777777">
      <w:pPr>
        <w:widowControl w:val="0"/>
        <w:tabs>
          <w:tab w:val="left" w:pos="540"/>
          <w:tab w:val="left" w:pos="2188"/>
        </w:tabs>
        <w:autoSpaceDE w:val="0"/>
        <w:autoSpaceDN w:val="0"/>
        <w:adjustRightInd w:val="0"/>
        <w:spacing w:before="120" w:after="120" w:line="240" w:lineRule="auto"/>
        <w:jc w:val="both"/>
        <w:outlineLvl w:val="1"/>
        <w:rPr>
          <w:rFonts w:ascii="Arial" w:hAnsi="Arial"/>
        </w:rPr>
      </w:pPr>
      <w:r w:rsidRPr="005E2F0E">
        <w:rPr>
          <w:rFonts w:ascii="Arial" w:hAnsi="Arial" w:eastAsia="Calibri" w:cs="Times New Roman"/>
          <w:b/>
          <w:sz w:val="20"/>
          <w:szCs w:val="20"/>
        </w:rPr>
        <w:t>4.9</w:t>
      </w:r>
      <w:r w:rsidRPr="005E2F0E">
        <w:rPr>
          <w:rFonts w:ascii="Arial" w:hAnsi="Arial" w:eastAsia="Calibri" w:cs="Times New Roman"/>
          <w:sz w:val="20"/>
          <w:szCs w:val="20"/>
        </w:rPr>
        <w:tab/>
      </w:r>
      <w:r w:rsidRPr="0072211F">
        <w:rPr>
          <w:rFonts w:ascii="Arial" w:hAnsi="Arial"/>
          <w:b/>
          <w:sz w:val="20"/>
        </w:rPr>
        <w:t>Execution and Attestation.</w:t>
      </w:r>
      <w:r w:rsidRPr="0072211F">
        <w:rPr>
          <w:rFonts w:ascii="Arial" w:hAnsi="Arial"/>
          <w:sz w:val="20"/>
        </w:rPr>
        <w:t xml:space="preserve"> </w:t>
      </w:r>
    </w:p>
    <w:p w:rsidRPr="00EC0667" w:rsidR="005E2F0E" w:rsidP="0072211F" w:rsidRDefault="005E2F0E" w14:paraId="5DC862B6" w14:textId="77777777">
      <w:pPr>
        <w:widowControl w:val="0"/>
        <w:autoSpaceDE w:val="0"/>
        <w:autoSpaceDN w:val="0"/>
        <w:adjustRightInd w:val="0"/>
        <w:spacing w:before="120" w:after="120" w:line="240" w:lineRule="auto"/>
        <w:ind w:left="270"/>
        <w:jc w:val="both"/>
        <w:outlineLvl w:val="1"/>
      </w:pPr>
      <w:r w:rsidRPr="005E2F0E">
        <w:rPr>
          <w:rFonts w:ascii="Arial" w:hAnsi="Arial" w:eastAsia="Calibri" w:cs="Times New Roman"/>
          <w:b/>
          <w:sz w:val="20"/>
          <w:szCs w:val="20"/>
        </w:rPr>
        <w:t>4.9.1.</w:t>
      </w:r>
      <w:r w:rsidRPr="0072211F">
        <w:rPr>
          <w:rFonts w:ascii="Arial" w:hAnsi="Arial"/>
          <w:b/>
          <w:sz w:val="20"/>
        </w:rPr>
        <w:t xml:space="preserve"> Electronic Signature. </w:t>
      </w:r>
      <w:r w:rsidRPr="0072211F">
        <w:rPr>
          <w:rFonts w:ascii="Arial" w:hAnsi="Arial"/>
          <w:sz w:val="20"/>
        </w:rPr>
        <w:t>This Guaranty may be executed by handwritten signature or Electronic Signature. An “</w:t>
      </w:r>
      <w:r w:rsidRPr="0072211F">
        <w:rPr>
          <w:rFonts w:ascii="Arial" w:hAnsi="Arial"/>
          <w:b/>
          <w:sz w:val="20"/>
        </w:rPr>
        <w:t>Electronic Signature</w:t>
      </w:r>
      <w:r w:rsidRPr="0072211F">
        <w:rPr>
          <w:rFonts w:ascii="Arial" w:hAnsi="Arial"/>
          <w:sz w:val="20"/>
        </w:rPr>
        <w:t>” means any electronic sound, symbol, or process attached to or logically associated with a record and executed and adopted by a Person with the intent to sign the record, including facsimile or e-mail electronic signatures. Guarantor acknowledges that electronic records and</w:t>
      </w:r>
      <w:r w:rsidRPr="0072211F">
        <w:rPr>
          <w:rFonts w:ascii="Arial" w:hAnsi="Arial"/>
          <w:b/>
          <w:sz w:val="20"/>
        </w:rPr>
        <w:t> </w:t>
      </w:r>
      <w:r w:rsidRPr="0072211F">
        <w:rPr>
          <w:rFonts w:ascii="Arial" w:hAnsi="Arial"/>
          <w:sz w:val="20"/>
        </w:rPr>
        <w:t xml:space="preserve">Electronic Signatures may be used in connection with the execution of this Guaranty </w:t>
      </w:r>
      <w:r w:rsidRPr="0072211F">
        <w:rPr>
          <w:rFonts w:ascii="Arial" w:hAnsi="Arial"/>
          <w:sz w:val="20"/>
        </w:rPr>
        <w:lastRenderedPageBreak/>
        <w:t>and Electronic Signatures transmitted by electronic mail in so-called “.pdf” format will be legal and binding and will have the same full force and effect as if a paper original of this Guaranty had been delivered and signed using a handwritten signature. Guarantor: (i) agrees that an Electronic Signature, whether digital or encrypted, is intended to authenticate this Guaranty and to have the same effect as a handwritten signature; (ii) intends to be bound by the signature (whether original, faxed, or electronic) on any document sent or delivered by facsimile, electronic mail, or other electronic means; (iii) is aware that Beneficiary will rely on the signatures; and (iv) waives any defenses to the enforcement of the terms of this Guaranty based on the forms of signature described in this Section 4.9 (</w:t>
      </w:r>
      <w:r w:rsidRPr="0072211F">
        <w:rPr>
          <w:rFonts w:ascii="Arial" w:hAnsi="Arial"/>
          <w:i/>
          <w:sz w:val="20"/>
        </w:rPr>
        <w:t>Execution and Attestation</w:t>
      </w:r>
      <w:r w:rsidRPr="0072211F">
        <w:rPr>
          <w:rFonts w:ascii="Arial" w:hAnsi="Arial"/>
          <w:sz w:val="20"/>
        </w:rPr>
        <w:t>). If Guarantor executes this Guaranty by Electronic Signature, Guarantor expressly consents under the Electronic Signatures in Global and National Commerce Act (“</w:t>
      </w:r>
      <w:r w:rsidRPr="0072211F">
        <w:rPr>
          <w:rFonts w:ascii="Arial" w:hAnsi="Arial"/>
          <w:b/>
          <w:sz w:val="20"/>
        </w:rPr>
        <w:t>E-SIGN</w:t>
      </w:r>
      <w:r w:rsidRPr="0072211F">
        <w:rPr>
          <w:rFonts w:ascii="Arial" w:hAnsi="Arial"/>
          <w:sz w:val="20"/>
        </w:rPr>
        <w:t>”), and Uniform Electronic Transactions Act as enacted in the State of Georgia (“</w:t>
      </w:r>
      <w:r w:rsidRPr="0072211F">
        <w:rPr>
          <w:rFonts w:ascii="Arial" w:hAnsi="Arial"/>
          <w:b/>
          <w:sz w:val="20"/>
        </w:rPr>
        <w:t>UETA</w:t>
      </w:r>
      <w:r w:rsidRPr="0072211F">
        <w:rPr>
          <w:rFonts w:ascii="Arial" w:hAnsi="Arial"/>
          <w:sz w:val="20"/>
        </w:rPr>
        <w:t>”), that a signature by fax, email, or other electronic means will constitute an Electronic Signature to an Electronic Record under both E-SIGN and UETA regarding this transaction.</w:t>
      </w:r>
    </w:p>
    <w:p w:rsidRPr="00EC0667" w:rsidR="005E2F0E" w:rsidP="0072211F" w:rsidRDefault="005E2F0E" w14:paraId="6B7FD694" w14:textId="77777777">
      <w:pPr>
        <w:widowControl w:val="0"/>
        <w:tabs>
          <w:tab w:val="left" w:pos="1440"/>
          <w:tab w:val="left" w:pos="2188"/>
        </w:tabs>
        <w:autoSpaceDE w:val="0"/>
        <w:autoSpaceDN w:val="0"/>
        <w:adjustRightInd w:val="0"/>
        <w:spacing w:before="120" w:after="120" w:line="240" w:lineRule="auto"/>
        <w:ind w:left="270"/>
        <w:jc w:val="both"/>
        <w:outlineLvl w:val="1"/>
      </w:pPr>
      <w:r w:rsidRPr="005E2F0E">
        <w:rPr>
          <w:rFonts w:ascii="Arial" w:hAnsi="Arial" w:eastAsia="Calibri" w:cs="Times New Roman"/>
          <w:b/>
          <w:sz w:val="20"/>
          <w:szCs w:val="20"/>
        </w:rPr>
        <w:t>4.9.2.</w:t>
      </w:r>
      <w:r w:rsidRPr="0072211F">
        <w:rPr>
          <w:rFonts w:ascii="Arial" w:hAnsi="Arial"/>
          <w:b/>
          <w:sz w:val="20"/>
        </w:rPr>
        <w:t xml:space="preserve"> Digital or Electronic Signature. </w:t>
      </w:r>
      <w:r w:rsidRPr="0072211F">
        <w:rPr>
          <w:rFonts w:ascii="Arial" w:hAnsi="Arial"/>
          <w:sz w:val="20"/>
        </w:rPr>
        <w:t>In addition to his Guaranty, any other documents to be delivered in connection with this Guaranty may be executed by handwritten signature or Electronic Signature. Guarantor acknowledges that any digital or Electronic Signature (including pdf, facsimile, or electronically imaged signatures provided by DocuSign or any other digital signature provider) appearing on this Guaranty or other documents to be delivered in connection with this Guaranty are the same as handwritten signatures for the purposes of validity, enforceability, or admissibility, and that delivery to Beneficiary of an Electronic Signature, or a signed copy of, this Guaranty and related documents may be made by facsimile, email, or other electronic transmission.</w:t>
      </w:r>
    </w:p>
    <w:p w:rsidRPr="005E2F0E" w:rsidR="005E2F0E" w:rsidP="0072211F" w:rsidRDefault="005E2F0E" w14:paraId="2257CC47" w14:textId="77777777">
      <w:pPr>
        <w:keepNext/>
        <w:keepLines/>
        <w:spacing w:before="120" w:after="120" w:line="240" w:lineRule="auto"/>
        <w:jc w:val="both"/>
        <w:rPr>
          <w:rFonts w:ascii="Arial" w:hAnsi="Arial" w:eastAsia="Calibri" w:cs="Times New Roman"/>
          <w:sz w:val="20"/>
          <w:szCs w:val="20"/>
        </w:rPr>
      </w:pPr>
      <w:r w:rsidRPr="005E2F0E">
        <w:rPr>
          <w:rFonts w:ascii="Arial" w:hAnsi="Arial" w:eastAsia="Times New Roman" w:cs="Times New Roman"/>
          <w:sz w:val="20"/>
          <w:szCs w:val="20"/>
        </w:rPr>
        <w:t xml:space="preserve">Guarantor has caused this Guaranty to be executed and delivered under seal by its authorized representative as of Effective Date. </w:t>
      </w:r>
    </w:p>
    <w:p w:rsidRPr="005E2F0E" w:rsidR="005E2F0E" w:rsidP="005E2F0E" w:rsidRDefault="005E2F0E" w14:paraId="1D447179" w14:textId="77777777">
      <w:pPr>
        <w:keepNext/>
        <w:keepLines/>
        <w:tabs>
          <w:tab w:val="left" w:pos="720"/>
        </w:tabs>
        <w:spacing w:before="120" w:after="120" w:line="240" w:lineRule="auto"/>
        <w:rPr>
          <w:rFonts w:ascii="Arial" w:hAnsi="Arial" w:eastAsia="Calibri" w:cs="Times New Roman"/>
          <w:sz w:val="20"/>
          <w:szCs w:val="20"/>
        </w:rPr>
      </w:pPr>
    </w:p>
    <w:tbl>
      <w:tblPr>
        <w:tblW w:w="5130" w:type="dxa"/>
        <w:tblLayout w:type="fixed"/>
        <w:tblCellMar>
          <w:left w:w="29" w:type="dxa"/>
          <w:right w:w="29" w:type="dxa"/>
        </w:tblCellMar>
        <w:tblLook w:val="01E0" w:firstRow="1" w:lastRow="1" w:firstColumn="1" w:lastColumn="1" w:noHBand="0" w:noVBand="0"/>
      </w:tblPr>
      <w:tblGrid>
        <w:gridCol w:w="1008"/>
        <w:gridCol w:w="4122"/>
      </w:tblGrid>
      <w:tr w:rsidRPr="00EC0667" w:rsidR="005E2F0E" w14:paraId="5C8E11AC" w14:textId="77777777">
        <w:trPr>
          <w:cantSplit/>
          <w:trHeight w:val="432"/>
        </w:trPr>
        <w:tc>
          <w:tcPr>
            <w:tcW w:w="5130" w:type="dxa"/>
            <w:gridSpan w:val="2"/>
          </w:tcPr>
          <w:p w:rsidRPr="0072211F" w:rsidR="005E2F0E" w:rsidP="0072211F" w:rsidRDefault="005E2F0E" w14:paraId="65C1F2D7" w14:textId="77777777">
            <w:pPr>
              <w:keepNext/>
              <w:keepLines/>
              <w:widowControl w:val="0"/>
              <w:autoSpaceDE w:val="0"/>
              <w:autoSpaceDN w:val="0"/>
              <w:adjustRightInd w:val="0"/>
              <w:spacing w:before="120" w:after="120" w:line="240" w:lineRule="auto"/>
              <w:jc w:val="both"/>
              <w:rPr>
                <w:rFonts w:ascii="Arial" w:hAnsi="Arial"/>
                <w:b/>
                <w:spacing w:val="-6"/>
                <w:sz w:val="20"/>
              </w:rPr>
            </w:pPr>
            <w:r w:rsidRPr="0072211F">
              <w:rPr>
                <w:rFonts w:ascii="Arial" w:hAnsi="Arial"/>
                <w:b/>
                <w:spacing w:val="-6"/>
                <w:sz w:val="20"/>
                <w:highlight w:val="yellow"/>
              </w:rPr>
              <w:t>#GuarantorLegalName#</w:t>
            </w:r>
          </w:p>
        </w:tc>
      </w:tr>
      <w:tr w:rsidRPr="00EC0667" w:rsidR="005E2F0E" w14:paraId="4EB11221" w14:textId="77777777">
        <w:trPr>
          <w:cantSplit/>
          <w:trHeight w:val="504"/>
        </w:trPr>
        <w:tc>
          <w:tcPr>
            <w:tcW w:w="1008" w:type="dxa"/>
            <w:vAlign w:val="bottom"/>
          </w:tcPr>
          <w:p w:rsidRPr="00EC0667" w:rsidR="005E2F0E" w:rsidP="0072211F" w:rsidRDefault="005E2F0E" w14:paraId="5148DF15" w14:textId="77777777">
            <w:pPr>
              <w:autoSpaceDE w:val="0"/>
              <w:autoSpaceDN w:val="0"/>
              <w:adjustRightInd w:val="0"/>
              <w:spacing w:before="120" w:after="120" w:line="240" w:lineRule="auto"/>
              <w:jc w:val="both"/>
              <w:rPr>
                <w:rFonts w:ascii="Arial" w:hAnsi="Arial" w:cs="Arial"/>
                <w:sz w:val="20"/>
                <w:szCs w:val="20"/>
              </w:rPr>
            </w:pPr>
            <w:r w:rsidRPr="00EC0667">
              <w:rPr>
                <w:rFonts w:ascii="Arial" w:hAnsi="Arial" w:cs="Arial"/>
                <w:sz w:val="20"/>
                <w:szCs w:val="20"/>
              </w:rPr>
              <w:t>By:</w:t>
            </w:r>
          </w:p>
        </w:tc>
        <w:tc>
          <w:tcPr>
            <w:tcW w:w="4093" w:type="dxa"/>
            <w:tcBorders>
              <w:bottom w:val="single" w:color="auto" w:sz="4" w:space="0"/>
            </w:tcBorders>
            <w:vAlign w:val="bottom"/>
          </w:tcPr>
          <w:p w:rsidRPr="005E2F0E" w:rsidR="005E2F0E" w:rsidP="0072211F" w:rsidRDefault="005E2F0E" w14:paraId="73A2FC2C" w14:textId="77777777">
            <w:pPr>
              <w:keepLines/>
              <w:spacing w:before="120" w:after="120" w:line="240" w:lineRule="auto"/>
              <w:rPr>
                <w:rFonts w:ascii="Arial" w:hAnsi="Arial" w:eastAsia="Calibri" w:cs="Times New Roman"/>
                <w:sz w:val="20"/>
                <w:szCs w:val="20"/>
              </w:rPr>
            </w:pPr>
          </w:p>
        </w:tc>
      </w:tr>
      <w:tr w:rsidRPr="00EC0667" w:rsidR="005E2F0E" w14:paraId="0BB5CA1C" w14:textId="77777777">
        <w:trPr>
          <w:cantSplit/>
          <w:trHeight w:val="504"/>
        </w:trPr>
        <w:tc>
          <w:tcPr>
            <w:tcW w:w="1008" w:type="dxa"/>
            <w:vAlign w:val="bottom"/>
          </w:tcPr>
          <w:p w:rsidRPr="00EC0667" w:rsidR="005E2F0E" w:rsidP="0072211F" w:rsidRDefault="005E2F0E" w14:paraId="7A11566C" w14:textId="77777777">
            <w:pPr>
              <w:autoSpaceDE w:val="0"/>
              <w:autoSpaceDN w:val="0"/>
              <w:adjustRightInd w:val="0"/>
              <w:spacing w:before="120" w:after="120" w:line="240" w:lineRule="auto"/>
              <w:jc w:val="both"/>
              <w:rPr>
                <w:rFonts w:ascii="Arial" w:hAnsi="Arial" w:cs="Arial"/>
                <w:sz w:val="20"/>
                <w:szCs w:val="20"/>
              </w:rPr>
            </w:pPr>
            <w:r w:rsidRPr="00EC0667">
              <w:rPr>
                <w:rFonts w:ascii="Arial" w:hAnsi="Arial" w:cs="Arial"/>
                <w:sz w:val="20"/>
                <w:szCs w:val="20"/>
              </w:rPr>
              <w:t>Name</w:t>
            </w:r>
          </w:p>
          <w:p w:rsidRPr="00EC0667" w:rsidR="005E2F0E" w:rsidP="0072211F" w:rsidRDefault="005E2F0E" w14:paraId="062D76A8" w14:textId="77777777">
            <w:pPr>
              <w:autoSpaceDE w:val="0"/>
              <w:autoSpaceDN w:val="0"/>
              <w:adjustRightInd w:val="0"/>
              <w:spacing w:before="120" w:after="120" w:line="240" w:lineRule="auto"/>
              <w:jc w:val="both"/>
              <w:rPr>
                <w:rFonts w:ascii="Arial" w:hAnsi="Arial" w:cs="Arial"/>
                <w:sz w:val="20"/>
                <w:szCs w:val="20"/>
              </w:rPr>
            </w:pPr>
            <w:r w:rsidRPr="00EC0667">
              <w:rPr>
                <w:rFonts w:ascii="Arial" w:hAnsi="Arial" w:cs="Arial"/>
                <w:sz w:val="20"/>
                <w:szCs w:val="20"/>
              </w:rPr>
              <w:t>Printed:</w:t>
            </w:r>
          </w:p>
        </w:tc>
        <w:tc>
          <w:tcPr>
            <w:tcW w:w="4093" w:type="dxa"/>
            <w:tcBorders>
              <w:top w:val="single" w:color="auto" w:sz="4" w:space="0"/>
              <w:bottom w:val="single" w:color="auto" w:sz="4" w:space="0"/>
            </w:tcBorders>
            <w:vAlign w:val="bottom"/>
          </w:tcPr>
          <w:p w:rsidRPr="005E2F0E" w:rsidR="005E2F0E" w:rsidP="0072211F" w:rsidRDefault="005E2F0E" w14:paraId="192DC39B" w14:textId="77777777">
            <w:pPr>
              <w:keepLines/>
              <w:spacing w:before="120" w:after="120" w:line="240" w:lineRule="auto"/>
              <w:rPr>
                <w:rFonts w:ascii="Arial" w:hAnsi="Arial" w:eastAsia="Calibri" w:cs="Times New Roman"/>
                <w:sz w:val="20"/>
                <w:szCs w:val="20"/>
              </w:rPr>
            </w:pPr>
          </w:p>
        </w:tc>
      </w:tr>
      <w:tr w:rsidRPr="00EC0667" w:rsidR="005E2F0E" w14:paraId="1A4C59ED" w14:textId="77777777">
        <w:trPr>
          <w:cantSplit/>
          <w:trHeight w:val="504"/>
        </w:trPr>
        <w:tc>
          <w:tcPr>
            <w:tcW w:w="1008" w:type="dxa"/>
            <w:vAlign w:val="bottom"/>
          </w:tcPr>
          <w:p w:rsidRPr="00EC0667" w:rsidR="005E2F0E" w:rsidP="0072211F" w:rsidRDefault="005E2F0E" w14:paraId="58173B82" w14:textId="77777777">
            <w:pPr>
              <w:autoSpaceDE w:val="0"/>
              <w:autoSpaceDN w:val="0"/>
              <w:adjustRightInd w:val="0"/>
              <w:spacing w:before="120" w:after="120" w:line="240" w:lineRule="auto"/>
              <w:jc w:val="both"/>
              <w:rPr>
                <w:rFonts w:ascii="Arial" w:hAnsi="Arial" w:cs="Arial"/>
                <w:sz w:val="20"/>
                <w:szCs w:val="20"/>
              </w:rPr>
            </w:pPr>
            <w:r w:rsidRPr="00EC0667">
              <w:rPr>
                <w:rFonts w:ascii="Arial" w:hAnsi="Arial" w:cs="Arial"/>
                <w:sz w:val="20"/>
                <w:szCs w:val="20"/>
              </w:rPr>
              <w:t>Title:</w:t>
            </w:r>
          </w:p>
        </w:tc>
        <w:tc>
          <w:tcPr>
            <w:tcW w:w="4093" w:type="dxa"/>
            <w:tcBorders>
              <w:top w:val="single" w:color="auto" w:sz="4" w:space="0"/>
              <w:bottom w:val="single" w:color="auto" w:sz="4" w:space="0"/>
            </w:tcBorders>
            <w:vAlign w:val="bottom"/>
          </w:tcPr>
          <w:p w:rsidRPr="005E2F0E" w:rsidR="005E2F0E" w:rsidP="0072211F" w:rsidRDefault="005E2F0E" w14:paraId="0E52D1EE" w14:textId="77777777">
            <w:pPr>
              <w:keepLines/>
              <w:spacing w:before="120" w:after="120" w:line="240" w:lineRule="auto"/>
              <w:rPr>
                <w:rFonts w:ascii="Arial" w:hAnsi="Arial" w:eastAsia="Calibri" w:cs="Times New Roman"/>
                <w:sz w:val="20"/>
                <w:szCs w:val="20"/>
              </w:rPr>
            </w:pPr>
          </w:p>
        </w:tc>
      </w:tr>
      <w:tr w:rsidRPr="00EC0667" w:rsidR="005E2F0E" w14:paraId="0BA4DAEB" w14:textId="77777777">
        <w:trPr>
          <w:cantSplit/>
          <w:trHeight w:val="504"/>
        </w:trPr>
        <w:tc>
          <w:tcPr>
            <w:tcW w:w="1008" w:type="dxa"/>
            <w:vAlign w:val="bottom"/>
          </w:tcPr>
          <w:p w:rsidRPr="00EC0667" w:rsidR="005E2F0E" w:rsidP="0072211F" w:rsidRDefault="005E2F0E" w14:paraId="7E2290FE" w14:textId="77777777">
            <w:pPr>
              <w:autoSpaceDE w:val="0"/>
              <w:autoSpaceDN w:val="0"/>
              <w:adjustRightInd w:val="0"/>
              <w:spacing w:before="120" w:after="120" w:line="240" w:lineRule="auto"/>
              <w:jc w:val="both"/>
              <w:rPr>
                <w:rFonts w:ascii="Arial" w:hAnsi="Arial" w:cs="Arial"/>
                <w:sz w:val="20"/>
                <w:szCs w:val="20"/>
              </w:rPr>
            </w:pPr>
            <w:r w:rsidRPr="00EC0667">
              <w:rPr>
                <w:rFonts w:ascii="Arial" w:hAnsi="Arial" w:cs="Arial"/>
                <w:sz w:val="20"/>
                <w:szCs w:val="20"/>
              </w:rPr>
              <w:t>Date:</w:t>
            </w:r>
          </w:p>
        </w:tc>
        <w:tc>
          <w:tcPr>
            <w:tcW w:w="4093" w:type="dxa"/>
            <w:tcBorders>
              <w:top w:val="single" w:color="auto" w:sz="4" w:space="0"/>
              <w:bottom w:val="single" w:color="auto" w:sz="4" w:space="0"/>
            </w:tcBorders>
            <w:vAlign w:val="bottom"/>
          </w:tcPr>
          <w:p w:rsidRPr="005E2F0E" w:rsidR="005E2F0E" w:rsidP="0072211F" w:rsidRDefault="005E2F0E" w14:paraId="0F214D73" w14:textId="77777777">
            <w:pPr>
              <w:keepLines/>
              <w:spacing w:before="120" w:after="120" w:line="240" w:lineRule="auto"/>
              <w:rPr>
                <w:rFonts w:ascii="Arial" w:hAnsi="Arial" w:eastAsia="Calibri" w:cs="Times New Roman"/>
                <w:sz w:val="20"/>
                <w:szCs w:val="20"/>
              </w:rPr>
            </w:pPr>
          </w:p>
        </w:tc>
      </w:tr>
    </w:tbl>
    <w:p w:rsidRPr="005E2F0E" w:rsidR="005E2F0E" w:rsidP="005E2F0E" w:rsidRDefault="005E2F0E" w14:paraId="4E6F2E4E" w14:textId="77777777">
      <w:pPr>
        <w:keepNext/>
        <w:keepLines/>
        <w:tabs>
          <w:tab w:val="left" w:pos="720"/>
        </w:tabs>
        <w:spacing w:before="120" w:after="120" w:line="240" w:lineRule="auto"/>
        <w:rPr>
          <w:rFonts w:ascii="Arial" w:hAnsi="Arial" w:eastAsia="Calibri" w:cs="Times New Roman"/>
          <w:sz w:val="20"/>
          <w:szCs w:val="20"/>
        </w:rPr>
      </w:pPr>
    </w:p>
    <w:p w:rsidRPr="005E2F0E" w:rsidR="005E2F0E" w:rsidP="00461007" w:rsidRDefault="005E2F0E" w14:paraId="1A504460" w14:textId="77777777">
      <w:pPr>
        <w:autoSpaceDE w:val="0"/>
        <w:autoSpaceDN w:val="0"/>
        <w:adjustRightInd w:val="0"/>
        <w:spacing w:before="120" w:after="120" w:line="240" w:lineRule="auto"/>
        <w:jc w:val="both"/>
        <w:rPr>
          <w:rFonts w:ascii="Arial" w:hAnsi="Arial" w:eastAsia="Yu Mincho" w:cs="Arial"/>
          <w:kern w:val="14"/>
          <w:sz w:val="20"/>
          <w:szCs w:val="20"/>
        </w:rPr>
      </w:pPr>
      <w:bookmarkStart w:name="_Toc159338536" w:id="1260"/>
      <w:bookmarkStart w:name="_Toc149177645" w:id="1261"/>
      <w:bookmarkEnd w:id="1260"/>
      <w:bookmarkEnd w:id="1261"/>
    </w:p>
    <w:p w:rsidRPr="008642F1" w:rsidR="001A685F" w:rsidRDefault="001A685F" w14:paraId="53FA8C07" w14:textId="628953D6">
      <w:pPr>
        <w:rPr>
          <w:rFonts w:ascii="Arial" w:hAnsi="Arial" w:eastAsia="Calibri" w:cs="Arial"/>
          <w:sz w:val="20"/>
          <w:szCs w:val="20"/>
        </w:rPr>
      </w:pPr>
    </w:p>
    <w:p w:rsidRPr="00EC0667" w:rsidR="00550A15" w:rsidRDefault="00550A15" w14:paraId="1B4D5AD6" w14:textId="6716291A">
      <w:pPr>
        <w:rPr>
          <w:rFonts w:ascii="Arial" w:hAnsi="Arial" w:eastAsia="Calibri" w:cs="Arial"/>
          <w:sz w:val="20"/>
          <w:szCs w:val="20"/>
        </w:rPr>
      </w:pPr>
      <w:r w:rsidRPr="00EC0667">
        <w:rPr>
          <w:rFonts w:ascii="Arial" w:hAnsi="Arial" w:eastAsia="Calibri" w:cs="Arial"/>
          <w:sz w:val="20"/>
          <w:szCs w:val="20"/>
        </w:rPr>
        <w:br w:type="page"/>
      </w:r>
    </w:p>
    <w:p w:rsidR="001A685F" w:rsidP="001A685F" w:rsidRDefault="001A685F" w14:paraId="5833BF42" w14:textId="77777777">
      <w:pPr>
        <w:keepNext/>
        <w:keepLines/>
        <w:tabs>
          <w:tab w:val="left" w:pos="720"/>
        </w:tabs>
        <w:rPr>
          <w:rFonts w:eastAsia="Calibri"/>
        </w:rPr>
      </w:pPr>
    </w:p>
    <w:p w:rsidRPr="002D2A8F" w:rsidR="002D54C4" w:rsidP="002D54C4" w:rsidRDefault="002D54C4" w14:paraId="74A5F6E8" w14:textId="20AD9614">
      <w:pPr>
        <w:pStyle w:val="zGTitleExhibit"/>
        <w:rPr>
          <w:rFonts w:cs="Arial"/>
        </w:rPr>
      </w:pPr>
      <w:bookmarkStart w:name="_Toc169778728" w:id="1262"/>
      <w:bookmarkStart w:name="_Toc227451500" w:id="1263"/>
      <w:r w:rsidRPr="002D2A8F">
        <w:rPr>
          <w:rFonts w:cs="Arial"/>
        </w:rPr>
        <w:t xml:space="preserve">Exhibit </w:t>
      </w:r>
      <w:r w:rsidR="00316F5D">
        <w:rPr>
          <w:rFonts w:cs="Arial"/>
        </w:rPr>
        <w:t>M</w:t>
      </w:r>
      <w:r w:rsidRPr="002D2A8F" w:rsidR="00316F5D">
        <w:rPr>
          <w:rFonts w:cs="Arial"/>
        </w:rPr>
        <w:t xml:space="preserve"> </w:t>
      </w:r>
      <w:r w:rsidRPr="002D2A8F">
        <w:rPr>
          <w:rFonts w:cs="Arial"/>
        </w:rPr>
        <w:t>–VIE Certification</w:t>
      </w:r>
      <w:bookmarkEnd w:id="1262"/>
      <w:bookmarkEnd w:id="1263"/>
    </w:p>
    <w:p w:rsidRPr="002D2A8F" w:rsidR="002D54C4" w:rsidP="00443731" w:rsidRDefault="002D54C4" w14:paraId="1DFE2269" w14:textId="1FAF3FDD">
      <w:pPr>
        <w:suppressAutoHyphens/>
        <w:adjustRightInd w:val="0"/>
        <w:spacing w:after="0"/>
        <w:jc w:val="both"/>
        <w:textAlignment w:val="baseline"/>
        <w:rPr>
          <w:rFonts w:ascii="Arial" w:hAnsi="Arial" w:eastAsia="Times New Roman" w:cs="Arial"/>
          <w:sz w:val="20"/>
          <w:szCs w:val="20"/>
        </w:rPr>
      </w:pPr>
      <w:r w:rsidRPr="002D2A8F">
        <w:rPr>
          <w:rFonts w:ascii="Arial" w:hAnsi="Arial" w:eastAsia="Times New Roman" w:cs="Arial"/>
          <w:b/>
          <w:sz w:val="20"/>
          <w:szCs w:val="20"/>
        </w:rPr>
        <w:t xml:space="preserve">AGREEMENT – </w:t>
      </w:r>
      <w:r w:rsidRPr="003459DF" w:rsidR="00D20C77">
        <w:rPr>
          <w:rFonts w:ascii="Arial" w:hAnsi="Arial" w:eastAsia="Times New Roman" w:cs="Arial"/>
          <w:b/>
          <w:bCs/>
          <w:sz w:val="20"/>
          <w:szCs w:val="20"/>
        </w:rPr>
        <w:t xml:space="preserve">Power </w:t>
      </w:r>
      <w:r w:rsidRPr="003459DF" w:rsidR="00D20C77">
        <w:rPr>
          <w:rFonts w:ascii="Arial" w:hAnsi="Arial" w:cs="Arial"/>
          <w:b/>
          <w:bCs/>
          <w:sz w:val="20"/>
          <w:szCs w:val="20"/>
        </w:rPr>
        <w:t>Purchase Agreement for Firm Capacity, Associated Energy, and Ancillary Services from a</w:t>
      </w:r>
      <w:r w:rsidR="004B20B7">
        <w:rPr>
          <w:rFonts w:ascii="Arial" w:hAnsi="Arial" w:cs="Arial"/>
          <w:b/>
          <w:bCs/>
          <w:sz w:val="20"/>
          <w:szCs w:val="20"/>
        </w:rPr>
        <w:t xml:space="preserve"> Battery</w:t>
      </w:r>
      <w:r w:rsidRPr="003459DF" w:rsidR="00D20C77">
        <w:rPr>
          <w:rFonts w:ascii="Arial" w:hAnsi="Arial" w:cs="Arial"/>
          <w:b/>
          <w:bCs/>
          <w:sz w:val="20"/>
          <w:szCs w:val="20"/>
        </w:rPr>
        <w:t xml:space="preserve"> Energy Storage System with Renewable Resource</w:t>
      </w:r>
      <w:r w:rsidR="00A13878">
        <w:rPr>
          <w:rFonts w:ascii="Arial" w:hAnsi="Arial" w:cs="Arial"/>
          <w:b/>
          <w:bCs/>
          <w:sz w:val="20"/>
          <w:szCs w:val="20"/>
        </w:rPr>
        <w:t xml:space="preserve"> </w:t>
      </w:r>
      <w:r w:rsidR="00422D0D">
        <w:rPr>
          <w:rFonts w:ascii="Arial" w:hAnsi="Arial" w:cs="Arial"/>
          <w:b/>
          <w:bCs/>
          <w:sz w:val="20"/>
          <w:szCs w:val="20"/>
        </w:rPr>
        <w:t xml:space="preserve">for </w:t>
      </w:r>
      <w:r w:rsidRPr="00A13878" w:rsidR="00A13878">
        <w:rPr>
          <w:rFonts w:ascii="Arial" w:hAnsi="Arial" w:cs="Arial"/>
          <w:b/>
          <w:bCs/>
          <w:sz w:val="20"/>
          <w:szCs w:val="20"/>
        </w:rPr>
        <w:t>2026 All-Source Capacity Request for Proposals for Need Years 2032</w:t>
      </w:r>
      <w:r w:rsidR="00A11E48">
        <w:rPr>
          <w:rFonts w:ascii="Arial" w:hAnsi="Arial" w:cs="Arial"/>
          <w:b/>
          <w:bCs/>
          <w:sz w:val="20"/>
          <w:szCs w:val="20"/>
        </w:rPr>
        <w:t>-</w:t>
      </w:r>
      <w:r w:rsidRPr="00A13878" w:rsidR="00A13878">
        <w:rPr>
          <w:rFonts w:ascii="Arial" w:hAnsi="Arial" w:cs="Arial"/>
          <w:b/>
          <w:bCs/>
          <w:sz w:val="20"/>
          <w:szCs w:val="20"/>
        </w:rPr>
        <w:t>2033</w:t>
      </w:r>
      <w:r w:rsidRPr="00261AEB" w:rsidR="00A13878">
        <w:t xml:space="preserve"> </w:t>
      </w:r>
      <w:r w:rsidRPr="003459DF">
        <w:rPr>
          <w:rStyle w:val="normaltextrun"/>
          <w:rFonts w:ascii="Arial" w:hAnsi="Arial" w:cs="Arial"/>
          <w:b/>
          <w:bCs/>
          <w:sz w:val="20"/>
          <w:szCs w:val="20"/>
          <w:shd w:val="clear" w:color="auto" w:fill="FFFFFF"/>
        </w:rPr>
        <w:t xml:space="preserve">at </w:t>
      </w:r>
      <w:r w:rsidRPr="003459DF">
        <w:rPr>
          <w:rStyle w:val="normaltextrun"/>
          <w:rFonts w:ascii="Arial" w:hAnsi="Arial" w:cs="Arial"/>
          <w:b/>
          <w:bCs/>
          <w:sz w:val="20"/>
          <w:szCs w:val="20"/>
          <w:highlight w:val="yellow"/>
          <w:shd w:val="clear" w:color="auto" w:fill="FFFFFF"/>
        </w:rPr>
        <w:t>#Facility Name#</w:t>
      </w:r>
      <w:r w:rsidRPr="003459DF">
        <w:rPr>
          <w:rFonts w:ascii="Arial" w:hAnsi="Arial" w:eastAsia="Times New Roman" w:cs="Arial"/>
          <w:sz w:val="20"/>
          <w:szCs w:val="20"/>
        </w:rPr>
        <w:t xml:space="preserve"> </w:t>
      </w:r>
      <w:r w:rsidRPr="002D2A8F">
        <w:rPr>
          <w:rFonts w:ascii="Arial" w:hAnsi="Arial" w:eastAsia="Times New Roman" w:cs="Arial"/>
          <w:sz w:val="20"/>
          <w:szCs w:val="20"/>
        </w:rPr>
        <w:t xml:space="preserve">dated </w:t>
      </w:r>
      <w:r w:rsidRPr="002D2A8F">
        <w:rPr>
          <w:rFonts w:ascii="Arial" w:hAnsi="Arial" w:eastAsia="Calibri" w:cs="Arial"/>
          <w:sz w:val="20"/>
          <w:szCs w:val="20"/>
          <w:highlight w:val="yellow"/>
        </w:rPr>
        <w:t>#Month</w:t>
      </w:r>
      <w:r w:rsidRPr="002D2A8F">
        <w:rPr>
          <w:rFonts w:ascii="Arial" w:hAnsi="Arial" w:eastAsia="Calibri" w:cs="Arial"/>
          <w:sz w:val="20"/>
          <w:szCs w:val="20"/>
        </w:rPr>
        <w:t xml:space="preserve"> </w:t>
      </w:r>
      <w:r w:rsidRPr="002D2A8F">
        <w:rPr>
          <w:rFonts w:ascii="Arial" w:hAnsi="Arial" w:eastAsia="Calibri" w:cs="Arial"/>
          <w:sz w:val="20"/>
          <w:szCs w:val="20"/>
          <w:highlight w:val="yellow"/>
        </w:rPr>
        <w:t>#Day</w:t>
      </w:r>
      <w:r w:rsidRPr="002D2A8F">
        <w:rPr>
          <w:rFonts w:ascii="Arial" w:hAnsi="Arial" w:eastAsia="Calibri" w:cs="Arial"/>
          <w:sz w:val="20"/>
          <w:szCs w:val="20"/>
        </w:rPr>
        <w:t xml:space="preserve">, </w:t>
      </w:r>
      <w:r w:rsidRPr="002D2A8F">
        <w:rPr>
          <w:rFonts w:ascii="Arial" w:hAnsi="Arial" w:eastAsia="Calibri" w:cs="Arial"/>
          <w:sz w:val="20"/>
          <w:szCs w:val="20"/>
          <w:highlight w:val="yellow"/>
        </w:rPr>
        <w:t>#Year</w:t>
      </w:r>
      <w:r w:rsidRPr="002D2A8F">
        <w:rPr>
          <w:rFonts w:ascii="Arial" w:hAnsi="Arial" w:eastAsia="Times New Roman" w:cs="Arial"/>
          <w:sz w:val="20"/>
          <w:szCs w:val="20"/>
        </w:rPr>
        <w:t xml:space="preserve"> between</w:t>
      </w:r>
      <w:r w:rsidRPr="002D2A8F">
        <w:rPr>
          <w:rFonts w:ascii="Arial" w:hAnsi="Arial" w:eastAsia="Times New Roman" w:cs="Arial"/>
          <w:b/>
          <w:sz w:val="20"/>
          <w:szCs w:val="20"/>
        </w:rPr>
        <w:t xml:space="preserve"> </w:t>
      </w:r>
      <w:r w:rsidRPr="002D2A8F">
        <w:rPr>
          <w:rFonts w:ascii="Arial" w:hAnsi="Arial" w:eastAsia="Times New Roman" w:cs="Arial"/>
          <w:sz w:val="20"/>
          <w:szCs w:val="20"/>
        </w:rPr>
        <w:t>Georgia Power Company (“</w:t>
      </w:r>
      <w:r w:rsidRPr="002D2A8F">
        <w:rPr>
          <w:rFonts w:ascii="Arial" w:hAnsi="Arial" w:eastAsia="Times New Roman" w:cs="Arial"/>
          <w:b/>
          <w:bCs/>
          <w:sz w:val="20"/>
          <w:szCs w:val="20"/>
        </w:rPr>
        <w:t>GPC</w:t>
      </w:r>
      <w:r w:rsidRPr="002D2A8F">
        <w:rPr>
          <w:rFonts w:ascii="Arial" w:hAnsi="Arial" w:eastAsia="Times New Roman" w:cs="Arial"/>
          <w:sz w:val="20"/>
          <w:szCs w:val="20"/>
        </w:rPr>
        <w:t xml:space="preserve">”), and </w:t>
      </w:r>
      <w:r w:rsidRPr="002D2A8F">
        <w:rPr>
          <w:rFonts w:ascii="Arial" w:hAnsi="Arial" w:eastAsia="Yu Mincho" w:cs="Arial"/>
          <w:b/>
          <w:spacing w:val="-6"/>
          <w:kern w:val="14"/>
          <w:sz w:val="20"/>
          <w:szCs w:val="20"/>
          <w:highlight w:val="yellow"/>
        </w:rPr>
        <w:t>#SellerLegalName#</w:t>
      </w:r>
      <w:r w:rsidRPr="002D2A8F">
        <w:rPr>
          <w:rFonts w:ascii="Arial" w:hAnsi="Arial" w:eastAsia="Times New Roman" w:cs="Arial"/>
          <w:sz w:val="20"/>
          <w:szCs w:val="20"/>
        </w:rPr>
        <w:t xml:space="preserve"> (“</w:t>
      </w:r>
      <w:r w:rsidRPr="000560FB">
        <w:rPr>
          <w:rFonts w:ascii="Arial" w:hAnsi="Arial" w:eastAsia="Times New Roman" w:cs="Arial"/>
          <w:b/>
          <w:bCs/>
          <w:sz w:val="20"/>
          <w:szCs w:val="20"/>
        </w:rPr>
        <w:t>Seller</w:t>
      </w:r>
      <w:r w:rsidRPr="002D2A8F">
        <w:rPr>
          <w:rFonts w:ascii="Arial" w:hAnsi="Arial" w:eastAsia="Times New Roman" w:cs="Arial"/>
          <w:sz w:val="20"/>
          <w:szCs w:val="20"/>
        </w:rPr>
        <w:t>”) (“</w:t>
      </w:r>
      <w:r w:rsidRPr="002D2A8F">
        <w:rPr>
          <w:rFonts w:ascii="Arial" w:hAnsi="Arial" w:eastAsia="Times New Roman" w:cs="Arial"/>
          <w:b/>
          <w:bCs/>
          <w:sz w:val="20"/>
          <w:szCs w:val="20"/>
        </w:rPr>
        <w:t>PPA</w:t>
      </w:r>
      <w:r w:rsidRPr="002D2A8F">
        <w:rPr>
          <w:rFonts w:ascii="Arial" w:hAnsi="Arial" w:eastAsia="Times New Roman" w:cs="Arial"/>
          <w:sz w:val="20"/>
          <w:szCs w:val="20"/>
        </w:rPr>
        <w:t xml:space="preserve">”).  Capitalized terms used herein </w:t>
      </w:r>
      <w:r w:rsidRPr="002D2A8F">
        <w:rPr>
          <w:rFonts w:ascii="Arial" w:hAnsi="Arial" w:cs="Arial"/>
          <w:sz w:val="20"/>
          <w:szCs w:val="20"/>
        </w:rPr>
        <w:t>will</w:t>
      </w:r>
      <w:r w:rsidRPr="002D2A8F" w:rsidDel="00C47FEE">
        <w:rPr>
          <w:rFonts w:ascii="Arial" w:hAnsi="Arial" w:eastAsia="Times New Roman" w:cs="Arial"/>
          <w:sz w:val="20"/>
          <w:szCs w:val="20"/>
        </w:rPr>
        <w:t xml:space="preserve"> </w:t>
      </w:r>
      <w:r w:rsidRPr="002D2A8F">
        <w:rPr>
          <w:rFonts w:ascii="Arial" w:hAnsi="Arial" w:eastAsia="Times New Roman" w:cs="Arial"/>
          <w:sz w:val="20"/>
          <w:szCs w:val="20"/>
        </w:rPr>
        <w:t xml:space="preserve">have the meaning assigned in the </w:t>
      </w:r>
      <w:r w:rsidR="00D56926">
        <w:rPr>
          <w:rFonts w:ascii="Arial" w:hAnsi="Arial" w:eastAsia="Times New Roman" w:cs="Arial"/>
          <w:sz w:val="20"/>
          <w:szCs w:val="20"/>
        </w:rPr>
        <w:t>PPA</w:t>
      </w:r>
      <w:r w:rsidRPr="002D2A8F">
        <w:rPr>
          <w:rFonts w:ascii="Arial" w:hAnsi="Arial" w:eastAsia="Times New Roman" w:cs="Arial"/>
          <w:sz w:val="20"/>
          <w:szCs w:val="20"/>
        </w:rPr>
        <w:t>.</w:t>
      </w:r>
    </w:p>
    <w:p w:rsidRPr="002D2A8F" w:rsidR="002D54C4" w:rsidP="00443731" w:rsidRDefault="002D54C4" w14:paraId="397AE100" w14:textId="77777777">
      <w:pPr>
        <w:suppressAutoHyphens/>
        <w:adjustRightInd w:val="0"/>
        <w:spacing w:after="0"/>
        <w:jc w:val="both"/>
        <w:textAlignment w:val="baseline"/>
        <w:rPr>
          <w:rFonts w:ascii="Arial" w:hAnsi="Arial" w:eastAsia="Times New Roman" w:cs="Arial"/>
          <w:b/>
          <w:sz w:val="20"/>
          <w:szCs w:val="20"/>
        </w:rPr>
      </w:pPr>
    </w:p>
    <w:p w:rsidRPr="002D2A8F" w:rsidR="002D54C4" w:rsidP="00443731" w:rsidRDefault="002D54C4" w14:paraId="3A168216" w14:textId="75BC4D9B">
      <w:pPr>
        <w:suppressAutoHyphens/>
        <w:autoSpaceDE w:val="0"/>
        <w:autoSpaceDN w:val="0"/>
        <w:adjustRightInd w:val="0"/>
        <w:jc w:val="both"/>
        <w:rPr>
          <w:rFonts w:ascii="Arial" w:hAnsi="Arial" w:eastAsia="Calibri" w:cs="Arial"/>
          <w:sz w:val="20"/>
          <w:szCs w:val="20"/>
        </w:rPr>
      </w:pPr>
      <w:bookmarkStart w:name="_DV_C2135" w:id="1264"/>
      <w:r w:rsidRPr="002D2A8F">
        <w:rPr>
          <w:rFonts w:ascii="Arial" w:hAnsi="Arial" w:eastAsia="Calibri" w:cs="Arial"/>
          <w:sz w:val="20"/>
          <w:szCs w:val="20"/>
        </w:rPr>
        <w:t>The undersigned individual, being the</w:t>
      </w:r>
      <w:bookmarkStart w:name="_DV_X1736" w:id="1265"/>
      <w:bookmarkStart w:name="_DV_C2136" w:id="1266"/>
      <w:bookmarkEnd w:id="1264"/>
      <w:r w:rsidRPr="002D2A8F">
        <w:rPr>
          <w:rFonts w:ascii="Arial" w:hAnsi="Arial" w:eastAsia="Calibri" w:cs="Arial"/>
          <w:sz w:val="20"/>
          <w:szCs w:val="20"/>
        </w:rPr>
        <w:t xml:space="preserve"> Chief Financial Officer </w:t>
      </w:r>
      <w:bookmarkStart w:name="_DV_C2137" w:id="1267"/>
      <w:bookmarkEnd w:id="1265"/>
      <w:bookmarkEnd w:id="1266"/>
      <w:r w:rsidRPr="002D2A8F">
        <w:rPr>
          <w:rFonts w:ascii="Arial" w:hAnsi="Arial" w:eastAsia="Calibri" w:cs="Arial"/>
          <w:sz w:val="20"/>
          <w:szCs w:val="20"/>
        </w:rPr>
        <w:t>of Seller</w:t>
      </w:r>
      <w:bookmarkStart w:name="_Ref121294435" w:id="1268"/>
      <w:r w:rsidRPr="002D2A8F">
        <w:rPr>
          <w:rFonts w:ascii="Arial" w:hAnsi="Arial" w:eastAsia="Calibri" w:cs="Arial"/>
          <w:sz w:val="20"/>
          <w:szCs w:val="20"/>
          <w:vertAlign w:val="superscript"/>
        </w:rPr>
        <w:footnoteReference w:id="4"/>
      </w:r>
      <w:bookmarkEnd w:id="1268"/>
      <w:r w:rsidRPr="002D2A8F">
        <w:rPr>
          <w:rFonts w:ascii="Arial" w:hAnsi="Arial" w:eastAsia="Calibri" w:cs="Arial"/>
          <w:sz w:val="20"/>
          <w:szCs w:val="20"/>
        </w:rPr>
        <w:t xml:space="preserve"> and having responsibilities for financial accounting matters associated with this PPA, certifies that this </w:t>
      </w:r>
      <w:r w:rsidRPr="002D2A8F">
        <w:rPr>
          <w:rFonts w:ascii="Arial" w:hAnsi="Arial" w:eastAsia="Times New Roman" w:cs="Arial"/>
          <w:sz w:val="20"/>
          <w:szCs w:val="20"/>
        </w:rPr>
        <w:t xml:space="preserve">PPA </w:t>
      </w:r>
      <w:r w:rsidRPr="002D2A8F">
        <w:rPr>
          <w:rFonts w:ascii="Arial" w:hAnsi="Arial" w:eastAsia="Calibri" w:cs="Arial"/>
          <w:sz w:val="20"/>
          <w:szCs w:val="20"/>
        </w:rPr>
        <w:t>WILL (_____)/WILL NOT (_____) require Seller, over the Term and based on U.S. Generally Accepting Accounting Principles in effect as of the date of this certificate, to deconsolidate on its books and records any assets, liabilities, cash flow, profits, or losses of Seller as a result of GPC being determined to be the Primary Beneficiary. My determination of the most likely accounting treatment of this transaction results from my personal consideration after necessary discussions with relevant officers of</w:t>
      </w:r>
      <w:bookmarkStart w:name="_DV_X2116" w:id="1269"/>
      <w:bookmarkStart w:name="_DV_C2138" w:id="1270"/>
      <w:bookmarkEnd w:id="1267"/>
      <w:r w:rsidRPr="002D2A8F">
        <w:rPr>
          <w:rFonts w:ascii="Arial" w:hAnsi="Arial" w:eastAsia="Calibri" w:cs="Arial"/>
          <w:sz w:val="20"/>
          <w:szCs w:val="20"/>
        </w:rPr>
        <w:t xml:space="preserve"> Accounting Standards Codification (“</w:t>
      </w:r>
      <w:r w:rsidRPr="002D2A8F">
        <w:rPr>
          <w:rFonts w:ascii="Arial" w:hAnsi="Arial" w:eastAsia="Calibri" w:cs="Arial"/>
          <w:b/>
          <w:sz w:val="20"/>
          <w:szCs w:val="20"/>
        </w:rPr>
        <w:t>ASC</w:t>
      </w:r>
      <w:r w:rsidRPr="002D2A8F">
        <w:rPr>
          <w:rFonts w:ascii="Arial" w:hAnsi="Arial" w:eastAsia="Calibri" w:cs="Arial"/>
          <w:sz w:val="20"/>
          <w:szCs w:val="20"/>
        </w:rPr>
        <w:t xml:space="preserve">”) Topic </w:t>
      </w:r>
      <w:bookmarkStart w:name="DocXTextRef461" w:id="1271"/>
      <w:r w:rsidRPr="002D2A8F">
        <w:rPr>
          <w:rFonts w:ascii="Arial" w:hAnsi="Arial" w:eastAsia="Calibri" w:cs="Arial"/>
          <w:sz w:val="20"/>
          <w:szCs w:val="20"/>
        </w:rPr>
        <w:t>810</w:t>
      </w:r>
      <w:bookmarkEnd w:id="1271"/>
      <w:r w:rsidRPr="002D2A8F">
        <w:rPr>
          <w:rFonts w:ascii="Arial" w:hAnsi="Arial" w:eastAsia="Calibri" w:cs="Arial"/>
          <w:sz w:val="20"/>
          <w:szCs w:val="20"/>
        </w:rPr>
        <w:t xml:space="preserve">, </w:t>
      </w:r>
      <w:bookmarkStart w:name="_DV_C2139" w:id="1272"/>
      <w:bookmarkEnd w:id="1269"/>
      <w:bookmarkEnd w:id="1270"/>
      <w:r w:rsidRPr="002D2A8F">
        <w:rPr>
          <w:rFonts w:ascii="Arial" w:hAnsi="Arial" w:eastAsia="Calibri" w:cs="Arial"/>
          <w:sz w:val="20"/>
          <w:szCs w:val="20"/>
        </w:rPr>
        <w:t>Consolidation, and the following factual matters:</w:t>
      </w:r>
      <w:bookmarkEnd w:id="1272"/>
    </w:p>
    <w:p w:rsidRPr="002D2A8F" w:rsidR="002D54C4" w:rsidP="00C1276B" w:rsidRDefault="002D54C4" w14:paraId="0C894B9B" w14:textId="77777777">
      <w:pPr>
        <w:widowControl w:val="0"/>
        <w:numPr>
          <w:ilvl w:val="0"/>
          <w:numId w:val="1"/>
        </w:numPr>
        <w:suppressAutoHyphens/>
        <w:autoSpaceDE w:val="0"/>
        <w:autoSpaceDN w:val="0"/>
        <w:adjustRightInd w:val="0"/>
        <w:spacing w:after="0"/>
        <w:textAlignment w:val="baseline"/>
        <w:rPr>
          <w:rFonts w:ascii="Arial" w:hAnsi="Arial" w:eastAsia="Calibri" w:cs="Arial"/>
          <w:sz w:val="20"/>
          <w:szCs w:val="20"/>
        </w:rPr>
      </w:pPr>
      <w:bookmarkStart w:name="_DV_C2140" w:id="1273"/>
      <w:r w:rsidRPr="002D2A8F">
        <w:rPr>
          <w:rFonts w:ascii="Arial" w:hAnsi="Arial" w:eastAsia="Calibri" w:cs="Arial"/>
          <w:sz w:val="20"/>
          <w:szCs w:val="20"/>
        </w:rPr>
        <w:t>Seller’s accounting policies, procedures, and internal controls are sufficient to provide GPC with an appropriate basis for confirming the information contained herein.</w:t>
      </w:r>
      <w:bookmarkEnd w:id="1273"/>
    </w:p>
    <w:p w:rsidRPr="002D2A8F" w:rsidR="002D54C4" w:rsidP="008D60E3" w:rsidRDefault="002D54C4" w14:paraId="0A2622F9" w14:textId="77777777">
      <w:pPr>
        <w:suppressAutoHyphens/>
        <w:autoSpaceDE w:val="0"/>
        <w:autoSpaceDN w:val="0"/>
        <w:adjustRightInd w:val="0"/>
        <w:spacing w:after="0"/>
        <w:ind w:firstLine="720"/>
        <w:rPr>
          <w:rFonts w:ascii="Arial" w:hAnsi="Arial" w:eastAsia="Calibri" w:cs="Arial"/>
          <w:sz w:val="20"/>
          <w:szCs w:val="20"/>
        </w:rPr>
      </w:pPr>
      <w:bookmarkStart w:name="_DV_C2141" w:id="1274"/>
    </w:p>
    <w:p w:rsidRPr="002D2A8F" w:rsidR="002D54C4" w:rsidP="008D60E3" w:rsidRDefault="002D54C4" w14:paraId="74185DA1" w14:textId="77777777">
      <w:pPr>
        <w:suppressAutoHyphens/>
        <w:autoSpaceDE w:val="0"/>
        <w:autoSpaceDN w:val="0"/>
        <w:adjustRightInd w:val="0"/>
        <w:spacing w:after="0"/>
        <w:ind w:firstLine="720"/>
        <w:rPr>
          <w:rFonts w:ascii="Arial" w:hAnsi="Arial" w:eastAsia="Calibri" w:cs="Arial"/>
          <w:sz w:val="20"/>
          <w:szCs w:val="20"/>
        </w:rPr>
      </w:pPr>
      <w:r w:rsidRPr="002D2A8F">
        <w:rPr>
          <w:rFonts w:ascii="Arial" w:hAnsi="Arial" w:eastAsia="Calibri" w:cs="Arial"/>
          <w:sz w:val="20"/>
          <w:szCs w:val="20"/>
        </w:rPr>
        <w:t>________Yes</w:t>
      </w:r>
      <w:bookmarkEnd w:id="1274"/>
    </w:p>
    <w:p w:rsidRPr="002D2A8F" w:rsidR="002D54C4" w:rsidP="008D60E3" w:rsidRDefault="002D54C4" w14:paraId="65CCEC03" w14:textId="77777777">
      <w:pPr>
        <w:suppressAutoHyphens/>
        <w:autoSpaceDE w:val="0"/>
        <w:autoSpaceDN w:val="0"/>
        <w:adjustRightInd w:val="0"/>
        <w:spacing w:after="0"/>
        <w:ind w:firstLine="720"/>
        <w:rPr>
          <w:rFonts w:ascii="Arial" w:hAnsi="Arial" w:eastAsia="Calibri" w:cs="Arial"/>
          <w:sz w:val="20"/>
          <w:szCs w:val="20"/>
        </w:rPr>
      </w:pPr>
      <w:bookmarkStart w:name="_DV_C2142" w:id="1275"/>
      <w:r w:rsidRPr="002D2A8F">
        <w:rPr>
          <w:rFonts w:ascii="Arial" w:hAnsi="Arial" w:eastAsia="Calibri" w:cs="Arial"/>
          <w:sz w:val="20"/>
          <w:szCs w:val="20"/>
        </w:rPr>
        <w:t>________No (please explain)</w:t>
      </w:r>
      <w:bookmarkEnd w:id="1275"/>
    </w:p>
    <w:p w:rsidRPr="002D2A8F" w:rsidR="002D54C4" w:rsidP="008D60E3" w:rsidRDefault="002D54C4" w14:paraId="0187191E" w14:textId="77777777">
      <w:pPr>
        <w:suppressAutoHyphens/>
        <w:autoSpaceDE w:val="0"/>
        <w:autoSpaceDN w:val="0"/>
        <w:adjustRightInd w:val="0"/>
        <w:spacing w:after="0"/>
        <w:ind w:firstLine="720"/>
        <w:rPr>
          <w:rFonts w:ascii="Arial" w:hAnsi="Arial" w:eastAsia="Calibri" w:cs="Arial"/>
          <w:sz w:val="20"/>
          <w:szCs w:val="20"/>
        </w:rPr>
      </w:pPr>
    </w:p>
    <w:p w:rsidRPr="002D2A8F" w:rsidR="002D54C4" w:rsidP="008D60E3" w:rsidRDefault="002D54C4" w14:paraId="36DB4833" w14:textId="77777777">
      <w:pPr>
        <w:suppressAutoHyphens/>
        <w:autoSpaceDE w:val="0"/>
        <w:autoSpaceDN w:val="0"/>
        <w:adjustRightInd w:val="0"/>
        <w:spacing w:after="0"/>
        <w:ind w:left="720" w:hanging="14"/>
        <w:rPr>
          <w:rFonts w:ascii="Arial" w:hAnsi="Arial" w:eastAsia="Calibri" w:cs="Arial"/>
          <w:iCs/>
          <w:sz w:val="20"/>
          <w:szCs w:val="20"/>
        </w:rPr>
      </w:pPr>
      <w:r w:rsidRPr="002D2A8F">
        <w:rPr>
          <w:rFonts w:ascii="Arial" w:hAnsi="Arial" w:eastAsia="Calibri" w:cs="Arial"/>
          <w:i/>
          <w:sz w:val="20"/>
          <w:szCs w:val="20"/>
        </w:rPr>
        <w:t>Explain:</w:t>
      </w:r>
      <w:r w:rsidRPr="002D2A8F">
        <w:rPr>
          <w:rFonts w:ascii="Arial" w:hAnsi="Arial" w:eastAsia="Calibri" w:cs="Arial"/>
          <w:iCs/>
          <w:sz w:val="20"/>
          <w:szCs w:val="20"/>
        </w:rPr>
        <w:t>_______________________________________________________________________</w:t>
      </w:r>
    </w:p>
    <w:p w:rsidRPr="002D2A8F" w:rsidR="002D54C4" w:rsidP="008D60E3" w:rsidRDefault="002D54C4" w14:paraId="156D9E21" w14:textId="77777777">
      <w:pPr>
        <w:suppressAutoHyphens/>
        <w:autoSpaceDE w:val="0"/>
        <w:autoSpaceDN w:val="0"/>
        <w:adjustRightInd w:val="0"/>
        <w:spacing w:after="0"/>
        <w:ind w:left="720" w:hanging="14"/>
        <w:rPr>
          <w:rFonts w:ascii="Arial" w:hAnsi="Arial" w:eastAsia="Calibri" w:cs="Arial"/>
          <w:sz w:val="20"/>
          <w:szCs w:val="20"/>
        </w:rPr>
      </w:pPr>
    </w:p>
    <w:p w:rsidRPr="002D2A8F" w:rsidR="002D54C4" w:rsidP="00C1276B" w:rsidRDefault="002D54C4" w14:paraId="29580F83" w14:textId="77777777">
      <w:pPr>
        <w:widowControl w:val="0"/>
        <w:numPr>
          <w:ilvl w:val="0"/>
          <w:numId w:val="1"/>
        </w:numPr>
        <w:suppressAutoHyphens/>
        <w:autoSpaceDE w:val="0"/>
        <w:autoSpaceDN w:val="0"/>
        <w:adjustRightInd w:val="0"/>
        <w:spacing w:after="0"/>
        <w:contextualSpacing/>
        <w:textAlignment w:val="baseline"/>
        <w:rPr>
          <w:rFonts w:ascii="Arial" w:hAnsi="Arial" w:eastAsia="Calibri" w:cs="Arial"/>
          <w:sz w:val="20"/>
          <w:szCs w:val="20"/>
        </w:rPr>
      </w:pPr>
      <w:r w:rsidRPr="002D2A8F">
        <w:rPr>
          <w:rFonts w:ascii="Arial" w:hAnsi="Arial" w:eastAsia="Calibri" w:cs="Arial"/>
          <w:sz w:val="20"/>
          <w:szCs w:val="20"/>
        </w:rPr>
        <w:t xml:space="preserve">Seller qualifies for one of the scope exceptions listed in paragraphs </w:t>
      </w:r>
      <w:bookmarkStart w:name="DocXTextRef462" w:id="1276"/>
      <w:r w:rsidRPr="002D2A8F">
        <w:rPr>
          <w:rFonts w:ascii="Arial" w:hAnsi="Arial" w:eastAsia="Calibri" w:cs="Arial"/>
          <w:sz w:val="20"/>
          <w:szCs w:val="20"/>
        </w:rPr>
        <w:t>810</w:t>
      </w:r>
      <w:bookmarkEnd w:id="1276"/>
      <w:r w:rsidRPr="002D2A8F">
        <w:rPr>
          <w:rFonts w:ascii="Arial" w:hAnsi="Arial" w:eastAsia="Calibri" w:cs="Arial"/>
          <w:sz w:val="20"/>
          <w:szCs w:val="20"/>
        </w:rPr>
        <w:t>-</w:t>
      </w:r>
      <w:bookmarkStart w:name="DocXTextRef463" w:id="1277"/>
      <w:r w:rsidRPr="002D2A8F">
        <w:rPr>
          <w:rFonts w:ascii="Arial" w:hAnsi="Arial" w:eastAsia="Calibri" w:cs="Arial"/>
          <w:sz w:val="20"/>
          <w:szCs w:val="20"/>
        </w:rPr>
        <w:t>10</w:t>
      </w:r>
      <w:bookmarkEnd w:id="1277"/>
      <w:r w:rsidRPr="002D2A8F">
        <w:rPr>
          <w:rFonts w:ascii="Arial" w:hAnsi="Arial" w:eastAsia="Calibri" w:cs="Arial"/>
          <w:sz w:val="20"/>
          <w:szCs w:val="20"/>
        </w:rPr>
        <w:t xml:space="preserve">-15-12 and </w:t>
      </w:r>
      <w:bookmarkStart w:name="DocXTextRef466" w:id="1278"/>
      <w:r w:rsidRPr="002D2A8F">
        <w:rPr>
          <w:rFonts w:ascii="Arial" w:hAnsi="Arial" w:eastAsia="Calibri" w:cs="Arial"/>
          <w:sz w:val="20"/>
          <w:szCs w:val="20"/>
        </w:rPr>
        <w:t>810</w:t>
      </w:r>
      <w:bookmarkEnd w:id="1278"/>
      <w:r w:rsidRPr="002D2A8F">
        <w:rPr>
          <w:rFonts w:ascii="Arial" w:hAnsi="Arial" w:eastAsia="Calibri" w:cs="Arial"/>
          <w:sz w:val="20"/>
          <w:szCs w:val="20"/>
        </w:rPr>
        <w:t>-</w:t>
      </w:r>
      <w:bookmarkStart w:name="DocXTextRef464" w:id="1279"/>
      <w:r w:rsidRPr="002D2A8F">
        <w:rPr>
          <w:rFonts w:ascii="Arial" w:hAnsi="Arial" w:eastAsia="Calibri" w:cs="Arial"/>
          <w:sz w:val="20"/>
          <w:szCs w:val="20"/>
        </w:rPr>
        <w:t>10</w:t>
      </w:r>
      <w:bookmarkEnd w:id="1279"/>
      <w:r w:rsidRPr="002D2A8F">
        <w:rPr>
          <w:rFonts w:ascii="Arial" w:hAnsi="Arial" w:eastAsia="Calibri" w:cs="Arial"/>
          <w:sz w:val="20"/>
          <w:szCs w:val="20"/>
        </w:rPr>
        <w:t xml:space="preserve">-15-17 of ASC Topic </w:t>
      </w:r>
      <w:bookmarkStart w:name="DocXTextRef465" w:id="1280"/>
      <w:r w:rsidRPr="002D2A8F">
        <w:rPr>
          <w:rFonts w:ascii="Arial" w:hAnsi="Arial" w:eastAsia="Calibri" w:cs="Arial"/>
          <w:sz w:val="20"/>
          <w:szCs w:val="20"/>
        </w:rPr>
        <w:t>810</w:t>
      </w:r>
      <w:bookmarkEnd w:id="1280"/>
      <w:r w:rsidRPr="002D2A8F">
        <w:rPr>
          <w:rFonts w:ascii="Arial" w:hAnsi="Arial" w:eastAsia="Calibri" w:cs="Arial"/>
          <w:sz w:val="20"/>
          <w:szCs w:val="20"/>
        </w:rPr>
        <w:t xml:space="preserve">. </w:t>
      </w:r>
    </w:p>
    <w:p w:rsidRPr="002D2A8F" w:rsidR="002D54C4" w:rsidP="008D60E3" w:rsidRDefault="002D54C4" w14:paraId="3257DEEB" w14:textId="77777777">
      <w:pPr>
        <w:suppressAutoHyphens/>
        <w:autoSpaceDE w:val="0"/>
        <w:autoSpaceDN w:val="0"/>
        <w:adjustRightInd w:val="0"/>
        <w:spacing w:after="0"/>
        <w:ind w:left="720"/>
        <w:contextualSpacing/>
        <w:rPr>
          <w:rFonts w:ascii="Arial" w:hAnsi="Arial" w:eastAsia="Calibri" w:cs="Arial"/>
          <w:sz w:val="20"/>
          <w:szCs w:val="20"/>
        </w:rPr>
      </w:pPr>
    </w:p>
    <w:p w:rsidRPr="002D2A8F" w:rsidR="002D54C4" w:rsidP="008D60E3" w:rsidRDefault="002D54C4" w14:paraId="700FBE67" w14:textId="77777777">
      <w:pPr>
        <w:suppressAutoHyphens/>
        <w:autoSpaceDE w:val="0"/>
        <w:autoSpaceDN w:val="0"/>
        <w:adjustRightInd w:val="0"/>
        <w:spacing w:after="0"/>
        <w:ind w:left="720"/>
        <w:contextualSpacing/>
        <w:rPr>
          <w:rFonts w:ascii="Arial" w:hAnsi="Arial" w:eastAsia="Calibri" w:cs="Arial"/>
          <w:sz w:val="20"/>
          <w:szCs w:val="20"/>
        </w:rPr>
      </w:pPr>
      <w:bookmarkStart w:name="_DV_C2145" w:id="1281"/>
      <w:r w:rsidRPr="002D2A8F">
        <w:rPr>
          <w:rFonts w:ascii="Arial" w:hAnsi="Arial" w:eastAsia="Calibri" w:cs="Arial"/>
          <w:sz w:val="20"/>
          <w:szCs w:val="20"/>
        </w:rPr>
        <w:t xml:space="preserve">________Yes </w:t>
      </w:r>
    </w:p>
    <w:p w:rsidRPr="002D2A8F" w:rsidR="002D54C4" w:rsidP="008D60E3" w:rsidRDefault="002D54C4" w14:paraId="270857E0" w14:textId="77777777">
      <w:pPr>
        <w:suppressAutoHyphens/>
        <w:autoSpaceDE w:val="0"/>
        <w:autoSpaceDN w:val="0"/>
        <w:adjustRightInd w:val="0"/>
        <w:spacing w:after="0"/>
        <w:ind w:left="720"/>
        <w:contextualSpacing/>
        <w:rPr>
          <w:rFonts w:ascii="Arial" w:hAnsi="Arial" w:eastAsia="Calibri" w:cs="Arial"/>
          <w:sz w:val="20"/>
          <w:szCs w:val="20"/>
        </w:rPr>
      </w:pPr>
      <w:r w:rsidRPr="002D2A8F">
        <w:rPr>
          <w:rFonts w:ascii="Arial" w:hAnsi="Arial" w:eastAsia="Calibri" w:cs="Arial"/>
          <w:sz w:val="20"/>
          <w:szCs w:val="20"/>
        </w:rPr>
        <w:t>________No</w:t>
      </w:r>
      <w:bookmarkEnd w:id="1281"/>
      <w:r w:rsidRPr="002D2A8F">
        <w:rPr>
          <w:rFonts w:ascii="Arial" w:hAnsi="Arial" w:eastAsia="Calibri" w:cs="Arial"/>
          <w:sz w:val="20"/>
          <w:szCs w:val="20"/>
        </w:rPr>
        <w:t xml:space="preserve"> (please explain)</w:t>
      </w:r>
    </w:p>
    <w:p w:rsidRPr="002D2A8F" w:rsidR="002D54C4" w:rsidP="008D60E3" w:rsidRDefault="002D54C4" w14:paraId="061FF9EE" w14:textId="77777777">
      <w:pPr>
        <w:suppressAutoHyphens/>
        <w:autoSpaceDE w:val="0"/>
        <w:autoSpaceDN w:val="0"/>
        <w:adjustRightInd w:val="0"/>
        <w:spacing w:after="0"/>
        <w:ind w:left="720"/>
        <w:contextualSpacing/>
        <w:rPr>
          <w:rFonts w:ascii="Arial" w:hAnsi="Arial" w:eastAsia="Calibri" w:cs="Arial"/>
          <w:sz w:val="20"/>
          <w:szCs w:val="20"/>
        </w:rPr>
      </w:pPr>
    </w:p>
    <w:p w:rsidRPr="002D2A8F" w:rsidR="002D54C4" w:rsidP="008D60E3" w:rsidRDefault="002D54C4" w14:paraId="13C3D2DD" w14:textId="77777777">
      <w:pPr>
        <w:suppressAutoHyphens/>
        <w:autoSpaceDE w:val="0"/>
        <w:autoSpaceDN w:val="0"/>
        <w:adjustRightInd w:val="0"/>
        <w:spacing w:after="0"/>
        <w:ind w:left="720"/>
        <w:contextualSpacing/>
        <w:rPr>
          <w:rFonts w:ascii="Arial" w:hAnsi="Arial" w:eastAsia="Calibri" w:cs="Arial"/>
          <w:sz w:val="20"/>
          <w:szCs w:val="20"/>
        </w:rPr>
      </w:pPr>
      <w:r w:rsidRPr="002D2A8F">
        <w:rPr>
          <w:rFonts w:ascii="Arial" w:hAnsi="Arial" w:eastAsia="Calibri" w:cs="Arial"/>
          <w:i/>
          <w:sz w:val="20"/>
          <w:szCs w:val="20"/>
        </w:rPr>
        <w:t>Explain:</w:t>
      </w:r>
      <w:r w:rsidRPr="002D2A8F">
        <w:rPr>
          <w:rFonts w:ascii="Arial" w:hAnsi="Arial" w:eastAsia="Calibri" w:cs="Arial"/>
          <w:iCs/>
          <w:sz w:val="20"/>
          <w:szCs w:val="20"/>
        </w:rPr>
        <w:t xml:space="preserve">_______________________________________________________________________ </w:t>
      </w:r>
    </w:p>
    <w:p w:rsidRPr="002D2A8F" w:rsidR="002D54C4" w:rsidP="008D60E3" w:rsidRDefault="002D54C4" w14:paraId="5A7D32FD" w14:textId="77777777">
      <w:pPr>
        <w:suppressAutoHyphens/>
        <w:autoSpaceDE w:val="0"/>
        <w:autoSpaceDN w:val="0"/>
        <w:adjustRightInd w:val="0"/>
        <w:spacing w:after="0"/>
        <w:ind w:left="720"/>
        <w:contextualSpacing/>
        <w:rPr>
          <w:rFonts w:ascii="Arial" w:hAnsi="Arial" w:eastAsia="Calibri" w:cs="Arial"/>
          <w:sz w:val="20"/>
          <w:szCs w:val="20"/>
        </w:rPr>
      </w:pPr>
    </w:p>
    <w:p w:rsidRPr="002D2A8F" w:rsidR="002D54C4" w:rsidP="00C1276B" w:rsidRDefault="002D54C4" w14:paraId="1019F16D" w14:textId="77777777">
      <w:pPr>
        <w:widowControl w:val="0"/>
        <w:numPr>
          <w:ilvl w:val="0"/>
          <w:numId w:val="1"/>
        </w:numPr>
        <w:suppressAutoHyphens/>
        <w:autoSpaceDE w:val="0"/>
        <w:autoSpaceDN w:val="0"/>
        <w:adjustRightInd w:val="0"/>
        <w:spacing w:after="0"/>
        <w:contextualSpacing/>
        <w:textAlignment w:val="baseline"/>
        <w:rPr>
          <w:rFonts w:ascii="Arial" w:hAnsi="Arial" w:eastAsia="Calibri" w:cs="Arial"/>
          <w:sz w:val="20"/>
          <w:szCs w:val="20"/>
        </w:rPr>
      </w:pPr>
      <w:r w:rsidRPr="002D2A8F">
        <w:rPr>
          <w:rFonts w:ascii="Arial" w:hAnsi="Arial" w:eastAsia="Calibri" w:cs="Arial"/>
          <w:sz w:val="20"/>
          <w:szCs w:val="20"/>
        </w:rPr>
        <w:t xml:space="preserve">Seller is financed with equity equal to or greater than 10% of Seller’s total assets per paragraphs </w:t>
      </w:r>
      <w:bookmarkStart w:name="DocXTextRef467" w:id="1282"/>
      <w:r w:rsidRPr="002D2A8F">
        <w:rPr>
          <w:rFonts w:ascii="Arial" w:hAnsi="Arial" w:eastAsia="Calibri" w:cs="Arial"/>
          <w:sz w:val="20"/>
          <w:szCs w:val="20"/>
        </w:rPr>
        <w:t>810</w:t>
      </w:r>
      <w:bookmarkEnd w:id="1282"/>
      <w:r w:rsidRPr="002D2A8F">
        <w:rPr>
          <w:rFonts w:ascii="Arial" w:hAnsi="Arial" w:eastAsia="Calibri" w:cs="Arial"/>
          <w:sz w:val="20"/>
          <w:szCs w:val="20"/>
        </w:rPr>
        <w:t>-</w:t>
      </w:r>
      <w:bookmarkStart w:name="DocXTextRef468" w:id="1283"/>
      <w:r w:rsidRPr="002D2A8F">
        <w:rPr>
          <w:rFonts w:ascii="Arial" w:hAnsi="Arial" w:eastAsia="Calibri" w:cs="Arial"/>
          <w:sz w:val="20"/>
          <w:szCs w:val="20"/>
        </w:rPr>
        <w:t>10</w:t>
      </w:r>
      <w:bookmarkEnd w:id="1283"/>
      <w:r w:rsidRPr="002D2A8F">
        <w:rPr>
          <w:rFonts w:ascii="Arial" w:hAnsi="Arial" w:eastAsia="Calibri" w:cs="Arial"/>
          <w:sz w:val="20"/>
          <w:szCs w:val="20"/>
        </w:rPr>
        <w:t xml:space="preserve">-25-45 to </w:t>
      </w:r>
      <w:bookmarkStart w:name="DocXTextRef470" w:id="1284"/>
      <w:r w:rsidRPr="002D2A8F">
        <w:rPr>
          <w:rFonts w:ascii="Arial" w:hAnsi="Arial" w:eastAsia="Calibri" w:cs="Arial"/>
          <w:sz w:val="20"/>
          <w:szCs w:val="20"/>
        </w:rPr>
        <w:t>47</w:t>
      </w:r>
      <w:bookmarkEnd w:id="1284"/>
      <w:r w:rsidRPr="002D2A8F">
        <w:rPr>
          <w:rFonts w:ascii="Arial" w:hAnsi="Arial" w:eastAsia="Calibri" w:cs="Arial"/>
          <w:sz w:val="20"/>
          <w:szCs w:val="20"/>
        </w:rPr>
        <w:t xml:space="preserve"> of ASC Topic </w:t>
      </w:r>
      <w:bookmarkStart w:name="DocXTextRef469" w:id="1285"/>
      <w:r w:rsidRPr="002D2A8F">
        <w:rPr>
          <w:rFonts w:ascii="Arial" w:hAnsi="Arial" w:eastAsia="Calibri" w:cs="Arial"/>
          <w:sz w:val="20"/>
          <w:szCs w:val="20"/>
        </w:rPr>
        <w:t>810</w:t>
      </w:r>
      <w:bookmarkEnd w:id="1285"/>
      <w:r w:rsidRPr="002D2A8F">
        <w:rPr>
          <w:rFonts w:ascii="Arial" w:hAnsi="Arial" w:eastAsia="Calibri" w:cs="Arial"/>
          <w:sz w:val="20"/>
          <w:szCs w:val="20"/>
        </w:rPr>
        <w:t>.</w:t>
      </w:r>
    </w:p>
    <w:p w:rsidRPr="002D2A8F" w:rsidR="002D54C4" w:rsidP="008D60E3" w:rsidRDefault="002D54C4" w14:paraId="4E4F8A16" w14:textId="77777777">
      <w:pPr>
        <w:suppressAutoHyphens/>
        <w:autoSpaceDE w:val="0"/>
        <w:autoSpaceDN w:val="0"/>
        <w:adjustRightInd w:val="0"/>
        <w:spacing w:after="0"/>
        <w:ind w:firstLine="720"/>
        <w:rPr>
          <w:rFonts w:ascii="Arial" w:hAnsi="Arial" w:eastAsia="Calibri" w:cs="Arial"/>
          <w:sz w:val="20"/>
          <w:szCs w:val="20"/>
        </w:rPr>
      </w:pPr>
    </w:p>
    <w:p w:rsidRPr="002D2A8F" w:rsidR="002D54C4" w:rsidP="008D60E3" w:rsidRDefault="002D54C4" w14:paraId="5C713D44" w14:textId="77777777">
      <w:pPr>
        <w:suppressAutoHyphens/>
        <w:autoSpaceDE w:val="0"/>
        <w:autoSpaceDN w:val="0"/>
        <w:adjustRightInd w:val="0"/>
        <w:spacing w:after="0"/>
        <w:ind w:firstLine="720"/>
        <w:rPr>
          <w:rFonts w:ascii="Arial" w:hAnsi="Arial" w:eastAsia="Calibri" w:cs="Arial"/>
          <w:sz w:val="20"/>
          <w:szCs w:val="20"/>
        </w:rPr>
      </w:pPr>
      <w:r w:rsidRPr="002D2A8F">
        <w:rPr>
          <w:rFonts w:ascii="Arial" w:hAnsi="Arial" w:eastAsia="Calibri" w:cs="Arial"/>
          <w:sz w:val="20"/>
          <w:szCs w:val="20"/>
        </w:rPr>
        <w:t xml:space="preserve">________Yes </w:t>
      </w:r>
    </w:p>
    <w:p w:rsidRPr="002D2A8F" w:rsidR="002D54C4" w:rsidP="008D60E3" w:rsidRDefault="002D54C4" w14:paraId="7F483A48" w14:textId="77777777">
      <w:pPr>
        <w:suppressAutoHyphens/>
        <w:autoSpaceDE w:val="0"/>
        <w:autoSpaceDN w:val="0"/>
        <w:adjustRightInd w:val="0"/>
        <w:spacing w:after="0"/>
        <w:ind w:firstLine="720"/>
        <w:rPr>
          <w:rFonts w:ascii="Arial" w:hAnsi="Arial" w:eastAsia="Calibri" w:cs="Arial"/>
          <w:sz w:val="20"/>
          <w:szCs w:val="20"/>
        </w:rPr>
      </w:pPr>
      <w:r w:rsidRPr="002D2A8F">
        <w:rPr>
          <w:rFonts w:ascii="Arial" w:hAnsi="Arial" w:eastAsia="Calibri" w:cs="Arial"/>
          <w:sz w:val="20"/>
          <w:szCs w:val="20"/>
        </w:rPr>
        <w:t>________No (please explain)</w:t>
      </w:r>
    </w:p>
    <w:p w:rsidRPr="002D2A8F" w:rsidR="002D54C4" w:rsidP="008D60E3" w:rsidRDefault="002D54C4" w14:paraId="10F0E188" w14:textId="77777777">
      <w:pPr>
        <w:suppressAutoHyphens/>
        <w:autoSpaceDE w:val="0"/>
        <w:autoSpaceDN w:val="0"/>
        <w:adjustRightInd w:val="0"/>
        <w:spacing w:after="0"/>
        <w:ind w:firstLine="720"/>
        <w:rPr>
          <w:rFonts w:ascii="Arial" w:hAnsi="Arial" w:eastAsia="Calibri" w:cs="Arial"/>
          <w:sz w:val="20"/>
          <w:szCs w:val="20"/>
        </w:rPr>
      </w:pPr>
    </w:p>
    <w:p w:rsidRPr="002D2A8F" w:rsidR="002D54C4" w:rsidP="008D60E3" w:rsidRDefault="002D54C4" w14:paraId="0408DE2D" w14:textId="77777777">
      <w:pPr>
        <w:suppressAutoHyphens/>
        <w:autoSpaceDE w:val="0"/>
        <w:autoSpaceDN w:val="0"/>
        <w:adjustRightInd w:val="0"/>
        <w:spacing w:after="0"/>
        <w:ind w:left="720" w:hanging="14"/>
        <w:rPr>
          <w:rFonts w:ascii="Arial" w:hAnsi="Arial" w:eastAsia="Calibri" w:cs="Arial"/>
          <w:iCs/>
          <w:sz w:val="20"/>
          <w:szCs w:val="20"/>
        </w:rPr>
      </w:pPr>
      <w:r w:rsidRPr="002D2A8F">
        <w:rPr>
          <w:rFonts w:ascii="Arial" w:hAnsi="Arial" w:eastAsia="Calibri" w:cs="Arial"/>
          <w:i/>
          <w:sz w:val="20"/>
          <w:szCs w:val="20"/>
        </w:rPr>
        <w:t>Explain</w:t>
      </w:r>
      <w:r w:rsidRPr="002D2A8F">
        <w:rPr>
          <w:rFonts w:ascii="Arial" w:hAnsi="Arial" w:eastAsia="Calibri" w:cs="Arial"/>
          <w:iCs/>
          <w:sz w:val="20"/>
          <w:szCs w:val="20"/>
        </w:rPr>
        <w:t>:_______________________________________________________________________</w:t>
      </w:r>
    </w:p>
    <w:p w:rsidRPr="002D2A8F" w:rsidR="002D54C4" w:rsidP="008D60E3" w:rsidRDefault="002D54C4" w14:paraId="63400790" w14:textId="77777777">
      <w:pPr>
        <w:suppressAutoHyphens/>
        <w:autoSpaceDE w:val="0"/>
        <w:autoSpaceDN w:val="0"/>
        <w:adjustRightInd w:val="0"/>
        <w:spacing w:after="0"/>
        <w:ind w:left="720" w:hanging="14"/>
        <w:rPr>
          <w:rFonts w:ascii="Arial" w:hAnsi="Arial" w:eastAsia="Calibri" w:cs="Arial"/>
          <w:iCs/>
          <w:sz w:val="20"/>
          <w:szCs w:val="20"/>
        </w:rPr>
      </w:pPr>
    </w:p>
    <w:p w:rsidRPr="002D2A8F" w:rsidR="002D54C4" w:rsidP="00C1276B" w:rsidRDefault="002D54C4" w14:paraId="2A6F0764" w14:textId="77777777">
      <w:pPr>
        <w:widowControl w:val="0"/>
        <w:numPr>
          <w:ilvl w:val="0"/>
          <w:numId w:val="1"/>
        </w:numPr>
        <w:suppressAutoHyphens/>
        <w:autoSpaceDE w:val="0"/>
        <w:autoSpaceDN w:val="0"/>
        <w:adjustRightInd w:val="0"/>
        <w:spacing w:after="0"/>
        <w:contextualSpacing/>
        <w:textAlignment w:val="baseline"/>
        <w:rPr>
          <w:rFonts w:ascii="Arial" w:hAnsi="Arial" w:eastAsia="Calibri" w:cs="Arial"/>
          <w:sz w:val="20"/>
          <w:szCs w:val="20"/>
        </w:rPr>
      </w:pPr>
      <w:r w:rsidRPr="002D2A8F">
        <w:rPr>
          <w:rFonts w:ascii="Arial" w:hAnsi="Arial" w:eastAsia="Calibri" w:cs="Arial"/>
          <w:sz w:val="20"/>
          <w:szCs w:val="20"/>
        </w:rPr>
        <w:lastRenderedPageBreak/>
        <w:t xml:space="preserve">The </w:t>
      </w:r>
      <w:r w:rsidRPr="002D2A8F">
        <w:rPr>
          <w:rFonts w:ascii="Arial" w:hAnsi="Arial" w:eastAsia="Times New Roman" w:cs="Arial"/>
          <w:sz w:val="20"/>
          <w:szCs w:val="20"/>
        </w:rPr>
        <w:t>PPA</w:t>
      </w:r>
      <w:r w:rsidRPr="002D2A8F">
        <w:rPr>
          <w:rFonts w:ascii="Arial" w:hAnsi="Arial" w:eastAsia="Calibri" w:cs="Arial"/>
          <w:sz w:val="20"/>
          <w:szCs w:val="20"/>
        </w:rPr>
        <w:t xml:space="preserve"> revenues correlate with fluctuations in Seller’s operating cash flows (operating expenses). </w:t>
      </w:r>
    </w:p>
    <w:p w:rsidRPr="002D2A8F" w:rsidR="002D54C4" w:rsidP="008D60E3" w:rsidRDefault="002D54C4" w14:paraId="007B4646" w14:textId="77777777">
      <w:pPr>
        <w:suppressAutoHyphens/>
        <w:autoSpaceDE w:val="0"/>
        <w:autoSpaceDN w:val="0"/>
        <w:adjustRightInd w:val="0"/>
        <w:spacing w:after="0"/>
        <w:ind w:firstLine="720"/>
        <w:rPr>
          <w:rFonts w:ascii="Arial" w:hAnsi="Arial" w:eastAsia="Calibri" w:cs="Arial"/>
          <w:sz w:val="20"/>
          <w:szCs w:val="20"/>
        </w:rPr>
      </w:pPr>
    </w:p>
    <w:p w:rsidRPr="002D2A8F" w:rsidR="002D54C4" w:rsidP="008D60E3" w:rsidRDefault="002D54C4" w14:paraId="14438EB9" w14:textId="77777777">
      <w:pPr>
        <w:suppressAutoHyphens/>
        <w:autoSpaceDE w:val="0"/>
        <w:autoSpaceDN w:val="0"/>
        <w:adjustRightInd w:val="0"/>
        <w:spacing w:after="0"/>
        <w:ind w:firstLine="720"/>
        <w:rPr>
          <w:rFonts w:ascii="Arial" w:hAnsi="Arial" w:eastAsia="Calibri" w:cs="Arial"/>
          <w:sz w:val="20"/>
          <w:szCs w:val="20"/>
        </w:rPr>
      </w:pPr>
      <w:r w:rsidRPr="002D2A8F">
        <w:rPr>
          <w:rFonts w:ascii="Arial" w:hAnsi="Arial" w:eastAsia="Calibri" w:cs="Arial"/>
          <w:sz w:val="20"/>
          <w:szCs w:val="20"/>
        </w:rPr>
        <w:t xml:space="preserve">________Yes </w:t>
      </w:r>
    </w:p>
    <w:p w:rsidRPr="002D2A8F" w:rsidR="002D54C4" w:rsidP="008D60E3" w:rsidRDefault="002D54C4" w14:paraId="7EC717E3" w14:textId="77777777">
      <w:pPr>
        <w:suppressAutoHyphens/>
        <w:autoSpaceDE w:val="0"/>
        <w:autoSpaceDN w:val="0"/>
        <w:adjustRightInd w:val="0"/>
        <w:spacing w:after="0"/>
        <w:ind w:firstLine="720"/>
        <w:rPr>
          <w:rFonts w:ascii="Arial" w:hAnsi="Arial" w:eastAsia="Calibri" w:cs="Arial"/>
          <w:sz w:val="20"/>
          <w:szCs w:val="20"/>
        </w:rPr>
      </w:pPr>
      <w:r w:rsidRPr="002D2A8F">
        <w:rPr>
          <w:rFonts w:ascii="Arial" w:hAnsi="Arial" w:eastAsia="Calibri" w:cs="Arial"/>
          <w:sz w:val="20"/>
          <w:szCs w:val="20"/>
        </w:rPr>
        <w:t>________No (please explain)</w:t>
      </w:r>
    </w:p>
    <w:p w:rsidRPr="002D2A8F" w:rsidR="002D54C4" w:rsidP="008D60E3" w:rsidRDefault="002D54C4" w14:paraId="36EC4C26" w14:textId="77777777">
      <w:pPr>
        <w:suppressAutoHyphens/>
        <w:autoSpaceDE w:val="0"/>
        <w:autoSpaceDN w:val="0"/>
        <w:adjustRightInd w:val="0"/>
        <w:spacing w:after="0"/>
        <w:ind w:firstLine="720"/>
        <w:rPr>
          <w:rFonts w:ascii="Arial" w:hAnsi="Arial" w:eastAsia="Calibri" w:cs="Arial"/>
          <w:sz w:val="20"/>
          <w:szCs w:val="20"/>
        </w:rPr>
      </w:pPr>
    </w:p>
    <w:p w:rsidRPr="002D2A8F" w:rsidR="002D54C4" w:rsidP="008D60E3" w:rsidRDefault="002D54C4" w14:paraId="22322699" w14:textId="77777777">
      <w:pPr>
        <w:suppressAutoHyphens/>
        <w:autoSpaceDE w:val="0"/>
        <w:autoSpaceDN w:val="0"/>
        <w:adjustRightInd w:val="0"/>
        <w:spacing w:after="0"/>
        <w:ind w:left="720"/>
        <w:rPr>
          <w:rFonts w:ascii="Arial" w:hAnsi="Arial" w:eastAsia="Calibri" w:cs="Arial"/>
          <w:iCs/>
          <w:sz w:val="20"/>
          <w:szCs w:val="20"/>
        </w:rPr>
      </w:pPr>
      <w:r w:rsidRPr="002D2A8F">
        <w:rPr>
          <w:rFonts w:ascii="Arial" w:hAnsi="Arial" w:eastAsia="Calibri" w:cs="Arial"/>
          <w:i/>
          <w:sz w:val="20"/>
          <w:szCs w:val="20"/>
        </w:rPr>
        <w:t>Explain</w:t>
      </w:r>
      <w:r w:rsidRPr="002D2A8F">
        <w:rPr>
          <w:rFonts w:ascii="Arial" w:hAnsi="Arial" w:eastAsia="Calibri" w:cs="Arial"/>
          <w:iCs/>
          <w:sz w:val="20"/>
          <w:szCs w:val="20"/>
        </w:rPr>
        <w:t xml:space="preserve">:_______________________________________________________________________ </w:t>
      </w:r>
    </w:p>
    <w:p w:rsidRPr="002D2A8F" w:rsidR="002D54C4" w:rsidP="008D60E3" w:rsidRDefault="002D54C4" w14:paraId="78FF786C" w14:textId="77777777">
      <w:pPr>
        <w:suppressAutoHyphens/>
        <w:autoSpaceDE w:val="0"/>
        <w:autoSpaceDN w:val="0"/>
        <w:adjustRightInd w:val="0"/>
        <w:spacing w:after="0"/>
        <w:ind w:firstLine="720"/>
        <w:rPr>
          <w:rFonts w:ascii="Arial" w:hAnsi="Arial" w:eastAsia="Calibri" w:cs="Arial"/>
          <w:iCs/>
          <w:sz w:val="20"/>
          <w:szCs w:val="20"/>
        </w:rPr>
      </w:pPr>
    </w:p>
    <w:p w:rsidRPr="002D2A8F" w:rsidR="002D54C4" w:rsidP="00C1276B" w:rsidRDefault="002D54C4" w14:paraId="7BBBB3F4" w14:textId="5D0DD952">
      <w:pPr>
        <w:pStyle w:val="ListParagraph"/>
        <w:numPr>
          <w:ilvl w:val="0"/>
          <w:numId w:val="1"/>
        </w:numPr>
        <w:jc w:val="left"/>
        <w:rPr>
          <w:rFonts w:ascii="Arial" w:hAnsi="Arial" w:cs="Arial"/>
          <w:sz w:val="20"/>
          <w:szCs w:val="20"/>
        </w:rPr>
      </w:pPr>
      <w:r w:rsidRPr="002D2A8F">
        <w:rPr>
          <w:rFonts w:ascii="Arial" w:hAnsi="Arial" w:cs="Arial"/>
          <w:sz w:val="20"/>
          <w:szCs w:val="20"/>
        </w:rPr>
        <w:t xml:space="preserve">The </w:t>
      </w:r>
      <w:r w:rsidRPr="002D2A8F">
        <w:rPr>
          <w:rFonts w:ascii="Arial" w:hAnsi="Arial" w:eastAsia="Times New Roman" w:cs="Arial"/>
          <w:sz w:val="20"/>
          <w:szCs w:val="20"/>
        </w:rPr>
        <w:t>PPA</w:t>
      </w:r>
      <w:r w:rsidRPr="002D2A8F">
        <w:rPr>
          <w:rFonts w:ascii="Arial" w:hAnsi="Arial" w:cs="Arial"/>
          <w:sz w:val="20"/>
          <w:szCs w:val="20"/>
        </w:rPr>
        <w:t xml:space="preserve"> reduces variability in the fair value of Seller’s assets, for example by absorbing fuel or electricity price risk. </w:t>
      </w:r>
    </w:p>
    <w:p w:rsidRPr="002D2A8F" w:rsidR="002D54C4" w:rsidP="008D60E3" w:rsidRDefault="002D54C4" w14:paraId="6AF3870F" w14:textId="77777777">
      <w:pPr>
        <w:suppressAutoHyphens/>
        <w:autoSpaceDE w:val="0"/>
        <w:autoSpaceDN w:val="0"/>
        <w:adjustRightInd w:val="0"/>
        <w:spacing w:after="0"/>
        <w:rPr>
          <w:rFonts w:ascii="Arial" w:hAnsi="Arial" w:eastAsia="Calibri" w:cs="Arial"/>
          <w:sz w:val="20"/>
          <w:szCs w:val="20"/>
        </w:rPr>
      </w:pPr>
    </w:p>
    <w:p w:rsidRPr="002D2A8F" w:rsidR="002D54C4" w:rsidP="008D60E3" w:rsidRDefault="002D54C4" w14:paraId="1B912830" w14:textId="77777777">
      <w:pPr>
        <w:suppressAutoHyphens/>
        <w:autoSpaceDE w:val="0"/>
        <w:autoSpaceDN w:val="0"/>
        <w:adjustRightInd w:val="0"/>
        <w:spacing w:after="0"/>
        <w:ind w:firstLine="720"/>
        <w:rPr>
          <w:rFonts w:ascii="Arial" w:hAnsi="Arial" w:eastAsia="Calibri" w:cs="Arial"/>
          <w:sz w:val="20"/>
          <w:szCs w:val="20"/>
        </w:rPr>
      </w:pPr>
      <w:r w:rsidRPr="002D2A8F">
        <w:rPr>
          <w:rFonts w:ascii="Arial" w:hAnsi="Arial" w:eastAsia="Calibri" w:cs="Arial"/>
          <w:sz w:val="20"/>
          <w:szCs w:val="20"/>
        </w:rPr>
        <w:t xml:space="preserve">_______Yes </w:t>
      </w:r>
    </w:p>
    <w:p w:rsidRPr="002D2A8F" w:rsidR="002D54C4" w:rsidP="008D60E3" w:rsidRDefault="002D54C4" w14:paraId="2ABF75E8" w14:textId="77777777">
      <w:pPr>
        <w:suppressAutoHyphens/>
        <w:autoSpaceDE w:val="0"/>
        <w:autoSpaceDN w:val="0"/>
        <w:adjustRightInd w:val="0"/>
        <w:spacing w:after="0"/>
        <w:ind w:firstLine="720"/>
        <w:rPr>
          <w:rFonts w:ascii="Arial" w:hAnsi="Arial" w:eastAsia="Calibri" w:cs="Arial"/>
          <w:sz w:val="20"/>
          <w:szCs w:val="20"/>
        </w:rPr>
      </w:pPr>
      <w:r w:rsidRPr="002D2A8F">
        <w:rPr>
          <w:rFonts w:ascii="Arial" w:hAnsi="Arial" w:eastAsia="Calibri" w:cs="Arial"/>
          <w:sz w:val="20"/>
          <w:szCs w:val="20"/>
        </w:rPr>
        <w:t>_______No (please explain)</w:t>
      </w:r>
    </w:p>
    <w:p w:rsidRPr="002D2A8F" w:rsidR="002D54C4" w:rsidP="008D60E3" w:rsidRDefault="002D54C4" w14:paraId="0E1B0F2A" w14:textId="77777777">
      <w:pPr>
        <w:suppressAutoHyphens/>
        <w:autoSpaceDE w:val="0"/>
        <w:autoSpaceDN w:val="0"/>
        <w:adjustRightInd w:val="0"/>
        <w:spacing w:after="0"/>
        <w:ind w:firstLine="720"/>
        <w:rPr>
          <w:rFonts w:ascii="Arial" w:hAnsi="Arial" w:eastAsia="Calibri" w:cs="Arial"/>
          <w:sz w:val="20"/>
          <w:szCs w:val="20"/>
        </w:rPr>
      </w:pPr>
    </w:p>
    <w:p w:rsidRPr="002D2A8F" w:rsidR="002D54C4" w:rsidP="008D60E3" w:rsidRDefault="002D54C4" w14:paraId="3F21757B" w14:textId="77777777">
      <w:pPr>
        <w:suppressAutoHyphens/>
        <w:autoSpaceDE w:val="0"/>
        <w:autoSpaceDN w:val="0"/>
        <w:adjustRightInd w:val="0"/>
        <w:spacing w:after="0"/>
        <w:ind w:left="720"/>
        <w:rPr>
          <w:rFonts w:ascii="Arial" w:hAnsi="Arial" w:eastAsia="Calibri" w:cs="Arial"/>
          <w:iCs/>
          <w:sz w:val="20"/>
          <w:szCs w:val="20"/>
        </w:rPr>
      </w:pPr>
      <w:r w:rsidRPr="002D2A8F">
        <w:rPr>
          <w:rFonts w:ascii="Arial" w:hAnsi="Arial" w:eastAsia="Calibri" w:cs="Arial"/>
          <w:i/>
          <w:sz w:val="20"/>
          <w:szCs w:val="20"/>
        </w:rPr>
        <w:t>Explain</w:t>
      </w:r>
      <w:r w:rsidRPr="002D2A8F">
        <w:rPr>
          <w:rFonts w:ascii="Arial" w:hAnsi="Arial" w:eastAsia="Calibri" w:cs="Arial"/>
          <w:iCs/>
          <w:sz w:val="20"/>
          <w:szCs w:val="20"/>
        </w:rPr>
        <w:t xml:space="preserve">:_______________________________________________________________________ </w:t>
      </w:r>
    </w:p>
    <w:p w:rsidRPr="002D2A8F" w:rsidR="002D54C4" w:rsidP="008D60E3" w:rsidRDefault="002D54C4" w14:paraId="01A4C482" w14:textId="77777777">
      <w:pPr>
        <w:suppressAutoHyphens/>
        <w:autoSpaceDE w:val="0"/>
        <w:autoSpaceDN w:val="0"/>
        <w:adjustRightInd w:val="0"/>
        <w:spacing w:after="0"/>
        <w:ind w:left="720"/>
        <w:contextualSpacing/>
        <w:rPr>
          <w:rFonts w:ascii="Arial" w:hAnsi="Arial" w:eastAsia="Calibri" w:cs="Arial"/>
          <w:iCs/>
          <w:sz w:val="20"/>
          <w:szCs w:val="20"/>
        </w:rPr>
      </w:pPr>
    </w:p>
    <w:p w:rsidRPr="002D2A8F" w:rsidR="002D54C4" w:rsidP="00C1276B" w:rsidRDefault="002D54C4" w14:paraId="29135405" w14:textId="77777777">
      <w:pPr>
        <w:widowControl w:val="0"/>
        <w:numPr>
          <w:ilvl w:val="0"/>
          <w:numId w:val="1"/>
        </w:numPr>
        <w:suppressAutoHyphens/>
        <w:autoSpaceDE w:val="0"/>
        <w:autoSpaceDN w:val="0"/>
        <w:adjustRightInd w:val="0"/>
        <w:spacing w:after="0"/>
        <w:contextualSpacing/>
        <w:textAlignment w:val="baseline"/>
        <w:rPr>
          <w:rFonts w:ascii="Arial" w:hAnsi="Arial" w:eastAsia="Calibri" w:cs="Arial"/>
          <w:sz w:val="20"/>
          <w:szCs w:val="20"/>
        </w:rPr>
      </w:pPr>
      <w:r w:rsidRPr="002D2A8F">
        <w:rPr>
          <w:rFonts w:ascii="Arial" w:hAnsi="Arial" w:eastAsia="Calibri" w:cs="Arial"/>
          <w:sz w:val="20"/>
          <w:szCs w:val="20"/>
        </w:rPr>
        <w:t xml:space="preserve">The </w:t>
      </w:r>
      <w:r w:rsidRPr="002D2A8F">
        <w:rPr>
          <w:rFonts w:ascii="Arial" w:hAnsi="Arial" w:eastAsia="Times New Roman" w:cs="Arial"/>
          <w:sz w:val="20"/>
          <w:szCs w:val="20"/>
        </w:rPr>
        <w:t>PPA</w:t>
      </w:r>
      <w:r w:rsidRPr="002D2A8F">
        <w:rPr>
          <w:rFonts w:ascii="Arial" w:hAnsi="Arial" w:eastAsia="Calibri" w:cs="Arial"/>
          <w:sz w:val="20"/>
          <w:szCs w:val="20"/>
        </w:rPr>
        <w:t xml:space="preserve"> Term is for greater than 50% of the remaining economic life of the unit.</w:t>
      </w:r>
    </w:p>
    <w:p w:rsidRPr="002D2A8F" w:rsidR="002D54C4" w:rsidP="008D60E3" w:rsidRDefault="002D54C4" w14:paraId="658AFE69" w14:textId="77777777">
      <w:pPr>
        <w:suppressAutoHyphens/>
        <w:autoSpaceDE w:val="0"/>
        <w:autoSpaceDN w:val="0"/>
        <w:adjustRightInd w:val="0"/>
        <w:spacing w:after="0"/>
        <w:ind w:firstLine="720"/>
        <w:rPr>
          <w:rFonts w:ascii="Arial" w:hAnsi="Arial" w:eastAsia="Calibri" w:cs="Arial"/>
          <w:sz w:val="20"/>
          <w:szCs w:val="20"/>
        </w:rPr>
      </w:pPr>
    </w:p>
    <w:p w:rsidRPr="002D2A8F" w:rsidR="002D54C4" w:rsidP="008D60E3" w:rsidRDefault="002D54C4" w14:paraId="204EE923" w14:textId="77777777">
      <w:pPr>
        <w:suppressAutoHyphens/>
        <w:autoSpaceDE w:val="0"/>
        <w:autoSpaceDN w:val="0"/>
        <w:adjustRightInd w:val="0"/>
        <w:spacing w:after="0"/>
        <w:ind w:firstLine="720"/>
        <w:rPr>
          <w:rFonts w:ascii="Arial" w:hAnsi="Arial" w:eastAsia="Calibri" w:cs="Arial"/>
          <w:sz w:val="20"/>
          <w:szCs w:val="20"/>
        </w:rPr>
      </w:pPr>
      <w:r w:rsidRPr="002D2A8F">
        <w:rPr>
          <w:rFonts w:ascii="Arial" w:hAnsi="Arial" w:eastAsia="Calibri" w:cs="Arial"/>
          <w:sz w:val="20"/>
          <w:szCs w:val="20"/>
        </w:rPr>
        <w:t>________Yes</w:t>
      </w:r>
    </w:p>
    <w:p w:rsidRPr="002D2A8F" w:rsidR="002D54C4" w:rsidP="008D60E3" w:rsidRDefault="002D54C4" w14:paraId="0E529D90" w14:textId="77777777">
      <w:pPr>
        <w:suppressAutoHyphens/>
        <w:autoSpaceDE w:val="0"/>
        <w:autoSpaceDN w:val="0"/>
        <w:adjustRightInd w:val="0"/>
        <w:spacing w:after="0"/>
        <w:ind w:firstLine="720"/>
        <w:rPr>
          <w:rFonts w:ascii="Arial" w:hAnsi="Arial" w:eastAsia="Calibri" w:cs="Arial"/>
          <w:sz w:val="20"/>
          <w:szCs w:val="20"/>
        </w:rPr>
      </w:pPr>
      <w:r w:rsidRPr="002D2A8F">
        <w:rPr>
          <w:rFonts w:ascii="Arial" w:hAnsi="Arial" w:eastAsia="Calibri" w:cs="Arial"/>
          <w:sz w:val="20"/>
          <w:szCs w:val="20"/>
        </w:rPr>
        <w:t xml:space="preserve">________No </w:t>
      </w:r>
    </w:p>
    <w:p w:rsidRPr="002D2A8F" w:rsidR="002D54C4" w:rsidP="008D60E3" w:rsidRDefault="002D54C4" w14:paraId="1273597C" w14:textId="77777777">
      <w:pPr>
        <w:suppressAutoHyphens/>
        <w:autoSpaceDE w:val="0"/>
        <w:autoSpaceDN w:val="0"/>
        <w:adjustRightInd w:val="0"/>
        <w:spacing w:after="0"/>
        <w:ind w:firstLine="720"/>
        <w:rPr>
          <w:rFonts w:ascii="Arial" w:hAnsi="Arial" w:eastAsia="Calibri" w:cs="Arial"/>
          <w:sz w:val="20"/>
          <w:szCs w:val="20"/>
        </w:rPr>
      </w:pPr>
    </w:p>
    <w:p w:rsidRPr="002D2A8F" w:rsidR="002D54C4" w:rsidP="00C1276B" w:rsidRDefault="002D54C4" w14:paraId="6E3C980D" w14:textId="77777777">
      <w:pPr>
        <w:widowControl w:val="0"/>
        <w:numPr>
          <w:ilvl w:val="0"/>
          <w:numId w:val="1"/>
        </w:numPr>
        <w:suppressAutoHyphens/>
        <w:autoSpaceDE w:val="0"/>
        <w:autoSpaceDN w:val="0"/>
        <w:adjustRightInd w:val="0"/>
        <w:spacing w:after="0"/>
        <w:contextualSpacing/>
        <w:textAlignment w:val="baseline"/>
        <w:rPr>
          <w:rFonts w:ascii="Arial" w:hAnsi="Arial" w:eastAsia="Calibri" w:cs="Arial"/>
          <w:sz w:val="20"/>
          <w:szCs w:val="20"/>
        </w:rPr>
      </w:pPr>
      <w:bookmarkStart w:name="_DV_C2158" w:id="1286"/>
      <w:r w:rsidRPr="002D2A8F">
        <w:rPr>
          <w:rFonts w:ascii="Arial" w:hAnsi="Arial" w:eastAsia="Calibri" w:cs="Arial"/>
          <w:sz w:val="20"/>
          <w:szCs w:val="20"/>
        </w:rPr>
        <w:t xml:space="preserve">The </w:t>
      </w:r>
      <w:r w:rsidRPr="002D2A8F">
        <w:rPr>
          <w:rFonts w:ascii="Arial" w:hAnsi="Arial" w:eastAsia="Times New Roman" w:cs="Arial"/>
          <w:sz w:val="20"/>
          <w:szCs w:val="20"/>
        </w:rPr>
        <w:t>PPA</w:t>
      </w:r>
      <w:r w:rsidRPr="002D2A8F">
        <w:rPr>
          <w:rFonts w:ascii="Arial" w:hAnsi="Arial" w:eastAsia="Calibri" w:cs="Arial"/>
          <w:sz w:val="20"/>
          <w:szCs w:val="20"/>
        </w:rPr>
        <w:t xml:space="preserve"> is for substantially all of the proposed Facility’s productive output.</w:t>
      </w:r>
      <w:bookmarkEnd w:id="1286"/>
    </w:p>
    <w:p w:rsidRPr="002D2A8F" w:rsidR="002D54C4" w:rsidP="008D60E3" w:rsidRDefault="002D54C4" w14:paraId="25A218CB" w14:textId="77777777">
      <w:pPr>
        <w:suppressAutoHyphens/>
        <w:autoSpaceDE w:val="0"/>
        <w:autoSpaceDN w:val="0"/>
        <w:adjustRightInd w:val="0"/>
        <w:spacing w:after="0"/>
        <w:ind w:firstLine="720"/>
        <w:rPr>
          <w:rFonts w:ascii="Arial" w:hAnsi="Arial" w:eastAsia="Calibri" w:cs="Arial"/>
          <w:sz w:val="20"/>
          <w:szCs w:val="20"/>
        </w:rPr>
      </w:pPr>
      <w:bookmarkStart w:name="_DV_C2159" w:id="1287"/>
    </w:p>
    <w:p w:rsidRPr="002D2A8F" w:rsidR="002D54C4" w:rsidP="008D60E3" w:rsidRDefault="002D54C4" w14:paraId="569DF724" w14:textId="77777777">
      <w:pPr>
        <w:suppressAutoHyphens/>
        <w:autoSpaceDE w:val="0"/>
        <w:autoSpaceDN w:val="0"/>
        <w:adjustRightInd w:val="0"/>
        <w:spacing w:after="0"/>
        <w:ind w:firstLine="720"/>
        <w:rPr>
          <w:rFonts w:ascii="Arial" w:hAnsi="Arial" w:eastAsia="Calibri" w:cs="Arial"/>
          <w:sz w:val="20"/>
          <w:szCs w:val="20"/>
        </w:rPr>
      </w:pPr>
      <w:r w:rsidRPr="002D2A8F">
        <w:rPr>
          <w:rFonts w:ascii="Arial" w:hAnsi="Arial" w:eastAsia="Calibri" w:cs="Arial"/>
          <w:sz w:val="20"/>
          <w:szCs w:val="20"/>
        </w:rPr>
        <w:t>________Yes</w:t>
      </w:r>
      <w:bookmarkEnd w:id="1287"/>
    </w:p>
    <w:p w:rsidRPr="002D2A8F" w:rsidR="002D54C4" w:rsidP="008D60E3" w:rsidRDefault="002D54C4" w14:paraId="051F004A" w14:textId="77777777">
      <w:pPr>
        <w:suppressAutoHyphens/>
        <w:autoSpaceDE w:val="0"/>
        <w:autoSpaceDN w:val="0"/>
        <w:adjustRightInd w:val="0"/>
        <w:spacing w:after="0"/>
        <w:ind w:firstLine="720"/>
        <w:rPr>
          <w:rFonts w:ascii="Arial" w:hAnsi="Arial" w:eastAsia="Calibri" w:cs="Arial"/>
          <w:sz w:val="20"/>
          <w:szCs w:val="20"/>
        </w:rPr>
      </w:pPr>
      <w:bookmarkStart w:name="_DV_C2160" w:id="1288"/>
      <w:r w:rsidRPr="002D2A8F">
        <w:rPr>
          <w:rFonts w:ascii="Arial" w:hAnsi="Arial" w:eastAsia="Calibri" w:cs="Arial"/>
          <w:sz w:val="20"/>
          <w:szCs w:val="20"/>
        </w:rPr>
        <w:t>________No</w:t>
      </w:r>
      <w:bookmarkEnd w:id="1288"/>
    </w:p>
    <w:p w:rsidRPr="002D2A8F" w:rsidR="002D54C4" w:rsidP="008D60E3" w:rsidRDefault="002D54C4" w14:paraId="115AD30E" w14:textId="77777777">
      <w:pPr>
        <w:suppressAutoHyphens/>
        <w:autoSpaceDE w:val="0"/>
        <w:autoSpaceDN w:val="0"/>
        <w:adjustRightInd w:val="0"/>
        <w:spacing w:after="0"/>
        <w:ind w:firstLine="720"/>
        <w:rPr>
          <w:rFonts w:ascii="Arial" w:hAnsi="Arial" w:eastAsia="Calibri" w:cs="Arial"/>
          <w:sz w:val="20"/>
          <w:szCs w:val="20"/>
        </w:rPr>
      </w:pPr>
    </w:p>
    <w:p w:rsidRPr="002D2A8F" w:rsidR="002D54C4" w:rsidP="00C1276B" w:rsidRDefault="002D54C4" w14:paraId="645F6E17" w14:textId="77777777">
      <w:pPr>
        <w:widowControl w:val="0"/>
        <w:numPr>
          <w:ilvl w:val="0"/>
          <w:numId w:val="1"/>
        </w:numPr>
        <w:suppressAutoHyphens/>
        <w:autoSpaceDE w:val="0"/>
        <w:autoSpaceDN w:val="0"/>
        <w:adjustRightInd w:val="0"/>
        <w:spacing w:after="0"/>
        <w:contextualSpacing/>
        <w:textAlignment w:val="baseline"/>
        <w:rPr>
          <w:rFonts w:ascii="Arial" w:hAnsi="Arial" w:eastAsia="Calibri" w:cs="Arial"/>
          <w:sz w:val="20"/>
          <w:szCs w:val="20"/>
        </w:rPr>
      </w:pPr>
      <w:bookmarkStart w:name="_DV_C2161" w:id="1289"/>
      <w:r w:rsidRPr="002D2A8F">
        <w:rPr>
          <w:rFonts w:ascii="Arial" w:hAnsi="Arial" w:eastAsia="Calibri" w:cs="Arial"/>
          <w:sz w:val="20"/>
          <w:szCs w:val="20"/>
        </w:rPr>
        <w:t>GPC and its affiliates participated significantly in the design or redesign of the Facility.</w:t>
      </w:r>
      <w:bookmarkEnd w:id="1289"/>
    </w:p>
    <w:p w:rsidRPr="002D2A8F" w:rsidR="002D54C4" w:rsidP="008D60E3" w:rsidRDefault="002D54C4" w14:paraId="3C0F566D" w14:textId="77777777">
      <w:pPr>
        <w:suppressAutoHyphens/>
        <w:autoSpaceDE w:val="0"/>
        <w:autoSpaceDN w:val="0"/>
        <w:adjustRightInd w:val="0"/>
        <w:spacing w:after="0"/>
        <w:ind w:firstLine="720"/>
        <w:rPr>
          <w:rFonts w:ascii="Arial" w:hAnsi="Arial" w:eastAsia="Calibri" w:cs="Arial"/>
          <w:sz w:val="20"/>
          <w:szCs w:val="20"/>
        </w:rPr>
      </w:pPr>
      <w:bookmarkStart w:name="_DV_C2162" w:id="1290"/>
    </w:p>
    <w:p w:rsidRPr="002D2A8F" w:rsidR="002D54C4" w:rsidP="008D60E3" w:rsidRDefault="002D54C4" w14:paraId="337366EB" w14:textId="77777777">
      <w:pPr>
        <w:suppressAutoHyphens/>
        <w:autoSpaceDE w:val="0"/>
        <w:autoSpaceDN w:val="0"/>
        <w:adjustRightInd w:val="0"/>
        <w:spacing w:after="0"/>
        <w:ind w:firstLine="720"/>
        <w:rPr>
          <w:rFonts w:ascii="Arial" w:hAnsi="Arial" w:eastAsia="Calibri" w:cs="Arial"/>
          <w:sz w:val="20"/>
          <w:szCs w:val="20"/>
        </w:rPr>
      </w:pPr>
      <w:r w:rsidRPr="002D2A8F">
        <w:rPr>
          <w:rFonts w:ascii="Arial" w:hAnsi="Arial" w:eastAsia="Calibri" w:cs="Arial"/>
          <w:sz w:val="20"/>
          <w:szCs w:val="20"/>
        </w:rPr>
        <w:t>________Yes</w:t>
      </w:r>
      <w:bookmarkEnd w:id="1290"/>
    </w:p>
    <w:p w:rsidRPr="002D2A8F" w:rsidR="002D54C4" w:rsidP="008D60E3" w:rsidRDefault="002D54C4" w14:paraId="6D401E9C" w14:textId="77777777">
      <w:pPr>
        <w:suppressAutoHyphens/>
        <w:autoSpaceDE w:val="0"/>
        <w:autoSpaceDN w:val="0"/>
        <w:adjustRightInd w:val="0"/>
        <w:spacing w:after="0"/>
        <w:ind w:firstLine="720"/>
        <w:rPr>
          <w:rFonts w:ascii="Arial" w:hAnsi="Arial" w:eastAsia="Calibri" w:cs="Arial"/>
          <w:sz w:val="20"/>
          <w:szCs w:val="20"/>
        </w:rPr>
      </w:pPr>
      <w:bookmarkStart w:name="_DV_C2163" w:id="1291"/>
      <w:r w:rsidRPr="002D2A8F">
        <w:rPr>
          <w:rFonts w:ascii="Arial" w:hAnsi="Arial" w:eastAsia="Calibri" w:cs="Arial"/>
          <w:sz w:val="20"/>
          <w:szCs w:val="20"/>
        </w:rPr>
        <w:t>________No</w:t>
      </w:r>
      <w:bookmarkEnd w:id="1291"/>
    </w:p>
    <w:p w:rsidRPr="002D2A8F" w:rsidR="002D54C4" w:rsidP="008D60E3" w:rsidRDefault="002D54C4" w14:paraId="4FE32D53" w14:textId="77777777">
      <w:pPr>
        <w:suppressAutoHyphens/>
        <w:autoSpaceDE w:val="0"/>
        <w:autoSpaceDN w:val="0"/>
        <w:adjustRightInd w:val="0"/>
        <w:spacing w:after="0"/>
        <w:ind w:firstLine="720"/>
        <w:rPr>
          <w:rFonts w:ascii="Arial" w:hAnsi="Arial" w:eastAsia="Calibri" w:cs="Arial"/>
          <w:sz w:val="20"/>
          <w:szCs w:val="20"/>
        </w:rPr>
      </w:pPr>
    </w:p>
    <w:p w:rsidRPr="002D2A8F" w:rsidR="002D54C4" w:rsidP="00C1276B" w:rsidRDefault="002D54C4" w14:paraId="594E9D4C" w14:textId="77777777">
      <w:pPr>
        <w:widowControl w:val="0"/>
        <w:numPr>
          <w:ilvl w:val="0"/>
          <w:numId w:val="1"/>
        </w:numPr>
        <w:suppressAutoHyphens/>
        <w:autoSpaceDE w:val="0"/>
        <w:autoSpaceDN w:val="0"/>
        <w:adjustRightInd w:val="0"/>
        <w:spacing w:after="0"/>
        <w:contextualSpacing/>
        <w:textAlignment w:val="baseline"/>
        <w:rPr>
          <w:rFonts w:ascii="Arial" w:hAnsi="Arial" w:eastAsia="Calibri" w:cs="Arial"/>
          <w:sz w:val="20"/>
          <w:szCs w:val="20"/>
        </w:rPr>
      </w:pPr>
      <w:bookmarkStart w:name="_DV_C2164" w:id="1292"/>
      <w:bookmarkStart w:name="_Ref121294425" w:id="1293"/>
      <w:r w:rsidRPr="002D2A8F">
        <w:rPr>
          <w:rFonts w:ascii="Arial" w:hAnsi="Arial" w:eastAsia="Calibri" w:cs="Arial"/>
          <w:sz w:val="20"/>
          <w:szCs w:val="20"/>
        </w:rPr>
        <w:t>The percentage that the Facility’s fair value represents, of the fair value of the proposed Seller’s total assets, is approximately</w:t>
      </w:r>
      <w:bookmarkEnd w:id="1292"/>
      <w:r w:rsidRPr="002D2A8F">
        <w:rPr>
          <w:rFonts w:ascii="Arial" w:hAnsi="Arial" w:eastAsia="Calibri" w:cs="Arial"/>
          <w:sz w:val="20"/>
          <w:szCs w:val="20"/>
        </w:rPr>
        <w:t>;</w:t>
      </w:r>
      <w:bookmarkStart w:name="_DV_C2165" w:id="1294"/>
      <w:bookmarkEnd w:id="1293"/>
    </w:p>
    <w:p w:rsidRPr="002D2A8F" w:rsidR="002D54C4" w:rsidP="008D60E3" w:rsidRDefault="002D54C4" w14:paraId="37F545C6" w14:textId="77777777">
      <w:pPr>
        <w:suppressAutoHyphens/>
        <w:autoSpaceDE w:val="0"/>
        <w:autoSpaceDN w:val="0"/>
        <w:adjustRightInd w:val="0"/>
        <w:spacing w:after="0"/>
        <w:ind w:left="810"/>
        <w:contextualSpacing/>
        <w:rPr>
          <w:rFonts w:ascii="Arial" w:hAnsi="Arial" w:eastAsia="Calibri" w:cs="Arial"/>
          <w:sz w:val="20"/>
          <w:szCs w:val="20"/>
        </w:rPr>
      </w:pPr>
    </w:p>
    <w:p w:rsidRPr="002D2A8F" w:rsidR="002D54C4" w:rsidP="008D60E3" w:rsidRDefault="002D54C4" w14:paraId="57829C9D" w14:textId="77777777">
      <w:pPr>
        <w:suppressAutoHyphens/>
        <w:autoSpaceDE w:val="0"/>
        <w:autoSpaceDN w:val="0"/>
        <w:adjustRightInd w:val="0"/>
        <w:spacing w:after="0"/>
        <w:ind w:left="810"/>
        <w:contextualSpacing/>
        <w:rPr>
          <w:rFonts w:ascii="Arial" w:hAnsi="Arial" w:eastAsia="Calibri" w:cs="Arial"/>
          <w:sz w:val="20"/>
          <w:szCs w:val="20"/>
        </w:rPr>
      </w:pPr>
      <w:r w:rsidRPr="002D2A8F">
        <w:rPr>
          <w:rFonts w:ascii="Arial" w:hAnsi="Arial" w:eastAsia="Calibri" w:cs="Arial"/>
          <w:sz w:val="20"/>
          <w:szCs w:val="20"/>
        </w:rPr>
        <w:t>_______%</w:t>
      </w:r>
      <w:bookmarkStart w:name="_DV_C2166" w:id="1295"/>
      <w:bookmarkEnd w:id="1294"/>
    </w:p>
    <w:p w:rsidRPr="002D2A8F" w:rsidR="002D54C4" w:rsidP="008D60E3" w:rsidRDefault="002D54C4" w14:paraId="48BF0B27" w14:textId="77777777">
      <w:pPr>
        <w:suppressAutoHyphens/>
        <w:autoSpaceDE w:val="0"/>
        <w:autoSpaceDN w:val="0"/>
        <w:adjustRightInd w:val="0"/>
        <w:spacing w:after="0"/>
        <w:ind w:left="720"/>
        <w:contextualSpacing/>
        <w:rPr>
          <w:rFonts w:ascii="Arial" w:hAnsi="Arial" w:eastAsia="Calibri" w:cs="Arial"/>
          <w:sz w:val="20"/>
          <w:szCs w:val="20"/>
        </w:rPr>
      </w:pPr>
    </w:p>
    <w:p w:rsidRPr="002D2A8F" w:rsidR="002D54C4" w:rsidP="00C1276B" w:rsidRDefault="002D54C4" w14:paraId="641BA205" w14:textId="77777777">
      <w:pPr>
        <w:widowControl w:val="0"/>
        <w:numPr>
          <w:ilvl w:val="0"/>
          <w:numId w:val="1"/>
        </w:numPr>
        <w:suppressAutoHyphens/>
        <w:autoSpaceDE w:val="0"/>
        <w:autoSpaceDN w:val="0"/>
        <w:adjustRightInd w:val="0"/>
        <w:spacing w:after="0"/>
        <w:contextualSpacing/>
        <w:textAlignment w:val="baseline"/>
        <w:rPr>
          <w:rFonts w:ascii="Arial" w:hAnsi="Arial" w:eastAsia="Calibri" w:cs="Arial"/>
          <w:sz w:val="20"/>
          <w:szCs w:val="20"/>
        </w:rPr>
      </w:pPr>
      <w:bookmarkStart w:name="_Ref121294426" w:id="1296"/>
      <w:r w:rsidRPr="002D2A8F">
        <w:rPr>
          <w:rFonts w:ascii="Arial" w:hAnsi="Arial" w:eastAsia="Calibri" w:cs="Arial"/>
          <w:sz w:val="20"/>
          <w:szCs w:val="20"/>
        </w:rPr>
        <w:t>The Facility is essentially the only source of payment for specified liabilities or specified other interest (there is specific debt associated with the Facility)</w:t>
      </w:r>
      <w:bookmarkEnd w:id="1295"/>
      <w:bookmarkEnd w:id="1296"/>
      <w:r w:rsidRPr="002D2A8F">
        <w:rPr>
          <w:rFonts w:ascii="Arial" w:hAnsi="Arial" w:eastAsia="Calibri" w:cs="Arial"/>
          <w:sz w:val="20"/>
          <w:szCs w:val="20"/>
        </w:rPr>
        <w:t xml:space="preserve">. </w:t>
      </w:r>
    </w:p>
    <w:p w:rsidRPr="002D2A8F" w:rsidR="002D54C4" w:rsidP="008D60E3" w:rsidRDefault="002D54C4" w14:paraId="13238544" w14:textId="77777777">
      <w:pPr>
        <w:suppressAutoHyphens/>
        <w:autoSpaceDE w:val="0"/>
        <w:autoSpaceDN w:val="0"/>
        <w:adjustRightInd w:val="0"/>
        <w:spacing w:after="0"/>
        <w:ind w:firstLine="720"/>
        <w:rPr>
          <w:rFonts w:ascii="Arial" w:hAnsi="Arial" w:eastAsia="Calibri" w:cs="Arial"/>
          <w:sz w:val="20"/>
          <w:szCs w:val="20"/>
        </w:rPr>
      </w:pPr>
      <w:bookmarkStart w:name="_DV_C2167" w:id="1297"/>
    </w:p>
    <w:p w:rsidRPr="002D2A8F" w:rsidR="002D54C4" w:rsidP="008D60E3" w:rsidRDefault="002D54C4" w14:paraId="54BC4750" w14:textId="77777777">
      <w:pPr>
        <w:suppressAutoHyphens/>
        <w:autoSpaceDE w:val="0"/>
        <w:autoSpaceDN w:val="0"/>
        <w:adjustRightInd w:val="0"/>
        <w:spacing w:after="0"/>
        <w:ind w:firstLine="720"/>
        <w:rPr>
          <w:rFonts w:ascii="Arial" w:hAnsi="Arial" w:eastAsia="Calibri" w:cs="Arial"/>
          <w:sz w:val="20"/>
          <w:szCs w:val="20"/>
        </w:rPr>
      </w:pPr>
      <w:r w:rsidRPr="002D2A8F">
        <w:rPr>
          <w:rFonts w:ascii="Arial" w:hAnsi="Arial" w:eastAsia="Calibri" w:cs="Arial"/>
          <w:sz w:val="20"/>
          <w:szCs w:val="20"/>
        </w:rPr>
        <w:t>________Yes</w:t>
      </w:r>
      <w:bookmarkEnd w:id="1297"/>
    </w:p>
    <w:p w:rsidRPr="002D2A8F" w:rsidR="002D54C4" w:rsidP="008D60E3" w:rsidRDefault="002D54C4" w14:paraId="56089816" w14:textId="77777777">
      <w:pPr>
        <w:suppressAutoHyphens/>
        <w:autoSpaceDE w:val="0"/>
        <w:autoSpaceDN w:val="0"/>
        <w:adjustRightInd w:val="0"/>
        <w:spacing w:after="0"/>
        <w:ind w:firstLine="720"/>
        <w:rPr>
          <w:rFonts w:ascii="Arial" w:hAnsi="Arial" w:eastAsia="Calibri" w:cs="Arial"/>
          <w:sz w:val="20"/>
          <w:szCs w:val="20"/>
        </w:rPr>
      </w:pPr>
      <w:bookmarkStart w:name="_DV_C2168" w:id="1298"/>
      <w:r w:rsidRPr="002D2A8F">
        <w:rPr>
          <w:rFonts w:ascii="Arial" w:hAnsi="Arial" w:eastAsia="Calibri" w:cs="Arial"/>
          <w:sz w:val="20"/>
          <w:szCs w:val="20"/>
        </w:rPr>
        <w:t>________No</w:t>
      </w:r>
      <w:bookmarkEnd w:id="1298"/>
    </w:p>
    <w:p w:rsidRPr="002D2A8F" w:rsidR="002D54C4" w:rsidP="002D54C4" w:rsidRDefault="002D54C4" w14:paraId="22BF5D89" w14:textId="77777777">
      <w:pPr>
        <w:suppressAutoHyphens/>
        <w:adjustRightInd w:val="0"/>
        <w:textAlignment w:val="baseline"/>
        <w:rPr>
          <w:rFonts w:ascii="Arial" w:hAnsi="Arial" w:eastAsia="Times New Roman" w:cs="Arial"/>
          <w:b/>
          <w:sz w:val="20"/>
          <w:szCs w:val="20"/>
          <w:u w:val="single"/>
        </w:rPr>
      </w:pPr>
    </w:p>
    <w:p w:rsidRPr="0062012E" w:rsidR="002D54C4" w:rsidP="0062012E" w:rsidRDefault="002D54C4" w14:paraId="22740692" w14:textId="77777777">
      <w:pPr>
        <w:pStyle w:val="Subtitle-Bold"/>
        <w:keepNext w:val="0"/>
        <w:suppressAutoHyphens/>
        <w:adjustRightInd w:val="0"/>
        <w:spacing w:before="0" w:after="200" w:line="276" w:lineRule="auto"/>
        <w:textAlignment w:val="baseline"/>
        <w:rPr>
          <w:rFonts w:eastAsia="Times New Roman" w:cs="Arial"/>
          <w:b w:val="0"/>
          <w:u w:val="single"/>
        </w:rPr>
      </w:pPr>
      <w:r w:rsidRPr="004A7BE4">
        <w:rPr>
          <w:rFonts w:cs="Arial"/>
          <w:highlight w:val="yellow"/>
        </w:rPr>
        <w:t>[CERTIFICATION ON NEXT PAGE]</w:t>
      </w:r>
    </w:p>
    <w:p w:rsidRPr="002D2A8F" w:rsidR="002D54C4" w:rsidP="002D54C4" w:rsidRDefault="002D54C4" w14:paraId="582CD28C" w14:textId="77777777">
      <w:pPr>
        <w:suppressAutoHyphens/>
        <w:adjustRightInd w:val="0"/>
        <w:textAlignment w:val="baseline"/>
        <w:rPr>
          <w:rFonts w:ascii="Arial" w:hAnsi="Arial" w:eastAsia="Times New Roman" w:cs="Arial"/>
          <w:b/>
          <w:sz w:val="20"/>
          <w:szCs w:val="20"/>
          <w:u w:val="single"/>
        </w:rPr>
      </w:pPr>
    </w:p>
    <w:p w:rsidRPr="002D2A8F" w:rsidR="002C0183" w:rsidRDefault="002C0183" w14:paraId="144E1A8E" w14:textId="77777777">
      <w:pPr>
        <w:rPr>
          <w:rFonts w:ascii="Arial" w:hAnsi="Arial" w:eastAsia="Times New Roman" w:cs="Arial"/>
          <w:b/>
          <w:sz w:val="20"/>
          <w:szCs w:val="20"/>
          <w:u w:val="single"/>
        </w:rPr>
      </w:pPr>
      <w:r w:rsidRPr="002D2A8F">
        <w:rPr>
          <w:rFonts w:ascii="Arial" w:hAnsi="Arial" w:eastAsia="Times New Roman" w:cs="Arial"/>
          <w:b/>
          <w:sz w:val="20"/>
          <w:szCs w:val="20"/>
          <w:u w:val="single"/>
        </w:rPr>
        <w:br w:type="page"/>
      </w:r>
    </w:p>
    <w:p w:rsidRPr="002D2A8F" w:rsidR="002D54C4" w:rsidP="002D54C4" w:rsidRDefault="002D54C4" w14:paraId="0B95EEA1" w14:textId="77777777">
      <w:pPr>
        <w:suppressAutoHyphens/>
        <w:adjustRightInd w:val="0"/>
        <w:textAlignment w:val="baseline"/>
        <w:rPr>
          <w:rFonts w:ascii="Arial" w:hAnsi="Arial" w:eastAsia="Times New Roman" w:cs="Arial"/>
          <w:b/>
          <w:sz w:val="20"/>
          <w:szCs w:val="20"/>
          <w:u w:val="single"/>
        </w:rPr>
        <w:sectPr w:rsidRPr="002D2A8F" w:rsidR="002D54C4" w:rsidSect="003B614F">
          <w:footnotePr>
            <w:numRestart w:val="eachSect"/>
          </w:footnotePr>
          <w:pgSz w:w="12240" w:h="15840" w:code="1"/>
          <w:pgMar w:top="1440" w:right="1440" w:bottom="1440" w:left="1440" w:header="720" w:footer="720" w:gutter="0"/>
          <w:paperSrc w:first="15" w:other="15"/>
          <w:cols w:space="1440"/>
        </w:sectPr>
      </w:pPr>
    </w:p>
    <w:p w:rsidRPr="002D2A8F" w:rsidR="002D54C4" w:rsidP="002D54C4" w:rsidRDefault="002D54C4" w14:paraId="7FED3F1D" w14:textId="77777777">
      <w:pPr>
        <w:suppressAutoHyphens/>
        <w:adjustRightInd w:val="0"/>
        <w:textAlignment w:val="baseline"/>
        <w:rPr>
          <w:rFonts w:ascii="Arial" w:hAnsi="Arial" w:eastAsia="Times New Roman" w:cs="Arial"/>
          <w:b/>
          <w:sz w:val="20"/>
          <w:szCs w:val="20"/>
          <w:u w:val="single"/>
        </w:rPr>
      </w:pPr>
      <w:r w:rsidRPr="002D2A8F">
        <w:rPr>
          <w:rFonts w:ascii="Arial" w:hAnsi="Arial" w:eastAsia="Times New Roman" w:cs="Arial"/>
          <w:b/>
          <w:sz w:val="20"/>
          <w:szCs w:val="20"/>
          <w:u w:val="single"/>
        </w:rPr>
        <w:lastRenderedPageBreak/>
        <w:t>Certification</w:t>
      </w:r>
    </w:p>
    <w:p w:rsidRPr="002D2A8F" w:rsidR="002D54C4" w:rsidP="002D54C4" w:rsidRDefault="002D54C4" w14:paraId="4B9B3392" w14:textId="77777777">
      <w:pPr>
        <w:suppressAutoHyphens/>
        <w:adjustRightInd w:val="0"/>
        <w:textAlignment w:val="baseline"/>
        <w:rPr>
          <w:rFonts w:ascii="Arial" w:hAnsi="Arial" w:eastAsia="Times New Roman" w:cs="Arial"/>
          <w:b/>
          <w:sz w:val="20"/>
          <w:szCs w:val="20"/>
        </w:rPr>
      </w:pPr>
      <w:r w:rsidRPr="002D2A8F">
        <w:rPr>
          <w:rFonts w:ascii="Arial" w:hAnsi="Arial" w:eastAsia="Times New Roman" w:cs="Arial"/>
          <w:b/>
          <w:sz w:val="20"/>
          <w:szCs w:val="20"/>
        </w:rPr>
        <w:t>The above information (and any attachments) has been completed in full and agrees with our records as of the date of this Certification.</w:t>
      </w:r>
    </w:p>
    <w:tbl>
      <w:tblPr>
        <w:tblW w:w="5130" w:type="dxa"/>
        <w:tblLayout w:type="fixed"/>
        <w:tblCellMar>
          <w:left w:w="29" w:type="dxa"/>
          <w:right w:w="29" w:type="dxa"/>
        </w:tblCellMar>
        <w:tblLook w:val="01E0" w:firstRow="1" w:lastRow="1" w:firstColumn="1" w:lastColumn="1" w:noHBand="0" w:noVBand="0"/>
      </w:tblPr>
      <w:tblGrid>
        <w:gridCol w:w="1008"/>
        <w:gridCol w:w="4093"/>
        <w:gridCol w:w="29"/>
      </w:tblGrid>
      <w:tr w:rsidRPr="002844F7" w:rsidR="002D54C4" w14:paraId="1CDEA6EE" w14:textId="77777777">
        <w:trPr>
          <w:cantSplit/>
          <w:trHeight w:val="432"/>
        </w:trPr>
        <w:tc>
          <w:tcPr>
            <w:tcW w:w="5130" w:type="dxa"/>
            <w:gridSpan w:val="3"/>
          </w:tcPr>
          <w:p w:rsidRPr="0062012E" w:rsidR="002D54C4" w:rsidP="0062012E" w:rsidRDefault="002D54C4" w14:paraId="1C164195" w14:textId="77777777">
            <w:pPr>
              <w:pStyle w:val="zGTableSig12"/>
              <w:spacing w:after="200" w:line="276" w:lineRule="auto"/>
              <w:rPr>
                <w:rFonts w:eastAsia="Yu Mincho"/>
                <w:b w:val="0"/>
                <w:szCs w:val="24"/>
              </w:rPr>
            </w:pPr>
            <w:r w:rsidRPr="004A7BE4">
              <w:rPr>
                <w:rFonts w:eastAsia="Yu Mincho"/>
                <w:szCs w:val="24"/>
                <w:highlight w:val="yellow"/>
              </w:rPr>
              <w:t>#SellerLegalName#</w:t>
            </w:r>
          </w:p>
        </w:tc>
      </w:tr>
      <w:tr w:rsidRPr="002D2A8F" w:rsidR="002D54C4" w14:paraId="2D1E40EA" w14:textId="77777777">
        <w:trPr>
          <w:gridAfter w:val="1"/>
          <w:wAfter w:w="29" w:type="dxa"/>
          <w:cantSplit/>
          <w:trHeight w:val="504"/>
        </w:trPr>
        <w:tc>
          <w:tcPr>
            <w:tcW w:w="1008" w:type="dxa"/>
            <w:vAlign w:val="bottom"/>
          </w:tcPr>
          <w:p w:rsidRPr="002D2A8F" w:rsidR="002D54C4" w:rsidRDefault="002D54C4" w14:paraId="24B6BBF9" w14:textId="77777777">
            <w:pPr>
              <w:autoSpaceDE w:val="0"/>
              <w:autoSpaceDN w:val="0"/>
              <w:adjustRightInd w:val="0"/>
              <w:rPr>
                <w:rFonts w:ascii="Arial" w:hAnsi="Arial" w:eastAsia="Yu Mincho" w:cs="Arial"/>
                <w:kern w:val="14"/>
                <w:sz w:val="20"/>
                <w:szCs w:val="20"/>
              </w:rPr>
            </w:pPr>
            <w:r w:rsidRPr="002D2A8F">
              <w:rPr>
                <w:rFonts w:ascii="Arial" w:hAnsi="Arial" w:eastAsia="Yu Mincho" w:cs="Arial"/>
                <w:kern w:val="14"/>
                <w:sz w:val="20"/>
                <w:szCs w:val="20"/>
              </w:rPr>
              <w:t>By:</w:t>
            </w:r>
          </w:p>
        </w:tc>
        <w:tc>
          <w:tcPr>
            <w:tcW w:w="4093" w:type="dxa"/>
            <w:tcBorders>
              <w:bottom w:val="single" w:color="auto" w:sz="4" w:space="0"/>
            </w:tcBorders>
            <w:vAlign w:val="bottom"/>
          </w:tcPr>
          <w:p w:rsidRPr="002D2A8F" w:rsidR="002D54C4" w:rsidRDefault="002D54C4" w14:paraId="11560C30" w14:textId="77777777">
            <w:pPr>
              <w:keepLines/>
              <w:rPr>
                <w:rFonts w:ascii="Arial" w:hAnsi="Arial" w:eastAsia="Calibri" w:cs="Arial"/>
                <w:sz w:val="20"/>
                <w:szCs w:val="20"/>
              </w:rPr>
            </w:pPr>
          </w:p>
        </w:tc>
      </w:tr>
      <w:tr w:rsidRPr="002D2A8F" w:rsidR="002D54C4" w14:paraId="2468539C" w14:textId="77777777">
        <w:trPr>
          <w:gridAfter w:val="1"/>
          <w:wAfter w:w="29" w:type="dxa"/>
          <w:cantSplit/>
          <w:trHeight w:val="504"/>
        </w:trPr>
        <w:tc>
          <w:tcPr>
            <w:tcW w:w="1008" w:type="dxa"/>
            <w:vAlign w:val="bottom"/>
          </w:tcPr>
          <w:p w:rsidRPr="002D2A8F" w:rsidR="002D54C4" w:rsidRDefault="002D54C4" w14:paraId="7CAD22AD" w14:textId="77777777">
            <w:pPr>
              <w:autoSpaceDE w:val="0"/>
              <w:autoSpaceDN w:val="0"/>
              <w:adjustRightInd w:val="0"/>
              <w:rPr>
                <w:rFonts w:ascii="Arial" w:hAnsi="Arial" w:eastAsia="Yu Mincho" w:cs="Arial"/>
                <w:kern w:val="14"/>
                <w:sz w:val="20"/>
                <w:szCs w:val="20"/>
              </w:rPr>
            </w:pPr>
            <w:r w:rsidRPr="002D2A8F">
              <w:rPr>
                <w:rFonts w:ascii="Arial" w:hAnsi="Arial" w:eastAsia="Yu Mincho" w:cs="Arial"/>
                <w:kern w:val="14"/>
                <w:sz w:val="20"/>
                <w:szCs w:val="20"/>
              </w:rPr>
              <w:t>Name</w:t>
            </w:r>
          </w:p>
          <w:p w:rsidRPr="002D2A8F" w:rsidR="002D54C4" w:rsidRDefault="002D54C4" w14:paraId="1918469A" w14:textId="77777777">
            <w:pPr>
              <w:autoSpaceDE w:val="0"/>
              <w:autoSpaceDN w:val="0"/>
              <w:adjustRightInd w:val="0"/>
              <w:rPr>
                <w:rFonts w:ascii="Arial" w:hAnsi="Arial" w:eastAsia="Yu Mincho" w:cs="Arial"/>
                <w:kern w:val="14"/>
                <w:sz w:val="20"/>
                <w:szCs w:val="20"/>
              </w:rPr>
            </w:pPr>
            <w:r w:rsidRPr="002D2A8F">
              <w:rPr>
                <w:rFonts w:ascii="Arial" w:hAnsi="Arial" w:eastAsia="Yu Mincho" w:cs="Arial"/>
                <w:kern w:val="14"/>
                <w:sz w:val="20"/>
                <w:szCs w:val="20"/>
              </w:rPr>
              <w:t>Printed:</w:t>
            </w:r>
          </w:p>
        </w:tc>
        <w:tc>
          <w:tcPr>
            <w:tcW w:w="4093" w:type="dxa"/>
            <w:tcBorders>
              <w:top w:val="single" w:color="auto" w:sz="4" w:space="0"/>
              <w:bottom w:val="single" w:color="auto" w:sz="4" w:space="0"/>
            </w:tcBorders>
            <w:vAlign w:val="bottom"/>
          </w:tcPr>
          <w:p w:rsidRPr="002D2A8F" w:rsidR="002D54C4" w:rsidRDefault="002D54C4" w14:paraId="5359503F" w14:textId="77777777">
            <w:pPr>
              <w:keepLines/>
              <w:rPr>
                <w:rFonts w:ascii="Arial" w:hAnsi="Arial" w:eastAsia="Calibri" w:cs="Arial"/>
                <w:sz w:val="20"/>
                <w:szCs w:val="20"/>
              </w:rPr>
            </w:pPr>
          </w:p>
        </w:tc>
      </w:tr>
      <w:tr w:rsidRPr="002D2A8F" w:rsidR="002D54C4" w14:paraId="59148DF8" w14:textId="77777777">
        <w:trPr>
          <w:gridAfter w:val="1"/>
          <w:wAfter w:w="29" w:type="dxa"/>
          <w:cantSplit/>
          <w:trHeight w:val="504"/>
        </w:trPr>
        <w:tc>
          <w:tcPr>
            <w:tcW w:w="1008" w:type="dxa"/>
            <w:vAlign w:val="bottom"/>
          </w:tcPr>
          <w:p w:rsidRPr="002D2A8F" w:rsidR="002D54C4" w:rsidRDefault="002D54C4" w14:paraId="515C4F87" w14:textId="77777777">
            <w:pPr>
              <w:autoSpaceDE w:val="0"/>
              <w:autoSpaceDN w:val="0"/>
              <w:adjustRightInd w:val="0"/>
              <w:rPr>
                <w:rFonts w:ascii="Arial" w:hAnsi="Arial" w:eastAsia="Yu Mincho" w:cs="Arial"/>
                <w:kern w:val="14"/>
                <w:sz w:val="20"/>
                <w:szCs w:val="20"/>
              </w:rPr>
            </w:pPr>
            <w:r w:rsidRPr="002D2A8F">
              <w:rPr>
                <w:rFonts w:ascii="Arial" w:hAnsi="Arial" w:eastAsia="Yu Mincho" w:cs="Arial"/>
                <w:kern w:val="14"/>
                <w:sz w:val="20"/>
                <w:szCs w:val="20"/>
              </w:rPr>
              <w:t>Title:</w:t>
            </w:r>
          </w:p>
        </w:tc>
        <w:tc>
          <w:tcPr>
            <w:tcW w:w="4093" w:type="dxa"/>
            <w:tcBorders>
              <w:top w:val="single" w:color="auto" w:sz="4" w:space="0"/>
              <w:bottom w:val="single" w:color="auto" w:sz="4" w:space="0"/>
            </w:tcBorders>
            <w:vAlign w:val="bottom"/>
          </w:tcPr>
          <w:p w:rsidRPr="002D2A8F" w:rsidR="002D54C4" w:rsidRDefault="002D54C4" w14:paraId="5D63CF4C" w14:textId="77777777">
            <w:pPr>
              <w:keepLines/>
              <w:rPr>
                <w:rFonts w:ascii="Arial" w:hAnsi="Arial" w:eastAsia="Calibri" w:cs="Arial"/>
                <w:sz w:val="20"/>
                <w:szCs w:val="20"/>
              </w:rPr>
            </w:pPr>
          </w:p>
        </w:tc>
      </w:tr>
      <w:tr w:rsidRPr="002D2A8F" w:rsidR="002D54C4" w14:paraId="31A9B5BD" w14:textId="77777777">
        <w:trPr>
          <w:gridAfter w:val="1"/>
          <w:wAfter w:w="29" w:type="dxa"/>
          <w:cantSplit/>
          <w:trHeight w:val="504"/>
        </w:trPr>
        <w:tc>
          <w:tcPr>
            <w:tcW w:w="1008" w:type="dxa"/>
            <w:vAlign w:val="bottom"/>
          </w:tcPr>
          <w:p w:rsidRPr="002D2A8F" w:rsidR="002D54C4" w:rsidRDefault="002D54C4" w14:paraId="04974A80" w14:textId="77777777">
            <w:pPr>
              <w:autoSpaceDE w:val="0"/>
              <w:autoSpaceDN w:val="0"/>
              <w:adjustRightInd w:val="0"/>
              <w:rPr>
                <w:rFonts w:ascii="Arial" w:hAnsi="Arial" w:eastAsia="Yu Mincho" w:cs="Arial"/>
                <w:kern w:val="14"/>
                <w:sz w:val="20"/>
                <w:szCs w:val="20"/>
              </w:rPr>
            </w:pPr>
            <w:r w:rsidRPr="002D2A8F">
              <w:rPr>
                <w:rFonts w:ascii="Arial" w:hAnsi="Arial" w:eastAsia="Yu Mincho" w:cs="Arial"/>
                <w:kern w:val="14"/>
                <w:sz w:val="20"/>
                <w:szCs w:val="20"/>
              </w:rPr>
              <w:t>Date:</w:t>
            </w:r>
          </w:p>
        </w:tc>
        <w:tc>
          <w:tcPr>
            <w:tcW w:w="4093" w:type="dxa"/>
            <w:tcBorders>
              <w:top w:val="single" w:color="auto" w:sz="4" w:space="0"/>
              <w:bottom w:val="single" w:color="auto" w:sz="4" w:space="0"/>
            </w:tcBorders>
            <w:vAlign w:val="bottom"/>
          </w:tcPr>
          <w:p w:rsidRPr="002D2A8F" w:rsidR="002D54C4" w:rsidRDefault="002D54C4" w14:paraId="3B11B717" w14:textId="77777777">
            <w:pPr>
              <w:keepLines/>
              <w:rPr>
                <w:rFonts w:ascii="Arial" w:hAnsi="Arial" w:eastAsia="Calibri" w:cs="Arial"/>
                <w:sz w:val="20"/>
                <w:szCs w:val="20"/>
              </w:rPr>
            </w:pPr>
          </w:p>
        </w:tc>
      </w:tr>
    </w:tbl>
    <w:p w:rsidRPr="002D2A8F" w:rsidR="002D54C4" w:rsidP="00506657" w:rsidRDefault="002D54C4" w14:paraId="56ADD8F8" w14:textId="77777777">
      <w:pPr>
        <w:adjustRightInd w:val="0"/>
        <w:spacing w:after="240"/>
        <w:textAlignment w:val="baseline"/>
        <w:rPr>
          <w:rFonts w:ascii="Arial" w:hAnsi="Arial" w:eastAsia="Times New Roman" w:cs="Arial"/>
        </w:rPr>
      </w:pPr>
    </w:p>
    <w:p w:rsidRPr="002D2A8F" w:rsidR="002D54C4" w:rsidP="00506657" w:rsidRDefault="002D54C4" w14:paraId="66697C9B" w14:textId="77777777">
      <w:pPr>
        <w:adjustRightInd w:val="0"/>
        <w:spacing w:after="240"/>
        <w:textAlignment w:val="baseline"/>
        <w:rPr>
          <w:rFonts w:ascii="Arial" w:hAnsi="Arial" w:eastAsia="Times New Roman" w:cs="Arial"/>
        </w:rPr>
      </w:pPr>
    </w:p>
    <w:p w:rsidRPr="002D2A8F" w:rsidR="002D54C4" w:rsidP="00506657" w:rsidRDefault="002D54C4" w14:paraId="77DE3054" w14:textId="77777777">
      <w:pPr>
        <w:adjustRightInd w:val="0"/>
        <w:spacing w:after="240"/>
        <w:textAlignment w:val="baseline"/>
        <w:rPr>
          <w:rFonts w:ascii="Arial" w:hAnsi="Arial" w:eastAsia="Times New Roman" w:cs="Arial"/>
        </w:rPr>
      </w:pPr>
    </w:p>
    <w:p w:rsidRPr="002D2A8F" w:rsidR="002D54C4" w:rsidP="00506657" w:rsidRDefault="002D54C4" w14:paraId="21F1078B" w14:textId="77777777">
      <w:pPr>
        <w:adjustRightInd w:val="0"/>
        <w:spacing w:after="240"/>
        <w:textAlignment w:val="baseline"/>
        <w:rPr>
          <w:rFonts w:ascii="Arial" w:hAnsi="Arial" w:eastAsia="Times New Roman" w:cs="Arial"/>
        </w:rPr>
      </w:pPr>
    </w:p>
    <w:p w:rsidRPr="002D2A8F" w:rsidR="002D54C4" w:rsidP="00506657" w:rsidRDefault="002D54C4" w14:paraId="36BB313E" w14:textId="77777777">
      <w:pPr>
        <w:adjustRightInd w:val="0"/>
        <w:spacing w:after="240"/>
        <w:textAlignment w:val="baseline"/>
        <w:rPr>
          <w:rFonts w:ascii="Arial" w:hAnsi="Arial" w:eastAsia="Times New Roman" w:cs="Arial"/>
        </w:rPr>
      </w:pPr>
    </w:p>
    <w:p w:rsidRPr="002D2A8F" w:rsidR="002D54C4" w:rsidP="002D54C4" w:rsidRDefault="002D54C4" w14:paraId="779E6334" w14:textId="77777777">
      <w:pPr>
        <w:adjustRightInd w:val="0"/>
        <w:spacing w:after="240"/>
        <w:textAlignment w:val="baseline"/>
        <w:rPr>
          <w:rFonts w:ascii="Arial" w:hAnsi="Arial" w:eastAsia="Times New Roman" w:cs="Arial"/>
        </w:rPr>
        <w:sectPr w:rsidRPr="002D2A8F" w:rsidR="002D54C4" w:rsidSect="003B614F">
          <w:footnotePr>
            <w:numRestart w:val="eachSect"/>
          </w:footnotePr>
          <w:pgSz w:w="12240" w:h="15840" w:code="1"/>
          <w:pgMar w:top="1440" w:right="1440" w:bottom="1440" w:left="1440" w:header="720" w:footer="720" w:gutter="0"/>
          <w:paperSrc w:first="15" w:other="15"/>
          <w:cols w:space="1440"/>
        </w:sectPr>
      </w:pPr>
    </w:p>
    <w:p w:rsidRPr="002D2A8F" w:rsidR="002D54C4" w:rsidP="002D54C4" w:rsidRDefault="002D54C4" w14:paraId="1250B462" w14:textId="54686F00">
      <w:pPr>
        <w:pStyle w:val="zGTitleExhibit"/>
        <w:rPr>
          <w:rFonts w:cs="Arial"/>
        </w:rPr>
      </w:pPr>
      <w:bookmarkStart w:name="_Toc169778729" w:id="1299"/>
      <w:bookmarkStart w:name="_Toc227451501" w:id="1300"/>
      <w:r w:rsidRPr="002D2A8F">
        <w:rPr>
          <w:rFonts w:cs="Arial"/>
        </w:rPr>
        <w:lastRenderedPageBreak/>
        <w:t xml:space="preserve">Exhibit </w:t>
      </w:r>
      <w:r w:rsidR="00316F5D">
        <w:rPr>
          <w:rFonts w:cs="Arial"/>
        </w:rPr>
        <w:t>N</w:t>
      </w:r>
      <w:r w:rsidRPr="002D2A8F" w:rsidR="00316F5D">
        <w:rPr>
          <w:rFonts w:cs="Arial"/>
        </w:rPr>
        <w:t xml:space="preserve"> </w:t>
      </w:r>
      <w:r w:rsidRPr="002D2A8F">
        <w:rPr>
          <w:rFonts w:cs="Arial"/>
        </w:rPr>
        <w:t xml:space="preserve">– </w:t>
      </w:r>
      <w:bookmarkEnd w:id="1299"/>
      <w:r w:rsidR="00B804AF">
        <w:rPr>
          <w:rFonts w:cs="Arial"/>
        </w:rPr>
        <w:t>RESERVED</w:t>
      </w:r>
      <w:bookmarkEnd w:id="1300"/>
    </w:p>
    <w:p w:rsidRPr="002D2A8F" w:rsidR="00B67989" w:rsidP="002D54C4" w:rsidRDefault="00B67989" w14:paraId="5F2375B6" w14:textId="77777777">
      <w:pPr>
        <w:adjustRightInd w:val="0"/>
        <w:spacing w:after="720"/>
        <w:textAlignment w:val="baseline"/>
        <w:rPr>
          <w:rFonts w:ascii="Arial" w:hAnsi="Arial" w:eastAsia="Times New Roman" w:cs="Arial"/>
        </w:rPr>
      </w:pPr>
    </w:p>
    <w:p w:rsidRPr="002D2A8F" w:rsidR="003C77CE" w:rsidP="003C77CE" w:rsidRDefault="003C77CE" w14:paraId="4C3CA536" w14:textId="77777777">
      <w:pPr>
        <w:rPr>
          <w:rFonts w:ascii="Arial" w:hAnsi="Arial" w:eastAsia="Times New Roman" w:cs="Arial"/>
        </w:rPr>
      </w:pPr>
    </w:p>
    <w:p w:rsidRPr="002D2A8F" w:rsidR="003C77CE" w:rsidP="003C77CE" w:rsidRDefault="003C77CE" w14:paraId="03FB77A2" w14:textId="77777777">
      <w:pPr>
        <w:rPr>
          <w:rFonts w:ascii="Arial" w:hAnsi="Arial" w:eastAsia="Times New Roman" w:cs="Arial"/>
        </w:rPr>
      </w:pPr>
    </w:p>
    <w:p w:rsidRPr="002D2A8F" w:rsidR="003C77CE" w:rsidP="003C77CE" w:rsidRDefault="00056B6E" w14:paraId="02DEC0FD" w14:textId="38E3503D">
      <w:pPr>
        <w:rPr>
          <w:rFonts w:ascii="Arial" w:hAnsi="Arial" w:eastAsia="Times New Roman" w:cs="Arial"/>
        </w:rPr>
      </w:pPr>
      <w:r w:rsidRPr="002D2A8F">
        <w:rPr>
          <w:rFonts w:ascii="Arial" w:hAnsi="Arial" w:eastAsia="Times New Roman" w:cs="Arial"/>
        </w:rPr>
        <w:br w:type="page"/>
      </w:r>
    </w:p>
    <w:p w:rsidRPr="002D2A8F" w:rsidR="002D54C4" w:rsidP="002D54C4" w:rsidRDefault="002D54C4" w14:paraId="5040A10D" w14:textId="6AC91E42">
      <w:pPr>
        <w:pStyle w:val="zGTitleExhibit"/>
        <w:rPr>
          <w:rFonts w:cs="Arial"/>
          <w:w w:val="0"/>
        </w:rPr>
      </w:pPr>
      <w:bookmarkStart w:name="_Toc169778730" w:id="1301"/>
      <w:bookmarkStart w:name="_Toc227451502" w:id="1302"/>
      <w:r w:rsidRPr="002D2A8F">
        <w:rPr>
          <w:rFonts w:cs="Arial"/>
          <w:w w:val="0"/>
        </w:rPr>
        <w:lastRenderedPageBreak/>
        <w:t xml:space="preserve">Exhibit </w:t>
      </w:r>
      <w:r w:rsidR="00316F5D">
        <w:rPr>
          <w:rFonts w:cs="Arial"/>
          <w:w w:val="0"/>
        </w:rPr>
        <w:t>O</w:t>
      </w:r>
      <w:r w:rsidRPr="002D2A8F" w:rsidR="00316F5D">
        <w:rPr>
          <w:rFonts w:cs="Arial"/>
          <w:w w:val="0"/>
        </w:rPr>
        <w:t xml:space="preserve"> </w:t>
      </w:r>
      <w:r w:rsidRPr="002D2A8F">
        <w:rPr>
          <w:rFonts w:cs="Arial"/>
          <w:w w:val="0"/>
        </w:rPr>
        <w:t xml:space="preserve">– </w:t>
      </w:r>
      <w:r w:rsidRPr="002D2A8F">
        <w:rPr>
          <w:rFonts w:cs="Arial"/>
          <w:bCs w:val="0"/>
          <w:w w:val="0"/>
        </w:rPr>
        <w:t>Transfer of Information Acknowledgement</w:t>
      </w:r>
      <w:bookmarkEnd w:id="1301"/>
      <w:bookmarkEnd w:id="1302"/>
    </w:p>
    <w:p w:rsidRPr="002D2A8F" w:rsidR="002D54C4" w:rsidP="00506657" w:rsidRDefault="002D54C4" w14:paraId="5A6F48D0" w14:textId="77777777">
      <w:pPr>
        <w:suppressAutoHyphens/>
        <w:adjustRightInd w:val="0"/>
        <w:spacing w:after="240"/>
        <w:ind w:left="2880" w:hanging="2880"/>
        <w:jc w:val="center"/>
        <w:textAlignment w:val="baseline"/>
        <w:rPr>
          <w:rFonts w:ascii="Arial" w:hAnsi="Arial" w:eastAsia="Times New Roman" w:cs="Arial"/>
          <w:b/>
          <w:bCs/>
          <w:w w:val="0"/>
          <w:sz w:val="20"/>
          <w:szCs w:val="20"/>
        </w:rPr>
      </w:pPr>
      <w:r w:rsidRPr="002D2A8F">
        <w:rPr>
          <w:rFonts w:ascii="Arial" w:hAnsi="Arial" w:eastAsia="Times New Roman" w:cs="Arial"/>
          <w:b/>
          <w:bCs/>
          <w:w w:val="0"/>
          <w:sz w:val="20"/>
          <w:szCs w:val="20"/>
          <w:highlight w:val="yellow"/>
        </w:rPr>
        <w:t>TRANSFER OF INFORMATION ACKNOWLEDGEMENT</w:t>
      </w:r>
    </w:p>
    <w:p w:rsidRPr="002D2A8F" w:rsidR="002D54C4" w:rsidP="00443731" w:rsidRDefault="002D54C4" w14:paraId="7A492C46" w14:textId="2DF6E166">
      <w:pPr>
        <w:widowControl w:val="0"/>
        <w:adjustRightInd w:val="0"/>
        <w:spacing w:after="0"/>
        <w:jc w:val="both"/>
        <w:textAlignment w:val="baseline"/>
        <w:rPr>
          <w:rFonts w:ascii="Arial" w:hAnsi="Arial" w:eastAsia="Times New Roman" w:cs="Arial"/>
          <w:sz w:val="20"/>
          <w:szCs w:val="20"/>
        </w:rPr>
      </w:pPr>
      <w:r w:rsidRPr="002D2A8F">
        <w:rPr>
          <w:rFonts w:ascii="Arial" w:hAnsi="Arial" w:cs="Arial"/>
          <w:b/>
          <w:color w:val="000000" w:themeColor="text1"/>
          <w:sz w:val="20"/>
          <w:szCs w:val="20"/>
          <w:highlight w:val="yellow"/>
        </w:rPr>
        <w:t>#SellerLegalName#</w:t>
      </w:r>
      <w:r w:rsidRPr="002D2A8F">
        <w:rPr>
          <w:rFonts w:ascii="Arial" w:hAnsi="Arial" w:eastAsia="Times New Roman" w:cs="Arial"/>
          <w:sz w:val="20"/>
          <w:szCs w:val="20"/>
        </w:rPr>
        <w:t xml:space="preserve"> (“</w:t>
      </w:r>
      <w:r w:rsidRPr="002D2A8F">
        <w:rPr>
          <w:rFonts w:ascii="Arial" w:hAnsi="Arial" w:eastAsia="Times New Roman" w:cs="Arial"/>
          <w:b/>
          <w:bCs/>
          <w:sz w:val="20"/>
          <w:szCs w:val="20"/>
        </w:rPr>
        <w:t>Seller</w:t>
      </w:r>
      <w:r w:rsidRPr="002D2A8F">
        <w:rPr>
          <w:rFonts w:ascii="Arial" w:hAnsi="Arial" w:eastAsia="Times New Roman" w:cs="Arial"/>
          <w:sz w:val="20"/>
          <w:szCs w:val="20"/>
        </w:rPr>
        <w:t>”) and Georgia Power Company (“</w:t>
      </w:r>
      <w:r w:rsidRPr="002D2A8F">
        <w:rPr>
          <w:rFonts w:ascii="Arial" w:hAnsi="Arial" w:eastAsia="Times New Roman" w:cs="Arial"/>
          <w:b/>
          <w:bCs/>
          <w:sz w:val="20"/>
          <w:szCs w:val="20"/>
        </w:rPr>
        <w:t>GPC</w:t>
      </w:r>
      <w:r w:rsidRPr="002D2A8F">
        <w:rPr>
          <w:rFonts w:ascii="Arial" w:hAnsi="Arial" w:eastAsia="Times New Roman" w:cs="Arial"/>
          <w:sz w:val="20"/>
          <w:szCs w:val="20"/>
        </w:rPr>
        <w:t xml:space="preserve">”) have entered into the </w:t>
      </w:r>
      <w:r w:rsidRPr="00837904" w:rsidR="00837904">
        <w:rPr>
          <w:rFonts w:ascii="Arial" w:hAnsi="Arial" w:eastAsia="Times New Roman" w:cs="Arial"/>
          <w:b/>
          <w:bCs/>
          <w:sz w:val="20"/>
          <w:szCs w:val="20"/>
        </w:rPr>
        <w:t xml:space="preserve">Power </w:t>
      </w:r>
      <w:r w:rsidRPr="00837904" w:rsidR="00837904">
        <w:rPr>
          <w:rFonts w:ascii="Arial" w:hAnsi="Arial" w:cs="Arial"/>
          <w:b/>
          <w:bCs/>
          <w:sz w:val="20"/>
          <w:szCs w:val="20"/>
        </w:rPr>
        <w:t>Purchase Agreement for Firm Capacity, Associated Energy, and Ancillary Services from a</w:t>
      </w:r>
      <w:r w:rsidR="001B2337">
        <w:rPr>
          <w:rFonts w:ascii="Arial" w:hAnsi="Arial" w:cs="Arial"/>
          <w:b/>
          <w:bCs/>
          <w:sz w:val="20"/>
          <w:szCs w:val="20"/>
        </w:rPr>
        <w:t xml:space="preserve"> Battery</w:t>
      </w:r>
      <w:r w:rsidRPr="00837904" w:rsidR="00837904">
        <w:rPr>
          <w:rFonts w:ascii="Arial" w:hAnsi="Arial" w:cs="Arial"/>
          <w:b/>
          <w:bCs/>
          <w:sz w:val="20"/>
          <w:szCs w:val="20"/>
        </w:rPr>
        <w:t xml:space="preserve"> Energy Storage System with Renewable Resource</w:t>
      </w:r>
      <w:r w:rsidR="009F0025">
        <w:rPr>
          <w:rFonts w:ascii="Arial" w:hAnsi="Arial" w:cs="Arial"/>
          <w:b/>
          <w:bCs/>
          <w:sz w:val="20"/>
          <w:szCs w:val="20"/>
        </w:rPr>
        <w:t xml:space="preserve"> for </w:t>
      </w:r>
      <w:r w:rsidRPr="004D5435" w:rsidR="004D5435">
        <w:rPr>
          <w:rFonts w:ascii="Arial" w:hAnsi="Arial" w:cs="Arial"/>
          <w:b/>
          <w:bCs/>
          <w:sz w:val="20"/>
          <w:szCs w:val="20"/>
        </w:rPr>
        <w:t>2026 All-Source Capacity Request for Proposals for Need Years 2032</w:t>
      </w:r>
      <w:r w:rsidR="00A11E48">
        <w:rPr>
          <w:rFonts w:ascii="Arial" w:hAnsi="Arial" w:cs="Arial"/>
          <w:b/>
          <w:bCs/>
          <w:sz w:val="20"/>
          <w:szCs w:val="20"/>
        </w:rPr>
        <w:t>-</w:t>
      </w:r>
      <w:r w:rsidRPr="004D5435" w:rsidR="004D5435">
        <w:rPr>
          <w:rFonts w:ascii="Arial" w:hAnsi="Arial" w:cs="Arial"/>
          <w:b/>
          <w:bCs/>
          <w:sz w:val="20"/>
          <w:szCs w:val="20"/>
        </w:rPr>
        <w:t>2033</w:t>
      </w:r>
      <w:r w:rsidR="002905DD">
        <w:rPr>
          <w:rFonts w:ascii="Arial" w:hAnsi="Arial" w:cs="Arial"/>
          <w:b/>
          <w:bCs/>
          <w:sz w:val="20"/>
          <w:szCs w:val="20"/>
        </w:rPr>
        <w:t xml:space="preserve"> </w:t>
      </w:r>
      <w:r w:rsidRPr="002D2A8F">
        <w:rPr>
          <w:rFonts w:ascii="Arial" w:hAnsi="Arial" w:eastAsia="Times New Roman" w:cs="Arial"/>
          <w:b/>
          <w:bCs/>
          <w:sz w:val="20"/>
          <w:szCs w:val="20"/>
        </w:rPr>
        <w:t>at (</w:t>
      </w:r>
      <w:r w:rsidRPr="002D2A8F">
        <w:rPr>
          <w:rFonts w:ascii="Arial" w:hAnsi="Arial" w:eastAsia="Times New Roman" w:cs="Arial"/>
          <w:b/>
          <w:bCs/>
          <w:sz w:val="20"/>
          <w:szCs w:val="20"/>
          <w:highlight w:val="yellow"/>
        </w:rPr>
        <w:t>#FacilityName#</w:t>
      </w:r>
      <w:r w:rsidRPr="002D2A8F">
        <w:rPr>
          <w:rFonts w:ascii="Arial" w:hAnsi="Arial" w:eastAsia="Times New Roman" w:cs="Arial"/>
          <w:b/>
          <w:bCs/>
          <w:sz w:val="20"/>
          <w:szCs w:val="20"/>
        </w:rPr>
        <w:t>)</w:t>
      </w:r>
      <w:r w:rsidRPr="002D2A8F">
        <w:rPr>
          <w:rFonts w:ascii="Arial" w:hAnsi="Arial" w:eastAsia="Times New Roman" w:cs="Arial"/>
          <w:sz w:val="20"/>
          <w:szCs w:val="20"/>
        </w:rPr>
        <w:t xml:space="preserve"> (“</w:t>
      </w:r>
      <w:r w:rsidRPr="002D2A8F">
        <w:rPr>
          <w:rFonts w:ascii="Arial" w:hAnsi="Arial" w:eastAsia="Times New Roman" w:cs="Arial"/>
          <w:b/>
          <w:bCs/>
          <w:sz w:val="20"/>
          <w:szCs w:val="20"/>
        </w:rPr>
        <w:t>PPA</w:t>
      </w:r>
      <w:r w:rsidRPr="002D2A8F">
        <w:rPr>
          <w:rFonts w:ascii="Arial" w:hAnsi="Arial" w:eastAsia="Times New Roman" w:cs="Arial"/>
          <w:sz w:val="20"/>
          <w:szCs w:val="20"/>
        </w:rPr>
        <w:t xml:space="preserve">”) dated as of _____________________, 202__. The PPA contemplates that Seller will provide to GPC </w:t>
      </w:r>
      <w:r w:rsidRPr="002D2A8F" w:rsidDel="00506657">
        <w:rPr>
          <w:rFonts w:ascii="Arial" w:hAnsi="Arial" w:eastAsia="Times New Roman" w:cs="Arial"/>
          <w:sz w:val="20"/>
          <w:szCs w:val="20"/>
        </w:rPr>
        <w:t>or</w:t>
      </w:r>
      <w:r w:rsidRPr="002D2A8F">
        <w:rPr>
          <w:rFonts w:ascii="Arial" w:hAnsi="Arial" w:eastAsia="Times New Roman" w:cs="Arial"/>
          <w:sz w:val="20"/>
          <w:szCs w:val="20"/>
        </w:rPr>
        <w:t xml:space="preserve"> GPC’s affiliate Southern Company Services, Inc. (“</w:t>
      </w:r>
      <w:r w:rsidRPr="002E720D">
        <w:rPr>
          <w:rFonts w:ascii="Arial" w:hAnsi="Arial" w:eastAsia="Times New Roman" w:cs="Arial"/>
          <w:b/>
          <w:sz w:val="20"/>
          <w:szCs w:val="20"/>
        </w:rPr>
        <w:t>SCS</w:t>
      </w:r>
      <w:r w:rsidRPr="002D2A8F">
        <w:rPr>
          <w:rFonts w:ascii="Arial" w:hAnsi="Arial" w:eastAsia="Times New Roman" w:cs="Arial"/>
          <w:sz w:val="20"/>
          <w:szCs w:val="20"/>
        </w:rPr>
        <w:t>”) as agent for the transmission-owning subsidiaries of Southern Company (GPC, Alabama Power Company, and Mississippi Power Company) certain information that could be considered non-public information that potentially has implications under the Federal Energy Regulatory Commission (“</w:t>
      </w:r>
      <w:r w:rsidRPr="002D2A8F">
        <w:rPr>
          <w:rFonts w:ascii="Arial" w:hAnsi="Arial" w:eastAsia="Times New Roman" w:cs="Arial"/>
          <w:b/>
          <w:sz w:val="20"/>
          <w:szCs w:val="20"/>
        </w:rPr>
        <w:t>FERC</w:t>
      </w:r>
      <w:r w:rsidRPr="002D2A8F">
        <w:rPr>
          <w:rFonts w:ascii="Arial" w:hAnsi="Arial" w:eastAsia="Times New Roman" w:cs="Arial"/>
          <w:sz w:val="20"/>
          <w:szCs w:val="20"/>
        </w:rPr>
        <w:t xml:space="preserve">”) Standards of Conduct. Seller acknowledges that the information is being provided for the purposes of operational implementation and administration of the PPA (which includes conducting GPC’s system operations and dispatch functions) and will be used by </w:t>
      </w:r>
      <w:r w:rsidRPr="00C25A7A" w:rsidR="007A171D">
        <w:rPr>
          <w:rFonts w:ascii="Arial" w:hAnsi="Arial" w:eastAsia="Times New Roman" w:cs="Arial"/>
          <w:sz w:val="20"/>
          <w:szCs w:val="20"/>
        </w:rPr>
        <w:t xml:space="preserve">GPC or SCS </w:t>
      </w:r>
      <w:r w:rsidRPr="002D2A8F">
        <w:rPr>
          <w:rFonts w:ascii="Arial" w:hAnsi="Arial" w:eastAsia="Times New Roman" w:cs="Arial"/>
          <w:sz w:val="20"/>
          <w:szCs w:val="20"/>
        </w:rPr>
        <w:t xml:space="preserve">individuals in both Transmission/Distribution and energy affiliate/wholesale marketing unit functions under the FERC Standards of Conduct.  </w:t>
      </w:r>
    </w:p>
    <w:p w:rsidRPr="002D2A8F" w:rsidR="002D54C4" w:rsidP="00443731" w:rsidRDefault="002D54C4" w14:paraId="64347C07" w14:textId="77777777">
      <w:pPr>
        <w:widowControl w:val="0"/>
        <w:adjustRightInd w:val="0"/>
        <w:spacing w:after="0"/>
        <w:jc w:val="both"/>
        <w:textAlignment w:val="baseline"/>
        <w:rPr>
          <w:rFonts w:ascii="Arial" w:hAnsi="Arial" w:eastAsia="Times New Roman" w:cs="Arial"/>
          <w:sz w:val="20"/>
          <w:szCs w:val="20"/>
        </w:rPr>
      </w:pPr>
    </w:p>
    <w:p w:rsidRPr="002D2A8F" w:rsidR="002D54C4" w:rsidP="00443731" w:rsidRDefault="002D54C4" w14:paraId="4C870976" w14:textId="60B91120">
      <w:pPr>
        <w:widowControl w:val="0"/>
        <w:adjustRightInd w:val="0"/>
        <w:spacing w:after="0"/>
        <w:jc w:val="both"/>
        <w:textAlignment w:val="baseline"/>
        <w:rPr>
          <w:rFonts w:ascii="Arial" w:hAnsi="Arial" w:eastAsia="Times New Roman" w:cs="Arial"/>
          <w:sz w:val="20"/>
          <w:szCs w:val="20"/>
        </w:rPr>
      </w:pPr>
      <w:r w:rsidRPr="002D2A8F">
        <w:rPr>
          <w:rFonts w:ascii="Arial" w:hAnsi="Arial" w:eastAsia="Times New Roman" w:cs="Arial"/>
          <w:sz w:val="20"/>
          <w:szCs w:val="20"/>
        </w:rPr>
        <w:t xml:space="preserve">The individuals within the Southern Company organizations indicated above may use the information only </w:t>
      </w:r>
      <w:r w:rsidRPr="002D2A8F" w:rsidDel="00506657">
        <w:rPr>
          <w:rFonts w:ascii="Arial" w:hAnsi="Arial" w:eastAsia="Times New Roman" w:cs="Arial"/>
          <w:sz w:val="20"/>
          <w:szCs w:val="20"/>
        </w:rPr>
        <w:t xml:space="preserve">for </w:t>
      </w:r>
      <w:r w:rsidRPr="002D2A8F">
        <w:rPr>
          <w:rFonts w:ascii="Arial" w:hAnsi="Arial" w:eastAsia="Times New Roman" w:cs="Arial"/>
          <w:sz w:val="20"/>
          <w:szCs w:val="20"/>
        </w:rPr>
        <w:t>purposes</w:t>
      </w:r>
      <w:r w:rsidRPr="002D2A8F" w:rsidDel="00506657">
        <w:rPr>
          <w:rFonts w:ascii="Arial" w:hAnsi="Arial" w:eastAsia="Times New Roman" w:cs="Arial"/>
          <w:sz w:val="20"/>
          <w:szCs w:val="20"/>
        </w:rPr>
        <w:t xml:space="preserve"> of</w:t>
      </w:r>
      <w:r w:rsidRPr="002D2A8F">
        <w:rPr>
          <w:rFonts w:ascii="Arial" w:hAnsi="Arial" w:eastAsia="Times New Roman" w:cs="Arial"/>
          <w:sz w:val="20"/>
          <w:szCs w:val="20"/>
        </w:rPr>
        <w:t xml:space="preserve"> implement</w:t>
      </w:r>
      <w:r w:rsidRPr="002D2A8F" w:rsidDel="00506657">
        <w:rPr>
          <w:rFonts w:ascii="Arial" w:hAnsi="Arial" w:eastAsia="Times New Roman" w:cs="Arial"/>
          <w:sz w:val="20"/>
          <w:szCs w:val="20"/>
        </w:rPr>
        <w:t>ing</w:t>
      </w:r>
      <w:r w:rsidRPr="002D2A8F">
        <w:rPr>
          <w:rFonts w:ascii="Arial" w:hAnsi="Arial" w:eastAsia="Times New Roman" w:cs="Arial"/>
          <w:sz w:val="20"/>
          <w:szCs w:val="20"/>
        </w:rPr>
        <w:t xml:space="preserve"> and administer</w:t>
      </w:r>
      <w:r w:rsidRPr="002D2A8F" w:rsidDel="00506657">
        <w:rPr>
          <w:rFonts w:ascii="Arial" w:hAnsi="Arial" w:eastAsia="Times New Roman" w:cs="Arial"/>
          <w:sz w:val="20"/>
          <w:szCs w:val="20"/>
        </w:rPr>
        <w:t>ing</w:t>
      </w:r>
      <w:r w:rsidRPr="002D2A8F">
        <w:rPr>
          <w:rFonts w:ascii="Arial" w:hAnsi="Arial" w:eastAsia="Times New Roman" w:cs="Arial"/>
          <w:sz w:val="20"/>
          <w:szCs w:val="20"/>
        </w:rPr>
        <w:t xml:space="preserve"> the PPA (including conducting GPC’s system operations and dispatch functions). Seller understands that the information will not be used or disseminated in any manner contrary to the confidentiality provisions in the PPA or in violation of the FERC Standards of Conduct. </w:t>
      </w:r>
    </w:p>
    <w:p w:rsidRPr="002D2A8F" w:rsidR="002D54C4" w:rsidP="00443731" w:rsidRDefault="002D54C4" w14:paraId="7382C370" w14:textId="77777777">
      <w:pPr>
        <w:widowControl w:val="0"/>
        <w:adjustRightInd w:val="0"/>
        <w:spacing w:after="0"/>
        <w:jc w:val="both"/>
        <w:textAlignment w:val="baseline"/>
        <w:rPr>
          <w:rFonts w:ascii="Arial" w:hAnsi="Arial" w:eastAsia="Times New Roman" w:cs="Arial"/>
          <w:sz w:val="20"/>
          <w:szCs w:val="20"/>
        </w:rPr>
      </w:pPr>
    </w:p>
    <w:p w:rsidRPr="002D2A8F" w:rsidR="002D54C4" w:rsidP="00443731" w:rsidRDefault="002D54C4" w14:paraId="7A909C24" w14:textId="635B99CD">
      <w:pPr>
        <w:widowControl w:val="0"/>
        <w:adjustRightInd w:val="0"/>
        <w:spacing w:after="0"/>
        <w:jc w:val="both"/>
        <w:textAlignment w:val="baseline"/>
        <w:rPr>
          <w:rFonts w:ascii="Arial" w:hAnsi="Arial" w:eastAsia="Times New Roman" w:cs="Arial"/>
          <w:sz w:val="20"/>
          <w:szCs w:val="20"/>
        </w:rPr>
      </w:pPr>
      <w:r w:rsidRPr="002D2A8F">
        <w:rPr>
          <w:rFonts w:ascii="Arial" w:hAnsi="Arial" w:eastAsia="Times New Roman" w:cs="Arial"/>
          <w:sz w:val="20"/>
          <w:szCs w:val="20"/>
        </w:rPr>
        <w:t>Seller’s provision of this information has not been and is not being provided in exchange for any preferential treatment, either operational or rate-related, by SCS or by any of the transmission-owning subsidiaries of Southern Company. Seller also acknowledges that Seller is not providing the information under duress or coercion. In accordance with FERC requirements, SCS may post on Southern Company’s Open Access Same-time Information System (OASIS) the fact of Seller’s consent to the provision of the information specified above to certain employees that may be employed within organizational units deemed to be energy affiliates/wholesale marketing units under the Standards of Conduct.</w:t>
      </w:r>
    </w:p>
    <w:p w:rsidRPr="002D2A8F" w:rsidR="002D54C4" w:rsidP="00443731" w:rsidRDefault="002D54C4" w14:paraId="18C3060B" w14:textId="77777777">
      <w:pPr>
        <w:widowControl w:val="0"/>
        <w:adjustRightInd w:val="0"/>
        <w:spacing w:after="0"/>
        <w:jc w:val="both"/>
        <w:textAlignment w:val="baseline"/>
        <w:rPr>
          <w:rFonts w:ascii="Arial" w:hAnsi="Arial" w:eastAsia="Times New Roman" w:cs="Arial"/>
          <w:sz w:val="20"/>
          <w:szCs w:val="20"/>
        </w:rPr>
      </w:pPr>
    </w:p>
    <w:p w:rsidRPr="002D2A8F" w:rsidR="002D54C4" w:rsidP="00506657" w:rsidRDefault="002D54C4" w14:paraId="0CCB9C4E" w14:textId="77777777">
      <w:pPr>
        <w:widowControl w:val="0"/>
        <w:adjustRightInd w:val="0"/>
        <w:spacing w:after="0"/>
        <w:textAlignment w:val="baseline"/>
        <w:rPr>
          <w:rFonts w:ascii="Arial" w:hAnsi="Arial" w:eastAsia="Times New Roman" w:cs="Arial"/>
          <w:sz w:val="20"/>
          <w:szCs w:val="20"/>
        </w:rPr>
      </w:pPr>
    </w:p>
    <w:p w:rsidRPr="002D2A8F" w:rsidR="002D54C4" w:rsidP="00506657" w:rsidRDefault="002D54C4" w14:paraId="7A381AAC" w14:textId="77777777">
      <w:pPr>
        <w:widowControl w:val="0"/>
        <w:adjustRightInd w:val="0"/>
        <w:spacing w:after="0"/>
        <w:textAlignment w:val="baseline"/>
        <w:rPr>
          <w:rFonts w:ascii="Arial" w:hAnsi="Arial" w:eastAsia="Times New Roman" w:cs="Arial"/>
          <w:sz w:val="20"/>
          <w:szCs w:val="20"/>
        </w:rPr>
      </w:pPr>
      <w:r w:rsidRPr="002D2A8F">
        <w:rPr>
          <w:rFonts w:ascii="Arial" w:hAnsi="Arial" w:eastAsia="Times New Roman" w:cs="Arial"/>
          <w:sz w:val="20"/>
          <w:szCs w:val="20"/>
          <w:u w:val="single"/>
        </w:rPr>
        <w:t>Acknowledged on behalf of Seller by Seller’s authorized representative signing below</w:t>
      </w:r>
      <w:r w:rsidRPr="002D2A8F">
        <w:rPr>
          <w:rFonts w:ascii="Arial" w:hAnsi="Arial" w:eastAsia="Times New Roman" w:cs="Arial"/>
          <w:sz w:val="20"/>
          <w:szCs w:val="20"/>
        </w:rPr>
        <w:t>:</w:t>
      </w:r>
    </w:p>
    <w:p w:rsidRPr="002D2A8F" w:rsidR="002D54C4" w:rsidP="00506657" w:rsidRDefault="002D54C4" w14:paraId="55643D7B" w14:textId="77777777">
      <w:pPr>
        <w:widowControl w:val="0"/>
        <w:adjustRightInd w:val="0"/>
        <w:spacing w:after="0"/>
        <w:textAlignment w:val="baseline"/>
        <w:rPr>
          <w:rFonts w:ascii="Arial" w:hAnsi="Arial" w:eastAsia="Times New Roman" w:cs="Arial"/>
          <w:sz w:val="20"/>
          <w:szCs w:val="20"/>
        </w:rPr>
      </w:pPr>
    </w:p>
    <w:tbl>
      <w:tblPr>
        <w:tblW w:w="5040" w:type="dxa"/>
        <w:tblLayout w:type="fixed"/>
        <w:tblCellMar>
          <w:left w:w="29" w:type="dxa"/>
          <w:right w:w="29" w:type="dxa"/>
        </w:tblCellMar>
        <w:tblLook w:val="01E0" w:firstRow="1" w:lastRow="1" w:firstColumn="1" w:lastColumn="1" w:noHBand="0" w:noVBand="0"/>
      </w:tblPr>
      <w:tblGrid>
        <w:gridCol w:w="900"/>
        <w:gridCol w:w="4140"/>
      </w:tblGrid>
      <w:tr w:rsidRPr="00C30F69" w:rsidR="002D54C4" w14:paraId="2C4C57F0" w14:textId="77777777">
        <w:trPr>
          <w:cantSplit/>
          <w:trHeight w:val="432"/>
        </w:trPr>
        <w:tc>
          <w:tcPr>
            <w:tcW w:w="5040" w:type="dxa"/>
            <w:gridSpan w:val="2"/>
            <w:hideMark/>
          </w:tcPr>
          <w:p w:rsidRPr="00C30F69" w:rsidR="002D54C4" w:rsidRDefault="002D54C4" w14:paraId="01978169" w14:textId="77777777">
            <w:pPr>
              <w:pStyle w:val="zGTableSig12"/>
              <w:spacing w:line="256" w:lineRule="auto"/>
              <w:rPr>
                <w:szCs w:val="24"/>
              </w:rPr>
            </w:pPr>
            <w:r w:rsidRPr="00C30F69">
              <w:rPr>
                <w:szCs w:val="24"/>
                <w:highlight w:val="yellow"/>
              </w:rPr>
              <w:t>#SellerLegalName#</w:t>
            </w:r>
          </w:p>
        </w:tc>
      </w:tr>
      <w:tr w:rsidRPr="002D2A8F" w:rsidR="002D54C4" w14:paraId="5E507D78" w14:textId="77777777">
        <w:trPr>
          <w:cantSplit/>
          <w:trHeight w:val="504"/>
        </w:trPr>
        <w:tc>
          <w:tcPr>
            <w:tcW w:w="900" w:type="dxa"/>
            <w:vAlign w:val="bottom"/>
            <w:hideMark/>
          </w:tcPr>
          <w:p w:rsidRPr="002D2A8F" w:rsidR="002D54C4" w:rsidRDefault="002D54C4" w14:paraId="07D64DE9" w14:textId="77777777">
            <w:pPr>
              <w:pStyle w:val="zGNormal"/>
              <w:spacing w:line="256" w:lineRule="auto"/>
            </w:pPr>
            <w:r w:rsidRPr="002D2A8F">
              <w:t>By:</w:t>
            </w:r>
          </w:p>
        </w:tc>
        <w:tc>
          <w:tcPr>
            <w:tcW w:w="4140" w:type="dxa"/>
            <w:tcBorders>
              <w:top w:val="nil"/>
              <w:left w:val="nil"/>
              <w:bottom w:val="single" w:color="auto" w:sz="8" w:space="0"/>
              <w:right w:val="nil"/>
            </w:tcBorders>
            <w:vAlign w:val="bottom"/>
          </w:tcPr>
          <w:p w:rsidRPr="002D2A8F" w:rsidR="002D54C4" w:rsidRDefault="002D54C4" w14:paraId="437799B5" w14:textId="77777777">
            <w:pPr>
              <w:keepLines/>
              <w:spacing w:line="256" w:lineRule="auto"/>
              <w:rPr>
                <w:rFonts w:ascii="Arial" w:hAnsi="Arial" w:cs="Arial"/>
                <w:sz w:val="20"/>
                <w:szCs w:val="20"/>
              </w:rPr>
            </w:pPr>
          </w:p>
        </w:tc>
      </w:tr>
      <w:tr w:rsidRPr="002D2A8F" w:rsidR="002D54C4" w14:paraId="3F8DCD14" w14:textId="77777777">
        <w:trPr>
          <w:cantSplit/>
          <w:trHeight w:val="504"/>
        </w:trPr>
        <w:tc>
          <w:tcPr>
            <w:tcW w:w="900" w:type="dxa"/>
            <w:vAlign w:val="bottom"/>
            <w:hideMark/>
          </w:tcPr>
          <w:p w:rsidRPr="002D2A8F" w:rsidR="002D54C4" w:rsidRDefault="002D54C4" w14:paraId="50EA5C7A" w14:textId="77777777">
            <w:pPr>
              <w:pStyle w:val="zGNormal"/>
              <w:spacing w:line="256" w:lineRule="auto"/>
            </w:pPr>
            <w:r w:rsidRPr="002D2A8F">
              <w:t>Name</w:t>
            </w:r>
          </w:p>
          <w:p w:rsidRPr="002D2A8F" w:rsidR="002D54C4" w:rsidRDefault="002D54C4" w14:paraId="49EAA623" w14:textId="77777777">
            <w:pPr>
              <w:pStyle w:val="zGNormal"/>
              <w:spacing w:line="256" w:lineRule="auto"/>
            </w:pPr>
            <w:r w:rsidRPr="002D2A8F">
              <w:t>Printed:</w:t>
            </w:r>
          </w:p>
        </w:tc>
        <w:tc>
          <w:tcPr>
            <w:tcW w:w="4140" w:type="dxa"/>
            <w:tcBorders>
              <w:top w:val="single" w:color="auto" w:sz="8" w:space="0"/>
              <w:left w:val="nil"/>
              <w:bottom w:val="single" w:color="auto" w:sz="4" w:space="0"/>
              <w:right w:val="nil"/>
            </w:tcBorders>
          </w:tcPr>
          <w:p w:rsidRPr="002D2A8F" w:rsidR="002D54C4" w:rsidRDefault="002D54C4" w14:paraId="49F4632F" w14:textId="77777777">
            <w:pPr>
              <w:keepLines/>
              <w:spacing w:line="256" w:lineRule="auto"/>
              <w:rPr>
                <w:rFonts w:ascii="Arial" w:hAnsi="Arial" w:cs="Arial"/>
                <w:sz w:val="20"/>
                <w:szCs w:val="20"/>
              </w:rPr>
            </w:pPr>
          </w:p>
        </w:tc>
      </w:tr>
      <w:tr w:rsidRPr="002D2A8F" w:rsidR="002D54C4" w14:paraId="14994F07" w14:textId="77777777">
        <w:trPr>
          <w:cantSplit/>
          <w:trHeight w:val="504"/>
        </w:trPr>
        <w:tc>
          <w:tcPr>
            <w:tcW w:w="900" w:type="dxa"/>
            <w:vAlign w:val="bottom"/>
            <w:hideMark/>
          </w:tcPr>
          <w:p w:rsidRPr="002D2A8F" w:rsidR="002D54C4" w:rsidRDefault="002D54C4" w14:paraId="3E014B49" w14:textId="77777777">
            <w:pPr>
              <w:pStyle w:val="zGNormal"/>
              <w:spacing w:line="256" w:lineRule="auto"/>
            </w:pPr>
            <w:r w:rsidRPr="002D2A8F">
              <w:t>Title:</w:t>
            </w:r>
          </w:p>
        </w:tc>
        <w:tc>
          <w:tcPr>
            <w:tcW w:w="4140" w:type="dxa"/>
            <w:tcBorders>
              <w:top w:val="single" w:color="auto" w:sz="4" w:space="0"/>
              <w:left w:val="nil"/>
              <w:bottom w:val="single" w:color="auto" w:sz="4" w:space="0"/>
              <w:right w:val="nil"/>
            </w:tcBorders>
          </w:tcPr>
          <w:p w:rsidRPr="002D2A8F" w:rsidR="002D54C4" w:rsidRDefault="002D54C4" w14:paraId="52B21340" w14:textId="77777777">
            <w:pPr>
              <w:keepLines/>
              <w:spacing w:line="256" w:lineRule="auto"/>
              <w:rPr>
                <w:rFonts w:ascii="Arial" w:hAnsi="Arial" w:cs="Arial"/>
                <w:sz w:val="20"/>
                <w:szCs w:val="20"/>
              </w:rPr>
            </w:pPr>
          </w:p>
        </w:tc>
      </w:tr>
      <w:tr w:rsidRPr="002D2A8F" w:rsidR="002D54C4" w14:paraId="29E10384" w14:textId="77777777">
        <w:trPr>
          <w:cantSplit/>
          <w:trHeight w:val="504"/>
        </w:trPr>
        <w:tc>
          <w:tcPr>
            <w:tcW w:w="900" w:type="dxa"/>
            <w:vAlign w:val="bottom"/>
            <w:hideMark/>
          </w:tcPr>
          <w:p w:rsidRPr="002D2A8F" w:rsidR="002D54C4" w:rsidRDefault="002D54C4" w14:paraId="58796BAD" w14:textId="77777777">
            <w:pPr>
              <w:pStyle w:val="zGNormal"/>
              <w:spacing w:line="256" w:lineRule="auto"/>
            </w:pPr>
            <w:r w:rsidRPr="002D2A8F">
              <w:t>Date:</w:t>
            </w:r>
          </w:p>
        </w:tc>
        <w:tc>
          <w:tcPr>
            <w:tcW w:w="4140" w:type="dxa"/>
            <w:tcBorders>
              <w:top w:val="single" w:color="auto" w:sz="4" w:space="0"/>
              <w:left w:val="nil"/>
              <w:bottom w:val="single" w:color="auto" w:sz="4" w:space="0"/>
              <w:right w:val="nil"/>
            </w:tcBorders>
            <w:vAlign w:val="bottom"/>
          </w:tcPr>
          <w:p w:rsidRPr="002D2A8F" w:rsidR="002D54C4" w:rsidRDefault="002D54C4" w14:paraId="4524A52A" w14:textId="77777777">
            <w:pPr>
              <w:keepLines/>
              <w:spacing w:line="256" w:lineRule="auto"/>
              <w:rPr>
                <w:rFonts w:ascii="Arial" w:hAnsi="Arial" w:cs="Arial"/>
                <w:sz w:val="20"/>
                <w:szCs w:val="20"/>
              </w:rPr>
            </w:pPr>
          </w:p>
        </w:tc>
      </w:tr>
    </w:tbl>
    <w:p w:rsidRPr="002D2A8F" w:rsidR="002D54C4" w:rsidP="002D54C4" w:rsidRDefault="002D54C4" w14:paraId="0A4FC69F" w14:textId="77777777">
      <w:pPr>
        <w:rPr>
          <w:rFonts w:ascii="Arial" w:hAnsi="Arial" w:eastAsia="Times New Roman" w:cs="Arial"/>
          <w:sz w:val="20"/>
          <w:szCs w:val="20"/>
        </w:rPr>
      </w:pPr>
      <w:r w:rsidRPr="002D2A8F">
        <w:rPr>
          <w:rFonts w:ascii="Arial" w:hAnsi="Arial" w:eastAsia="Times New Roman" w:cs="Arial"/>
          <w:sz w:val="20"/>
          <w:szCs w:val="20"/>
        </w:rPr>
        <w:br w:type="page"/>
      </w:r>
    </w:p>
    <w:p w:rsidRPr="002D2A8F" w:rsidR="002D54C4" w:rsidP="002D54C4" w:rsidRDefault="002D54C4" w14:paraId="1CCAC499" w14:textId="7867DE89">
      <w:pPr>
        <w:pStyle w:val="zGTitleExhibit"/>
        <w:rPr>
          <w:rFonts w:cs="Arial"/>
          <w:sz w:val="18"/>
          <w:szCs w:val="18"/>
        </w:rPr>
      </w:pPr>
      <w:bookmarkStart w:name="_Toc158117343" w:id="1303"/>
      <w:bookmarkStart w:name="_Toc169778731" w:id="1304"/>
      <w:bookmarkStart w:name="_Toc227451503" w:id="1305"/>
      <w:r w:rsidRPr="002D2A8F">
        <w:rPr>
          <w:rFonts w:cs="Arial"/>
        </w:rPr>
        <w:lastRenderedPageBreak/>
        <w:t xml:space="preserve">EXHIBIT </w:t>
      </w:r>
      <w:r w:rsidR="00316F5D">
        <w:rPr>
          <w:rFonts w:cs="Arial"/>
        </w:rPr>
        <w:t>P</w:t>
      </w:r>
      <w:r w:rsidRPr="002D2A8F" w:rsidR="00316F5D">
        <w:rPr>
          <w:rFonts w:cs="Arial"/>
        </w:rPr>
        <w:t xml:space="preserve"> </w:t>
      </w:r>
      <w:r w:rsidRPr="002D2A8F">
        <w:rPr>
          <w:rFonts w:cs="Arial"/>
        </w:rPr>
        <w:t>– ENVIRONMENTAL COMPLIANCE CERTIFICATION</w:t>
      </w:r>
      <w:bookmarkEnd w:id="1303"/>
      <w:bookmarkEnd w:id="1304"/>
      <w:bookmarkEnd w:id="1305"/>
    </w:p>
    <w:p w:rsidRPr="002D2A8F" w:rsidR="002D54C4" w:rsidP="005D5591" w:rsidRDefault="002D54C4" w14:paraId="29E4F55B" w14:textId="77777777">
      <w:pPr>
        <w:spacing w:after="0"/>
        <w:jc w:val="center"/>
        <w:textAlignment w:val="baseline"/>
        <w:rPr>
          <w:rFonts w:ascii="Arial" w:hAnsi="Arial" w:eastAsia="Times New Roman" w:cs="Arial"/>
          <w:sz w:val="20"/>
          <w:szCs w:val="20"/>
        </w:rPr>
      </w:pPr>
      <w:r w:rsidRPr="002D2A8F">
        <w:rPr>
          <w:rFonts w:ascii="Arial" w:hAnsi="Arial" w:eastAsia="Times New Roman" w:cs="Arial"/>
          <w:b/>
          <w:bCs/>
          <w:sz w:val="20"/>
          <w:szCs w:val="20"/>
        </w:rPr>
        <w:t>CERTIFICATION OF ENVIRONMENTAL COMPLIANCE </w:t>
      </w:r>
      <w:r w:rsidRPr="002D2A8F">
        <w:rPr>
          <w:rFonts w:ascii="Arial" w:hAnsi="Arial" w:eastAsia="Times New Roman" w:cs="Arial"/>
          <w:sz w:val="20"/>
          <w:szCs w:val="20"/>
        </w:rPr>
        <w:t> </w:t>
      </w:r>
    </w:p>
    <w:p w:rsidRPr="002D2A8F" w:rsidR="002D54C4" w:rsidP="005D5591" w:rsidRDefault="002D54C4" w14:paraId="4FA55A62" w14:textId="77777777">
      <w:pPr>
        <w:spacing w:after="0"/>
        <w:jc w:val="center"/>
        <w:textAlignment w:val="baseline"/>
        <w:rPr>
          <w:rFonts w:ascii="Arial" w:hAnsi="Arial" w:eastAsia="Times New Roman" w:cs="Arial"/>
          <w:sz w:val="20"/>
          <w:szCs w:val="20"/>
        </w:rPr>
      </w:pPr>
      <w:r w:rsidRPr="002D2A8F">
        <w:rPr>
          <w:rFonts w:ascii="Arial" w:hAnsi="Arial" w:eastAsia="Times New Roman" w:cs="Arial"/>
          <w:sz w:val="20"/>
          <w:szCs w:val="20"/>
        </w:rPr>
        <w:t> </w:t>
      </w:r>
    </w:p>
    <w:p w:rsidRPr="002D2A8F" w:rsidR="002D54C4" w:rsidP="00AD1D2B" w:rsidRDefault="002D54C4" w14:paraId="15892F88" w14:textId="593C5ED2">
      <w:pPr>
        <w:spacing w:after="0" w:line="240" w:lineRule="auto"/>
        <w:jc w:val="both"/>
        <w:textAlignment w:val="baseline"/>
        <w:rPr>
          <w:rFonts w:ascii="Arial" w:hAnsi="Arial" w:eastAsia="Times New Roman" w:cs="Arial"/>
          <w:sz w:val="20"/>
          <w:szCs w:val="20"/>
        </w:rPr>
      </w:pPr>
      <w:r w:rsidRPr="002D2A8F">
        <w:rPr>
          <w:rFonts w:ascii="Arial" w:hAnsi="Arial" w:eastAsia="Times New Roman" w:cs="Arial"/>
          <w:b/>
          <w:bCs/>
          <w:sz w:val="20"/>
          <w:szCs w:val="20"/>
        </w:rPr>
        <w:t xml:space="preserve">AGREEMENT – </w:t>
      </w:r>
      <w:r w:rsidRPr="000C6A97" w:rsidR="00837904">
        <w:rPr>
          <w:rFonts w:ascii="Arial" w:hAnsi="Arial" w:eastAsia="Times New Roman" w:cs="Arial"/>
          <w:b/>
          <w:bCs/>
          <w:sz w:val="20"/>
          <w:szCs w:val="20"/>
        </w:rPr>
        <w:t xml:space="preserve">Power </w:t>
      </w:r>
      <w:r w:rsidRPr="000C6A97" w:rsidR="00837904">
        <w:rPr>
          <w:rFonts w:ascii="Arial" w:hAnsi="Arial" w:cs="Arial"/>
          <w:b/>
          <w:bCs/>
          <w:sz w:val="20"/>
          <w:szCs w:val="20"/>
        </w:rPr>
        <w:t>Purchase Agreement for Firm Capacity, Associated Energy, and Ancillary Services from a</w:t>
      </w:r>
      <w:r w:rsidR="001B2337">
        <w:rPr>
          <w:rFonts w:ascii="Arial" w:hAnsi="Arial" w:cs="Arial"/>
          <w:b/>
          <w:bCs/>
          <w:sz w:val="20"/>
          <w:szCs w:val="20"/>
        </w:rPr>
        <w:t xml:space="preserve"> Battery</w:t>
      </w:r>
      <w:r w:rsidRPr="000C6A97" w:rsidR="00837904">
        <w:rPr>
          <w:rFonts w:ascii="Arial" w:hAnsi="Arial" w:cs="Arial"/>
          <w:b/>
          <w:bCs/>
          <w:sz w:val="20"/>
          <w:szCs w:val="20"/>
        </w:rPr>
        <w:t xml:space="preserve"> Energy Storage System with Renewable Resource</w:t>
      </w:r>
      <w:r w:rsidR="009F0025">
        <w:rPr>
          <w:rFonts w:ascii="Arial" w:hAnsi="Arial" w:cs="Arial"/>
          <w:b/>
          <w:bCs/>
          <w:sz w:val="20"/>
          <w:szCs w:val="20"/>
        </w:rPr>
        <w:t xml:space="preserve"> </w:t>
      </w:r>
      <w:bookmarkStart w:name="_Hlk167328957" w:id="1306"/>
      <w:r w:rsidR="009F0025">
        <w:rPr>
          <w:rFonts w:ascii="Arial" w:hAnsi="Arial" w:cs="Arial"/>
          <w:b/>
          <w:bCs/>
          <w:sz w:val="20"/>
          <w:szCs w:val="20"/>
        </w:rPr>
        <w:t>for</w:t>
      </w:r>
      <w:r w:rsidR="00682CC8">
        <w:rPr>
          <w:rFonts w:ascii="Arial" w:hAnsi="Arial" w:cs="Arial"/>
          <w:b/>
          <w:bCs/>
          <w:sz w:val="20"/>
          <w:szCs w:val="20"/>
        </w:rPr>
        <w:t xml:space="preserve"> </w:t>
      </w:r>
      <w:r w:rsidRPr="004D5435" w:rsidR="004D5435">
        <w:rPr>
          <w:rFonts w:ascii="Arial" w:hAnsi="Arial" w:cs="Arial"/>
          <w:b/>
          <w:bCs/>
          <w:sz w:val="20"/>
          <w:szCs w:val="20"/>
        </w:rPr>
        <w:t>2026 All-Source Capacity Request for Proposals for Need Years 2032</w:t>
      </w:r>
      <w:r w:rsidR="00A11E48">
        <w:rPr>
          <w:rFonts w:ascii="Arial" w:hAnsi="Arial" w:cs="Arial"/>
          <w:b/>
          <w:bCs/>
          <w:sz w:val="20"/>
          <w:szCs w:val="20"/>
        </w:rPr>
        <w:t>-</w:t>
      </w:r>
      <w:r w:rsidRPr="004D5435" w:rsidR="004D5435">
        <w:rPr>
          <w:rFonts w:ascii="Arial" w:hAnsi="Arial" w:cs="Arial"/>
          <w:b/>
          <w:bCs/>
          <w:sz w:val="20"/>
          <w:szCs w:val="20"/>
        </w:rPr>
        <w:t>2033</w:t>
      </w:r>
      <w:r w:rsidR="002905DD">
        <w:rPr>
          <w:rFonts w:ascii="Arial" w:hAnsi="Arial" w:cs="Arial"/>
          <w:b/>
          <w:bCs/>
          <w:sz w:val="20"/>
          <w:szCs w:val="20"/>
        </w:rPr>
        <w:t xml:space="preserve"> </w:t>
      </w:r>
      <w:bookmarkEnd w:id="1306"/>
      <w:r w:rsidRPr="002D2A8F">
        <w:rPr>
          <w:rFonts w:ascii="Arial" w:hAnsi="Arial" w:eastAsia="Times New Roman" w:cs="Arial"/>
          <w:b/>
          <w:bCs/>
          <w:sz w:val="20"/>
          <w:szCs w:val="20"/>
        </w:rPr>
        <w:t xml:space="preserve">at </w:t>
      </w:r>
      <w:r w:rsidRPr="002D2A8F">
        <w:rPr>
          <w:rFonts w:ascii="Arial" w:hAnsi="Arial" w:eastAsia="Times New Roman" w:cs="Arial"/>
          <w:b/>
          <w:bCs/>
          <w:sz w:val="20"/>
          <w:szCs w:val="20"/>
          <w:shd w:val="clear" w:color="auto" w:fill="FFFF00"/>
        </w:rPr>
        <w:t>#FacilityName#</w:t>
      </w:r>
      <w:r w:rsidRPr="002D2A8F">
        <w:rPr>
          <w:rFonts w:ascii="Arial" w:hAnsi="Arial" w:eastAsia="Times New Roman" w:cs="Arial"/>
          <w:b/>
          <w:bCs/>
          <w:sz w:val="20"/>
          <w:szCs w:val="20"/>
        </w:rPr>
        <w:t xml:space="preserve"> </w:t>
      </w:r>
      <w:r w:rsidRPr="002D2A8F">
        <w:rPr>
          <w:rFonts w:ascii="Arial" w:hAnsi="Arial" w:eastAsia="Times New Roman" w:cs="Arial"/>
          <w:sz w:val="20"/>
          <w:szCs w:val="20"/>
        </w:rPr>
        <w:t>dated as of ______ ___, 20__ between</w:t>
      </w:r>
      <w:r w:rsidRPr="002D2A8F">
        <w:rPr>
          <w:rFonts w:ascii="Arial" w:hAnsi="Arial" w:eastAsia="Times New Roman" w:cs="Arial"/>
          <w:b/>
          <w:bCs/>
          <w:sz w:val="20"/>
          <w:szCs w:val="20"/>
        </w:rPr>
        <w:t xml:space="preserve"> Georgia Power Company</w:t>
      </w:r>
      <w:r w:rsidRPr="002D2A8F">
        <w:rPr>
          <w:rFonts w:ascii="Arial" w:hAnsi="Arial" w:eastAsia="Times New Roman" w:cs="Arial"/>
          <w:sz w:val="20"/>
          <w:szCs w:val="20"/>
        </w:rPr>
        <w:t xml:space="preserve"> (“</w:t>
      </w:r>
      <w:r w:rsidRPr="002D2A8F">
        <w:rPr>
          <w:rFonts w:ascii="Arial" w:hAnsi="Arial" w:eastAsia="Times New Roman" w:cs="Arial"/>
          <w:b/>
          <w:bCs/>
          <w:sz w:val="20"/>
          <w:szCs w:val="20"/>
        </w:rPr>
        <w:t>GPC</w:t>
      </w:r>
      <w:r w:rsidRPr="002D2A8F">
        <w:rPr>
          <w:rFonts w:ascii="Arial" w:hAnsi="Arial" w:eastAsia="Times New Roman" w:cs="Arial"/>
          <w:sz w:val="20"/>
          <w:szCs w:val="20"/>
        </w:rPr>
        <w:t xml:space="preserve">”), and </w:t>
      </w:r>
      <w:r w:rsidRPr="002D2A8F">
        <w:rPr>
          <w:rFonts w:ascii="Arial" w:hAnsi="Arial" w:eastAsia="Times New Roman" w:cs="Arial"/>
          <w:b/>
          <w:bCs/>
          <w:sz w:val="20"/>
          <w:szCs w:val="20"/>
          <w:shd w:val="clear" w:color="auto" w:fill="FFFF00"/>
        </w:rPr>
        <w:t>#SellerLegalName#</w:t>
      </w:r>
      <w:r w:rsidRPr="002D2A8F">
        <w:rPr>
          <w:rFonts w:ascii="Arial" w:hAnsi="Arial" w:eastAsia="Times New Roman" w:cs="Arial"/>
          <w:sz w:val="20"/>
          <w:szCs w:val="20"/>
        </w:rPr>
        <w:t xml:space="preserve"> (“</w:t>
      </w:r>
      <w:r w:rsidRPr="002D2A8F">
        <w:rPr>
          <w:rFonts w:ascii="Arial" w:hAnsi="Arial" w:eastAsia="Times New Roman" w:cs="Arial"/>
          <w:b/>
          <w:bCs/>
          <w:sz w:val="20"/>
          <w:szCs w:val="20"/>
        </w:rPr>
        <w:t>Seller</w:t>
      </w:r>
      <w:r w:rsidRPr="002D2A8F">
        <w:rPr>
          <w:rFonts w:ascii="Arial" w:hAnsi="Arial" w:eastAsia="Times New Roman" w:cs="Arial"/>
          <w:sz w:val="20"/>
          <w:szCs w:val="20"/>
        </w:rPr>
        <w:t>”) (“</w:t>
      </w:r>
      <w:r w:rsidRPr="002D2A8F">
        <w:rPr>
          <w:rFonts w:ascii="Arial" w:hAnsi="Arial" w:eastAsia="Times New Roman" w:cs="Arial"/>
          <w:b/>
          <w:bCs/>
          <w:sz w:val="20"/>
          <w:szCs w:val="20"/>
        </w:rPr>
        <w:t>PPA</w:t>
      </w:r>
      <w:r w:rsidRPr="002D2A8F">
        <w:rPr>
          <w:rFonts w:ascii="Arial" w:hAnsi="Arial" w:eastAsia="Times New Roman" w:cs="Arial"/>
          <w:sz w:val="20"/>
          <w:szCs w:val="20"/>
        </w:rPr>
        <w:t>”). Capitalized terms used herein will have the meaning assigned in the PPA. </w:t>
      </w:r>
    </w:p>
    <w:p w:rsidR="00F466F1" w:rsidP="00AD1D2B" w:rsidRDefault="00F466F1" w14:paraId="35594AA9" w14:textId="77777777">
      <w:pPr>
        <w:spacing w:after="0" w:line="240" w:lineRule="auto"/>
        <w:jc w:val="both"/>
        <w:textAlignment w:val="baseline"/>
        <w:rPr>
          <w:rFonts w:ascii="Arial" w:hAnsi="Arial" w:eastAsia="Times New Roman" w:cs="Arial"/>
          <w:sz w:val="20"/>
          <w:szCs w:val="20"/>
        </w:rPr>
      </w:pPr>
    </w:p>
    <w:p w:rsidRPr="00FC40A3" w:rsidR="002D54C4" w:rsidP="00FC40A3" w:rsidRDefault="002D54C4" w14:paraId="4AF12449" w14:textId="0A3EA95E">
      <w:pPr>
        <w:pStyle w:val="BodyText"/>
        <w:spacing w:before="0" w:after="0"/>
        <w:textAlignment w:val="baseline"/>
        <w:rPr>
          <w:rFonts w:eastAsia="Times New Roman" w:cs="Arial"/>
        </w:rPr>
      </w:pPr>
      <w:r w:rsidRPr="00FC40A3">
        <w:rPr>
          <w:rFonts w:eastAsia="Times New Roman" w:cs="Arial"/>
        </w:rPr>
        <w:t>The undersigned individual, being the [●] of Seller and having responsibilities for environmental compliance and reporting matters associated with this PPA, certifies to the following: </w:t>
      </w:r>
    </w:p>
    <w:p w:rsidRPr="00901FFF" w:rsidR="002D54C4" w:rsidP="00C1276B" w:rsidRDefault="00971EC4" w14:paraId="2009E0FC" w14:textId="50829E07">
      <w:pPr>
        <w:pStyle w:val="zGListNum"/>
        <w:widowControl/>
        <w:numPr>
          <w:ilvl w:val="0"/>
          <w:numId w:val="5"/>
        </w:numPr>
        <w:tabs>
          <w:tab w:val="clear" w:pos="360"/>
        </w:tabs>
        <w:autoSpaceDE/>
        <w:autoSpaceDN/>
        <w:adjustRightInd/>
        <w:spacing w:before="0"/>
        <w:textAlignment w:val="baseline"/>
        <w:rPr>
          <w:rFonts w:eastAsia="Times New Roman"/>
          <w:spacing w:val="0"/>
          <w:kern w:val="0"/>
        </w:rPr>
      </w:pPr>
      <w:r>
        <w:rPr>
          <w:rFonts w:eastAsia="Times New Roman"/>
          <w:spacing w:val="0"/>
          <w:kern w:val="0"/>
        </w:rPr>
        <w:t>Since the date of Seller’s prior Certific</w:t>
      </w:r>
      <w:r w:rsidR="00792E91">
        <w:rPr>
          <w:rFonts w:eastAsia="Times New Roman"/>
          <w:spacing w:val="0"/>
          <w:kern w:val="0"/>
        </w:rPr>
        <w:t>ation of Environmental Compliance,</w:t>
      </w:r>
      <w:r w:rsidR="003E51B1">
        <w:rPr>
          <w:rFonts w:eastAsia="Times New Roman"/>
          <w:spacing w:val="0"/>
          <w:kern w:val="0"/>
        </w:rPr>
        <w:t xml:space="preserve"> delivered in accordance with the PPA,</w:t>
      </w:r>
      <w:r w:rsidR="00792E91">
        <w:rPr>
          <w:rFonts w:eastAsia="Times New Roman"/>
          <w:spacing w:val="0"/>
          <w:kern w:val="0"/>
        </w:rPr>
        <w:t xml:space="preserve"> t</w:t>
      </w:r>
      <w:r w:rsidRPr="00901FFF" w:rsidR="003A2437">
        <w:rPr>
          <w:rFonts w:eastAsia="Times New Roman"/>
          <w:spacing w:val="0"/>
          <w:kern w:val="0"/>
        </w:rPr>
        <w:t>here have been no changes in the design</w:t>
      </w:r>
      <w:r w:rsidR="00007671">
        <w:rPr>
          <w:rFonts w:eastAsia="Times New Roman"/>
          <w:spacing w:val="0"/>
          <w:kern w:val="0"/>
        </w:rPr>
        <w:t xml:space="preserve"> or construction</w:t>
      </w:r>
      <w:r w:rsidRPr="00901FFF" w:rsidR="003A2437">
        <w:rPr>
          <w:rFonts w:eastAsia="Times New Roman"/>
          <w:spacing w:val="0"/>
          <w:kern w:val="0"/>
        </w:rPr>
        <w:t xml:space="preserve"> of the Facility that resulted in or, to the best of the </w:t>
      </w:r>
      <w:r w:rsidRPr="00901FFF" w:rsidR="00901FFF">
        <w:rPr>
          <w:rFonts w:eastAsia="Times New Roman"/>
          <w:spacing w:val="0"/>
          <w:kern w:val="0"/>
        </w:rPr>
        <w:t xml:space="preserve">  </w:t>
      </w:r>
      <w:r w:rsidRPr="00901FFF" w:rsidR="003A2437">
        <w:rPr>
          <w:rFonts w:eastAsia="Times New Roman"/>
          <w:spacing w:val="0"/>
          <w:kern w:val="0"/>
        </w:rPr>
        <w:t>knowledge of the undersigned after reasonable inquiry, are expected to result in, additional impacts to the environment that have not been previously disclosed in writing to GPC</w:t>
      </w:r>
      <w:r w:rsidRPr="00901FFF" w:rsidR="002D54C4">
        <w:rPr>
          <w:rFonts w:eastAsia="Times New Roman"/>
          <w:spacing w:val="0"/>
          <w:kern w:val="0"/>
        </w:rPr>
        <w:t>.  </w:t>
      </w:r>
    </w:p>
    <w:p w:rsidRPr="002D2A8F" w:rsidR="002D54C4" w:rsidP="00AD1D2B" w:rsidRDefault="002D54C4" w14:paraId="3608DC91" w14:textId="77777777">
      <w:pPr>
        <w:spacing w:after="0" w:line="240" w:lineRule="auto"/>
        <w:ind w:left="720"/>
        <w:textAlignment w:val="baseline"/>
        <w:rPr>
          <w:rFonts w:ascii="Arial" w:hAnsi="Arial" w:eastAsia="Times New Roman" w:cs="Arial"/>
          <w:sz w:val="20"/>
          <w:szCs w:val="20"/>
        </w:rPr>
      </w:pPr>
      <w:r w:rsidRPr="002D2A8F">
        <w:rPr>
          <w:rFonts w:ascii="Arial" w:hAnsi="Arial" w:eastAsia="Times New Roman" w:cs="Arial"/>
          <w:sz w:val="20"/>
          <w:szCs w:val="20"/>
        </w:rPr>
        <w:t>________Yes </w:t>
      </w:r>
    </w:p>
    <w:p w:rsidRPr="002D2A8F" w:rsidR="002D54C4" w:rsidP="00AD1D2B" w:rsidRDefault="002D54C4" w14:paraId="0D028949" w14:textId="77777777">
      <w:pPr>
        <w:spacing w:after="0" w:line="240" w:lineRule="auto"/>
        <w:ind w:left="720"/>
        <w:textAlignment w:val="baseline"/>
        <w:rPr>
          <w:rFonts w:ascii="Arial" w:hAnsi="Arial" w:eastAsia="Times New Roman" w:cs="Arial"/>
          <w:sz w:val="20"/>
          <w:szCs w:val="20"/>
        </w:rPr>
      </w:pPr>
      <w:r w:rsidRPr="002D2A8F">
        <w:rPr>
          <w:rFonts w:ascii="Arial" w:hAnsi="Arial" w:eastAsia="Times New Roman" w:cs="Arial"/>
          <w:sz w:val="20"/>
          <w:szCs w:val="20"/>
        </w:rPr>
        <w:t>________No (please explain) </w:t>
      </w:r>
    </w:p>
    <w:p w:rsidRPr="002D2A8F" w:rsidR="002D54C4" w:rsidP="00AD1D2B" w:rsidRDefault="002D54C4" w14:paraId="35596A7F" w14:textId="77777777">
      <w:pPr>
        <w:spacing w:after="0" w:line="240" w:lineRule="auto"/>
        <w:ind w:left="720"/>
        <w:textAlignment w:val="baseline"/>
        <w:rPr>
          <w:rFonts w:ascii="Arial" w:hAnsi="Arial" w:eastAsia="Times New Roman" w:cs="Arial"/>
          <w:sz w:val="20"/>
          <w:szCs w:val="20"/>
        </w:rPr>
      </w:pPr>
      <w:r w:rsidRPr="002D2A8F">
        <w:rPr>
          <w:rFonts w:ascii="Arial" w:hAnsi="Arial" w:eastAsia="Times New Roman" w:cs="Arial"/>
          <w:sz w:val="20"/>
          <w:szCs w:val="20"/>
        </w:rPr>
        <w:t>Explain:_______________________________________________________________________ </w:t>
      </w:r>
    </w:p>
    <w:p w:rsidRPr="002D2A8F" w:rsidR="002D54C4" w:rsidP="00AD1D2B" w:rsidRDefault="002D54C4" w14:paraId="42574DB9" w14:textId="77777777">
      <w:pPr>
        <w:spacing w:after="0" w:line="240" w:lineRule="auto"/>
        <w:ind w:left="720"/>
        <w:textAlignment w:val="baseline"/>
        <w:rPr>
          <w:rFonts w:ascii="Arial" w:hAnsi="Arial" w:eastAsia="Times New Roman" w:cs="Arial"/>
          <w:sz w:val="20"/>
          <w:szCs w:val="20"/>
        </w:rPr>
      </w:pPr>
      <w:r w:rsidRPr="002D2A8F">
        <w:rPr>
          <w:rFonts w:ascii="Arial" w:hAnsi="Arial" w:eastAsia="Times New Roman" w:cs="Arial"/>
          <w:sz w:val="20"/>
          <w:szCs w:val="20"/>
        </w:rPr>
        <w:t>(a)</w:t>
      </w:r>
      <w:r w:rsidRPr="002D2A8F">
        <w:rPr>
          <w:rFonts w:ascii="Arial" w:hAnsi="Arial" w:eastAsia="Times New Roman" w:cs="Arial"/>
          <w:sz w:val="20"/>
          <w:szCs w:val="20"/>
        </w:rPr>
        <w:tab/>
        <w:t>If “no,” a figure set or plan sheets that highlights such changes is attached. </w:t>
      </w:r>
    </w:p>
    <w:p w:rsidRPr="002D2A8F" w:rsidR="002D54C4" w:rsidP="00AD1D2B" w:rsidRDefault="002D54C4" w14:paraId="2A4D85E7" w14:textId="77777777">
      <w:pPr>
        <w:spacing w:after="0" w:line="240" w:lineRule="auto"/>
        <w:ind w:left="720"/>
        <w:textAlignment w:val="baseline"/>
        <w:rPr>
          <w:rFonts w:ascii="Arial" w:hAnsi="Arial" w:eastAsia="Times New Roman" w:cs="Arial"/>
          <w:sz w:val="20"/>
          <w:szCs w:val="20"/>
        </w:rPr>
      </w:pPr>
      <w:r w:rsidRPr="002D2A8F">
        <w:rPr>
          <w:rFonts w:ascii="Arial" w:hAnsi="Arial" w:eastAsia="Times New Roman" w:cs="Arial"/>
          <w:sz w:val="20"/>
          <w:szCs w:val="20"/>
        </w:rPr>
        <w:t>(b)</w:t>
      </w:r>
      <w:r w:rsidRPr="002D2A8F">
        <w:rPr>
          <w:rFonts w:ascii="Arial" w:hAnsi="Arial" w:eastAsia="Times New Roman" w:cs="Arial"/>
          <w:sz w:val="20"/>
          <w:szCs w:val="20"/>
        </w:rPr>
        <w:tab/>
        <w:t>If “no,” copies of all documentation that all necessary Permits have been obtained and/or that the appropriate Governmental Authority coordination has occurred to legally allow for such impacts is attached. </w:t>
      </w:r>
    </w:p>
    <w:p w:rsidRPr="00AB39F1" w:rsidR="002D54C4" w:rsidP="00C1276B" w:rsidRDefault="002D54C4" w14:paraId="7B16C4A2" w14:textId="584BC923">
      <w:pPr>
        <w:pStyle w:val="ListParagraph"/>
        <w:numPr>
          <w:ilvl w:val="0"/>
          <w:numId w:val="5"/>
        </w:numPr>
        <w:spacing w:line="240" w:lineRule="auto"/>
        <w:jc w:val="both"/>
        <w:textAlignment w:val="baseline"/>
        <w:rPr>
          <w:rFonts w:ascii="Arial" w:hAnsi="Arial" w:eastAsia="Times New Roman" w:cs="Arial"/>
          <w:sz w:val="20"/>
          <w:szCs w:val="20"/>
        </w:rPr>
      </w:pPr>
      <w:r w:rsidRPr="00AB39F1">
        <w:rPr>
          <w:rFonts w:ascii="Arial" w:hAnsi="Arial" w:eastAsia="Times New Roman" w:cs="Arial"/>
          <w:sz w:val="20"/>
          <w:szCs w:val="20"/>
        </w:rPr>
        <w:t>A list of Permits for the Facility that were obtained (opened) or Governmental Authority prescriptions that were issued since the previous Certification is attached. </w:t>
      </w:r>
    </w:p>
    <w:p w:rsidRPr="00AB39F1" w:rsidR="002D54C4" w:rsidP="00C1276B" w:rsidRDefault="002D54C4" w14:paraId="33827343" w14:textId="26E90E76">
      <w:pPr>
        <w:pStyle w:val="ListParagraph"/>
        <w:numPr>
          <w:ilvl w:val="0"/>
          <w:numId w:val="6"/>
        </w:numPr>
        <w:spacing w:line="240" w:lineRule="auto"/>
        <w:jc w:val="both"/>
        <w:textAlignment w:val="baseline"/>
        <w:rPr>
          <w:rFonts w:ascii="Arial" w:hAnsi="Arial" w:eastAsia="Times New Roman" w:cs="Arial"/>
          <w:sz w:val="20"/>
          <w:szCs w:val="20"/>
        </w:rPr>
      </w:pPr>
      <w:r w:rsidRPr="00AB39F1">
        <w:rPr>
          <w:rFonts w:ascii="Arial" w:hAnsi="Arial" w:eastAsia="Times New Roman" w:cs="Arial"/>
          <w:sz w:val="20"/>
          <w:szCs w:val="20"/>
        </w:rPr>
        <w:t>A list of Permits for the Facility that were applied for but have not yet been obtained (opened) since the previous Certification is attached. </w:t>
      </w:r>
    </w:p>
    <w:p w:rsidRPr="002D2A8F" w:rsidR="002D54C4" w:rsidP="00C1276B" w:rsidRDefault="002D54C4" w14:paraId="2E8CA749" w14:textId="7A820E5F">
      <w:pPr>
        <w:numPr>
          <w:ilvl w:val="0"/>
          <w:numId w:val="6"/>
        </w:numPr>
        <w:spacing w:after="0" w:line="240" w:lineRule="auto"/>
        <w:jc w:val="both"/>
        <w:textAlignment w:val="baseline"/>
        <w:rPr>
          <w:rFonts w:ascii="Arial" w:hAnsi="Arial" w:eastAsia="Times New Roman" w:cs="Arial"/>
          <w:sz w:val="20"/>
          <w:szCs w:val="20"/>
        </w:rPr>
      </w:pPr>
      <w:r w:rsidRPr="002D2A8F">
        <w:rPr>
          <w:rFonts w:ascii="Arial" w:hAnsi="Arial" w:eastAsia="Times New Roman" w:cs="Arial"/>
          <w:sz w:val="20"/>
          <w:szCs w:val="20"/>
        </w:rPr>
        <w:t>A list of any notices of violation (NOV) that were issued</w:t>
      </w:r>
      <w:r w:rsidR="00C34080">
        <w:rPr>
          <w:rFonts w:ascii="Arial" w:hAnsi="Arial" w:eastAsia="Times New Roman" w:cs="Arial"/>
          <w:sz w:val="20"/>
          <w:szCs w:val="20"/>
        </w:rPr>
        <w:t xml:space="preserve"> since the previous certification</w:t>
      </w:r>
      <w:r w:rsidRPr="002D2A8F">
        <w:rPr>
          <w:rFonts w:ascii="Arial" w:hAnsi="Arial" w:eastAsia="Times New Roman" w:cs="Arial"/>
          <w:sz w:val="20"/>
          <w:szCs w:val="20"/>
        </w:rPr>
        <w:t xml:space="preserve"> with respect to Seller [or in connection with the Facility], including: (i) the Governmental Authority that issued the NOV, (ii) the status of remediation of the violation; and (iii) if remediation has not been completed, the duration anticipated for resolution is attached. Copies of any NOVs are also attached. </w:t>
      </w:r>
    </w:p>
    <w:p w:rsidRPr="00AB39F1" w:rsidR="002D54C4" w:rsidP="00C1276B" w:rsidRDefault="002D54C4" w14:paraId="64FA5C1B" w14:textId="24AAB5CB">
      <w:pPr>
        <w:pStyle w:val="ListParagraph"/>
        <w:numPr>
          <w:ilvl w:val="0"/>
          <w:numId w:val="6"/>
        </w:numPr>
        <w:spacing w:line="240" w:lineRule="auto"/>
        <w:jc w:val="both"/>
        <w:textAlignment w:val="baseline"/>
        <w:rPr>
          <w:rFonts w:ascii="Arial" w:hAnsi="Arial" w:eastAsia="Times New Roman" w:cs="Arial"/>
          <w:sz w:val="20"/>
          <w:szCs w:val="20"/>
        </w:rPr>
      </w:pPr>
      <w:r w:rsidRPr="00AB39F1">
        <w:rPr>
          <w:rFonts w:ascii="Arial" w:hAnsi="Arial" w:eastAsia="Times New Roman" w:cs="Arial"/>
          <w:sz w:val="20"/>
          <w:szCs w:val="20"/>
        </w:rPr>
        <w:t>Attached is a list identifying (by name and address) any adjacent landowner, lessee or neighbor complaints against Seller or the Facility</w:t>
      </w:r>
      <w:r w:rsidR="00184495">
        <w:rPr>
          <w:rFonts w:ascii="Arial" w:hAnsi="Arial" w:eastAsia="Times New Roman" w:cs="Arial"/>
          <w:sz w:val="20"/>
          <w:szCs w:val="20"/>
        </w:rPr>
        <w:t xml:space="preserve"> since the previous certification</w:t>
      </w:r>
      <w:r w:rsidRPr="00AB39F1">
        <w:rPr>
          <w:rFonts w:ascii="Arial" w:hAnsi="Arial" w:eastAsia="Times New Roman" w:cs="Arial"/>
          <w:sz w:val="20"/>
          <w:szCs w:val="20"/>
        </w:rPr>
        <w:t>, as well as: (i) a general description of the complaint; and (ii) plans that Seller took to resolve the complaint or, if not yet resolved, what actions Seller has taken to date, or intends to take, to resolve the complaint, along with a timeline for completing such actions. </w:t>
      </w:r>
    </w:p>
    <w:p w:rsidRPr="00AB39F1" w:rsidR="002D54C4" w:rsidP="00C1276B" w:rsidRDefault="002D54C4" w14:paraId="73AC67AC" w14:textId="794BE632">
      <w:pPr>
        <w:pStyle w:val="ListParagraph"/>
        <w:numPr>
          <w:ilvl w:val="0"/>
          <w:numId w:val="7"/>
        </w:numPr>
        <w:spacing w:line="240" w:lineRule="auto"/>
        <w:jc w:val="both"/>
        <w:textAlignment w:val="baseline"/>
        <w:rPr>
          <w:rFonts w:ascii="Arial" w:hAnsi="Arial" w:eastAsia="Times New Roman" w:cs="Arial"/>
          <w:sz w:val="20"/>
          <w:szCs w:val="20"/>
        </w:rPr>
      </w:pPr>
      <w:r w:rsidRPr="00AB39F1">
        <w:rPr>
          <w:rFonts w:ascii="Arial" w:hAnsi="Arial" w:eastAsia="Times New Roman" w:cs="Arial"/>
          <w:sz w:val="20"/>
          <w:szCs w:val="20"/>
        </w:rPr>
        <w:t>A list of any Permits and/or other Governmental Authority prescribed actions that have been fulfilled and/or closed since the previous Certification is attached. </w:t>
      </w:r>
    </w:p>
    <w:p w:rsidRPr="00AB39F1" w:rsidR="00731143" w:rsidP="00C1276B" w:rsidRDefault="002D54C4" w14:paraId="071DE475" w14:textId="51667FBD">
      <w:pPr>
        <w:pStyle w:val="ListParagraph"/>
        <w:numPr>
          <w:ilvl w:val="0"/>
          <w:numId w:val="7"/>
        </w:numPr>
        <w:spacing w:line="240" w:lineRule="auto"/>
        <w:jc w:val="both"/>
        <w:textAlignment w:val="baseline"/>
        <w:rPr>
          <w:rFonts w:ascii="Arial" w:hAnsi="Arial" w:eastAsia="Times New Roman" w:cs="Arial"/>
          <w:b/>
          <w:bCs/>
          <w:sz w:val="20"/>
          <w:szCs w:val="20"/>
          <w:u w:val="single"/>
        </w:rPr>
      </w:pPr>
      <w:r w:rsidRPr="00AB39F1">
        <w:rPr>
          <w:rFonts w:ascii="Arial" w:hAnsi="Arial" w:eastAsia="Times New Roman" w:cs="Arial"/>
          <w:sz w:val="20"/>
          <w:szCs w:val="20"/>
        </w:rPr>
        <w:t>Except as already referenced or included in an attachment to this Certification, there are no other documents, notices or correspondence from any Governmental Authority indicating that the Facility and the Site is not in compliance with or is not in good standing under, and Environmental Laws, Permit or other Governmental Authority prescribed actions. </w:t>
      </w:r>
    </w:p>
    <w:p w:rsidR="00AB39F1" w:rsidP="00AD1D2B" w:rsidRDefault="00AB39F1" w14:paraId="3DC89388" w14:textId="77777777">
      <w:pPr>
        <w:spacing w:after="0" w:line="240" w:lineRule="auto"/>
        <w:textAlignment w:val="baseline"/>
        <w:rPr>
          <w:rFonts w:ascii="Arial" w:hAnsi="Arial" w:eastAsia="Times New Roman" w:cs="Arial"/>
          <w:b/>
          <w:bCs/>
          <w:sz w:val="20"/>
          <w:szCs w:val="20"/>
          <w:u w:val="single"/>
        </w:rPr>
      </w:pPr>
    </w:p>
    <w:p w:rsidRPr="002D2A8F" w:rsidR="002D54C4" w:rsidP="00AD1D2B" w:rsidRDefault="002D54C4" w14:paraId="2E1FD211" w14:textId="5AAD19EE">
      <w:pPr>
        <w:spacing w:after="0" w:line="240" w:lineRule="auto"/>
        <w:textAlignment w:val="baseline"/>
        <w:rPr>
          <w:rFonts w:ascii="Arial" w:hAnsi="Arial" w:eastAsia="Times New Roman" w:cs="Arial"/>
          <w:sz w:val="20"/>
          <w:szCs w:val="20"/>
        </w:rPr>
      </w:pPr>
      <w:r w:rsidRPr="002D2A8F">
        <w:rPr>
          <w:rFonts w:ascii="Arial" w:hAnsi="Arial" w:eastAsia="Times New Roman" w:cs="Arial"/>
          <w:b/>
          <w:bCs/>
          <w:sz w:val="20"/>
          <w:szCs w:val="20"/>
          <w:u w:val="single"/>
        </w:rPr>
        <w:t>Confirmation</w:t>
      </w:r>
      <w:r w:rsidRPr="002D2A8F">
        <w:rPr>
          <w:rFonts w:ascii="Arial" w:hAnsi="Arial" w:eastAsia="Times New Roman" w:cs="Arial"/>
          <w:sz w:val="20"/>
          <w:szCs w:val="20"/>
        </w:rPr>
        <w:t> </w:t>
      </w:r>
    </w:p>
    <w:p w:rsidRPr="002D2A8F" w:rsidR="002D54C4" w:rsidP="00AD1D2B" w:rsidRDefault="002D54C4" w14:paraId="15CA9F75" w14:textId="77777777">
      <w:pPr>
        <w:spacing w:after="0" w:line="240" w:lineRule="auto"/>
        <w:textAlignment w:val="baseline"/>
        <w:rPr>
          <w:rFonts w:ascii="Arial" w:hAnsi="Arial" w:eastAsia="Times New Roman" w:cs="Arial"/>
          <w:sz w:val="20"/>
          <w:szCs w:val="20"/>
        </w:rPr>
      </w:pPr>
      <w:r w:rsidRPr="002D2A8F">
        <w:rPr>
          <w:rFonts w:ascii="Arial" w:hAnsi="Arial" w:eastAsia="Times New Roman" w:cs="Arial"/>
          <w:b/>
          <w:bCs/>
          <w:sz w:val="20"/>
          <w:szCs w:val="20"/>
        </w:rPr>
        <w:t>The above information (and any attachments) has been completed in full and agrees with our records as of the date of this Certification.</w:t>
      </w:r>
      <w:r w:rsidRPr="002D2A8F">
        <w:rPr>
          <w:rFonts w:ascii="Arial" w:hAnsi="Arial" w:eastAsia="Times New Roman" w:cs="Arial"/>
          <w:sz w:val="20"/>
          <w:szCs w:val="20"/>
        </w:rPr>
        <w:t>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005"/>
        <w:gridCol w:w="4080"/>
        <w:gridCol w:w="30"/>
      </w:tblGrid>
      <w:tr w:rsidRPr="00C30F69" w:rsidR="002D54C4" w14:paraId="4A1E4A2D" w14:textId="77777777">
        <w:trPr>
          <w:trHeight w:val="360"/>
        </w:trPr>
        <w:tc>
          <w:tcPr>
            <w:tcW w:w="5115" w:type="dxa"/>
            <w:gridSpan w:val="3"/>
            <w:tcBorders>
              <w:top w:val="nil"/>
              <w:left w:val="nil"/>
              <w:bottom w:val="nil"/>
              <w:right w:val="nil"/>
            </w:tcBorders>
            <w:hideMark/>
          </w:tcPr>
          <w:p w:rsidRPr="00C30F69" w:rsidR="002D54C4" w:rsidP="00AD1D2B" w:rsidRDefault="002D54C4" w14:paraId="195417B5" w14:textId="77777777">
            <w:pPr>
              <w:spacing w:after="0" w:line="240" w:lineRule="auto"/>
              <w:textAlignment w:val="baseline"/>
              <w:rPr>
                <w:rFonts w:ascii="Arial" w:hAnsi="Arial" w:eastAsia="Times New Roman" w:cs="Arial"/>
                <w:sz w:val="24"/>
                <w:szCs w:val="24"/>
              </w:rPr>
            </w:pPr>
            <w:r w:rsidRPr="0062012E">
              <w:rPr>
                <w:rFonts w:ascii="Arial" w:hAnsi="Arial" w:eastAsia="Times New Roman" w:cs="Arial"/>
                <w:b/>
                <w:shd w:val="clear" w:color="auto" w:fill="FFFF00"/>
              </w:rPr>
              <w:t>#SellerLegalName#</w:t>
            </w:r>
            <w:r w:rsidRPr="0062012E">
              <w:rPr>
                <w:rFonts w:ascii="Arial" w:hAnsi="Arial" w:eastAsia="Times New Roman" w:cs="Arial"/>
              </w:rPr>
              <w:t> </w:t>
            </w:r>
          </w:p>
        </w:tc>
      </w:tr>
      <w:tr w:rsidRPr="002D2A8F" w:rsidR="002D54C4" w14:paraId="5CCB9680" w14:textId="77777777">
        <w:trPr>
          <w:trHeight w:val="360"/>
        </w:trPr>
        <w:tc>
          <w:tcPr>
            <w:tcW w:w="1005" w:type="dxa"/>
            <w:tcBorders>
              <w:top w:val="nil"/>
              <w:left w:val="nil"/>
              <w:bottom w:val="nil"/>
              <w:right w:val="nil"/>
            </w:tcBorders>
            <w:vAlign w:val="bottom"/>
            <w:hideMark/>
          </w:tcPr>
          <w:p w:rsidRPr="002D2A8F" w:rsidR="002D54C4" w:rsidP="00AD1D2B" w:rsidRDefault="002D54C4" w14:paraId="07108EDF" w14:textId="77777777">
            <w:pPr>
              <w:spacing w:after="0" w:line="240" w:lineRule="auto"/>
              <w:textAlignment w:val="baseline"/>
              <w:rPr>
                <w:rFonts w:ascii="Arial" w:hAnsi="Arial" w:eastAsia="Times New Roman" w:cs="Arial"/>
                <w:sz w:val="20"/>
                <w:szCs w:val="20"/>
              </w:rPr>
            </w:pPr>
            <w:r w:rsidRPr="002D2A8F">
              <w:rPr>
                <w:rFonts w:ascii="Arial" w:hAnsi="Arial" w:eastAsia="Times New Roman" w:cs="Arial"/>
                <w:sz w:val="20"/>
                <w:szCs w:val="20"/>
              </w:rPr>
              <w:t>By: </w:t>
            </w:r>
          </w:p>
        </w:tc>
        <w:tc>
          <w:tcPr>
            <w:tcW w:w="4080" w:type="dxa"/>
            <w:tcBorders>
              <w:top w:val="nil"/>
              <w:left w:val="nil"/>
              <w:bottom w:val="single" w:color="auto" w:sz="6" w:space="0"/>
              <w:right w:val="nil"/>
            </w:tcBorders>
            <w:vAlign w:val="bottom"/>
            <w:hideMark/>
          </w:tcPr>
          <w:p w:rsidRPr="002D2A8F" w:rsidR="002D54C4" w:rsidP="00AD1D2B" w:rsidRDefault="002D54C4" w14:paraId="2145B16B" w14:textId="77777777">
            <w:pPr>
              <w:spacing w:after="0" w:line="240" w:lineRule="auto"/>
              <w:textAlignment w:val="baseline"/>
              <w:rPr>
                <w:rFonts w:ascii="Arial" w:hAnsi="Arial" w:eastAsia="Times New Roman" w:cs="Arial"/>
                <w:sz w:val="20"/>
                <w:szCs w:val="20"/>
              </w:rPr>
            </w:pPr>
            <w:r w:rsidRPr="002D2A8F">
              <w:rPr>
                <w:rFonts w:ascii="Arial" w:hAnsi="Arial" w:eastAsia="Times New Roman" w:cs="Arial"/>
                <w:sz w:val="20"/>
                <w:szCs w:val="20"/>
              </w:rPr>
              <w:t> </w:t>
            </w:r>
          </w:p>
        </w:tc>
        <w:tc>
          <w:tcPr>
            <w:tcW w:w="0" w:type="auto"/>
            <w:vAlign w:val="center"/>
            <w:hideMark/>
          </w:tcPr>
          <w:p w:rsidRPr="002D2A8F" w:rsidR="002D54C4" w:rsidP="00AD1D2B" w:rsidRDefault="002D54C4" w14:paraId="09B41663" w14:textId="77777777">
            <w:pPr>
              <w:spacing w:after="0" w:line="240" w:lineRule="auto"/>
              <w:rPr>
                <w:rFonts w:ascii="Arial" w:hAnsi="Arial" w:eastAsia="Times New Roman" w:cs="Arial"/>
                <w:sz w:val="20"/>
                <w:szCs w:val="20"/>
              </w:rPr>
            </w:pPr>
          </w:p>
        </w:tc>
      </w:tr>
      <w:tr w:rsidRPr="002D2A8F" w:rsidR="002D54C4" w14:paraId="5557DCD0" w14:textId="77777777">
        <w:trPr>
          <w:trHeight w:val="360"/>
        </w:trPr>
        <w:tc>
          <w:tcPr>
            <w:tcW w:w="1005" w:type="dxa"/>
            <w:tcBorders>
              <w:top w:val="nil"/>
              <w:left w:val="nil"/>
              <w:bottom w:val="nil"/>
              <w:right w:val="nil"/>
            </w:tcBorders>
            <w:vAlign w:val="bottom"/>
            <w:hideMark/>
          </w:tcPr>
          <w:p w:rsidRPr="002D2A8F" w:rsidR="002D54C4" w:rsidP="00AD1D2B" w:rsidRDefault="002D54C4" w14:paraId="095991BB" w14:textId="77777777">
            <w:pPr>
              <w:spacing w:after="0" w:line="240" w:lineRule="auto"/>
              <w:textAlignment w:val="baseline"/>
              <w:rPr>
                <w:rFonts w:ascii="Arial" w:hAnsi="Arial" w:eastAsia="Times New Roman" w:cs="Arial"/>
                <w:sz w:val="20"/>
                <w:szCs w:val="20"/>
              </w:rPr>
            </w:pPr>
            <w:r w:rsidRPr="002D2A8F">
              <w:rPr>
                <w:rFonts w:ascii="Arial" w:hAnsi="Arial" w:eastAsia="Times New Roman" w:cs="Arial"/>
                <w:sz w:val="20"/>
                <w:szCs w:val="20"/>
              </w:rPr>
              <w:t>Name </w:t>
            </w:r>
          </w:p>
          <w:p w:rsidRPr="002D2A8F" w:rsidR="002D54C4" w:rsidP="00AD1D2B" w:rsidRDefault="002D54C4" w14:paraId="4C38759F" w14:textId="77777777">
            <w:pPr>
              <w:spacing w:after="0" w:line="240" w:lineRule="auto"/>
              <w:textAlignment w:val="baseline"/>
              <w:rPr>
                <w:rFonts w:ascii="Arial" w:hAnsi="Arial" w:eastAsia="Times New Roman" w:cs="Arial"/>
                <w:sz w:val="20"/>
                <w:szCs w:val="20"/>
              </w:rPr>
            </w:pPr>
            <w:r w:rsidRPr="002D2A8F">
              <w:rPr>
                <w:rFonts w:ascii="Arial" w:hAnsi="Arial" w:eastAsia="Times New Roman" w:cs="Arial"/>
                <w:sz w:val="20"/>
                <w:szCs w:val="20"/>
              </w:rPr>
              <w:t>Printed: </w:t>
            </w:r>
          </w:p>
        </w:tc>
        <w:tc>
          <w:tcPr>
            <w:tcW w:w="4080" w:type="dxa"/>
            <w:tcBorders>
              <w:top w:val="single" w:color="auto" w:sz="6" w:space="0"/>
              <w:left w:val="nil"/>
              <w:bottom w:val="single" w:color="auto" w:sz="6" w:space="0"/>
              <w:right w:val="nil"/>
            </w:tcBorders>
            <w:vAlign w:val="bottom"/>
            <w:hideMark/>
          </w:tcPr>
          <w:p w:rsidRPr="002D2A8F" w:rsidR="002D54C4" w:rsidP="00AD1D2B" w:rsidRDefault="002D54C4" w14:paraId="2D052191" w14:textId="77777777">
            <w:pPr>
              <w:spacing w:after="0" w:line="240" w:lineRule="auto"/>
              <w:textAlignment w:val="baseline"/>
              <w:rPr>
                <w:rFonts w:ascii="Arial" w:hAnsi="Arial" w:eastAsia="Times New Roman" w:cs="Arial"/>
                <w:sz w:val="20"/>
                <w:szCs w:val="20"/>
              </w:rPr>
            </w:pPr>
            <w:r w:rsidRPr="002D2A8F">
              <w:rPr>
                <w:rFonts w:ascii="Arial" w:hAnsi="Arial" w:eastAsia="Times New Roman" w:cs="Arial"/>
                <w:sz w:val="20"/>
                <w:szCs w:val="20"/>
              </w:rPr>
              <w:t> </w:t>
            </w:r>
          </w:p>
        </w:tc>
        <w:tc>
          <w:tcPr>
            <w:tcW w:w="0" w:type="auto"/>
            <w:vAlign w:val="center"/>
            <w:hideMark/>
          </w:tcPr>
          <w:p w:rsidRPr="002D2A8F" w:rsidR="002D54C4" w:rsidP="00AD1D2B" w:rsidRDefault="002D54C4" w14:paraId="38E5721F" w14:textId="77777777">
            <w:pPr>
              <w:spacing w:after="0" w:line="240" w:lineRule="auto"/>
              <w:rPr>
                <w:rFonts w:ascii="Arial" w:hAnsi="Arial" w:eastAsia="Times New Roman" w:cs="Arial"/>
                <w:sz w:val="20"/>
                <w:szCs w:val="20"/>
              </w:rPr>
            </w:pPr>
          </w:p>
        </w:tc>
      </w:tr>
      <w:tr w:rsidRPr="002D2A8F" w:rsidR="002D54C4" w14:paraId="0D191A6A" w14:textId="77777777">
        <w:trPr>
          <w:trHeight w:val="495"/>
        </w:trPr>
        <w:tc>
          <w:tcPr>
            <w:tcW w:w="1005" w:type="dxa"/>
            <w:tcBorders>
              <w:top w:val="nil"/>
              <w:left w:val="nil"/>
              <w:bottom w:val="nil"/>
              <w:right w:val="nil"/>
            </w:tcBorders>
            <w:vAlign w:val="bottom"/>
            <w:hideMark/>
          </w:tcPr>
          <w:p w:rsidRPr="002D2A8F" w:rsidR="002D54C4" w:rsidP="00AD1D2B" w:rsidRDefault="002D54C4" w14:paraId="26BEF154" w14:textId="77777777">
            <w:pPr>
              <w:spacing w:after="0" w:line="240" w:lineRule="auto"/>
              <w:textAlignment w:val="baseline"/>
              <w:rPr>
                <w:rFonts w:ascii="Arial" w:hAnsi="Arial" w:eastAsia="Times New Roman" w:cs="Arial"/>
                <w:sz w:val="20"/>
                <w:szCs w:val="20"/>
              </w:rPr>
            </w:pPr>
            <w:r w:rsidRPr="002D2A8F">
              <w:rPr>
                <w:rFonts w:ascii="Arial" w:hAnsi="Arial" w:eastAsia="Times New Roman" w:cs="Arial"/>
                <w:sz w:val="20"/>
                <w:szCs w:val="20"/>
              </w:rPr>
              <w:t>Title: </w:t>
            </w:r>
          </w:p>
        </w:tc>
        <w:tc>
          <w:tcPr>
            <w:tcW w:w="4080" w:type="dxa"/>
            <w:tcBorders>
              <w:top w:val="single" w:color="auto" w:sz="6" w:space="0"/>
              <w:left w:val="nil"/>
              <w:bottom w:val="single" w:color="auto" w:sz="6" w:space="0"/>
              <w:right w:val="nil"/>
            </w:tcBorders>
            <w:vAlign w:val="bottom"/>
            <w:hideMark/>
          </w:tcPr>
          <w:p w:rsidRPr="002D2A8F" w:rsidR="002D54C4" w:rsidP="00AD1D2B" w:rsidRDefault="002D54C4" w14:paraId="063CEE39" w14:textId="77777777">
            <w:pPr>
              <w:spacing w:after="0" w:line="240" w:lineRule="auto"/>
              <w:textAlignment w:val="baseline"/>
              <w:rPr>
                <w:rFonts w:ascii="Arial" w:hAnsi="Arial" w:eastAsia="Times New Roman" w:cs="Arial"/>
                <w:sz w:val="20"/>
                <w:szCs w:val="20"/>
              </w:rPr>
            </w:pPr>
            <w:r w:rsidRPr="002D2A8F">
              <w:rPr>
                <w:rFonts w:ascii="Arial" w:hAnsi="Arial" w:eastAsia="Times New Roman" w:cs="Arial"/>
                <w:sz w:val="20"/>
                <w:szCs w:val="20"/>
              </w:rPr>
              <w:t> </w:t>
            </w:r>
          </w:p>
        </w:tc>
        <w:tc>
          <w:tcPr>
            <w:tcW w:w="0" w:type="auto"/>
            <w:vAlign w:val="center"/>
            <w:hideMark/>
          </w:tcPr>
          <w:p w:rsidRPr="002D2A8F" w:rsidR="002D54C4" w:rsidP="00AD1D2B" w:rsidRDefault="002D54C4" w14:paraId="6A8BB7DA" w14:textId="77777777">
            <w:pPr>
              <w:spacing w:after="0" w:line="240" w:lineRule="auto"/>
              <w:rPr>
                <w:rFonts w:ascii="Arial" w:hAnsi="Arial" w:eastAsia="Times New Roman" w:cs="Arial"/>
                <w:sz w:val="20"/>
                <w:szCs w:val="20"/>
              </w:rPr>
            </w:pPr>
          </w:p>
        </w:tc>
      </w:tr>
      <w:tr w:rsidRPr="002D2A8F" w:rsidR="002D54C4" w14:paraId="5B8916EE" w14:textId="77777777">
        <w:trPr>
          <w:trHeight w:val="495"/>
        </w:trPr>
        <w:tc>
          <w:tcPr>
            <w:tcW w:w="1005" w:type="dxa"/>
            <w:tcBorders>
              <w:top w:val="nil"/>
              <w:left w:val="nil"/>
              <w:bottom w:val="nil"/>
              <w:right w:val="nil"/>
            </w:tcBorders>
            <w:vAlign w:val="bottom"/>
            <w:hideMark/>
          </w:tcPr>
          <w:p w:rsidRPr="002D2A8F" w:rsidR="002D54C4" w:rsidP="00AD1D2B" w:rsidRDefault="002D54C4" w14:paraId="1716FD6C" w14:textId="77777777">
            <w:pPr>
              <w:spacing w:after="0" w:line="240" w:lineRule="auto"/>
              <w:textAlignment w:val="baseline"/>
              <w:rPr>
                <w:rFonts w:ascii="Arial" w:hAnsi="Arial" w:eastAsia="Times New Roman" w:cs="Arial"/>
                <w:sz w:val="20"/>
                <w:szCs w:val="20"/>
              </w:rPr>
            </w:pPr>
            <w:r w:rsidRPr="002D2A8F">
              <w:rPr>
                <w:rFonts w:ascii="Arial" w:hAnsi="Arial" w:eastAsia="Times New Roman" w:cs="Arial"/>
                <w:sz w:val="20"/>
                <w:szCs w:val="20"/>
              </w:rPr>
              <w:lastRenderedPageBreak/>
              <w:t>Date: </w:t>
            </w:r>
          </w:p>
        </w:tc>
        <w:tc>
          <w:tcPr>
            <w:tcW w:w="4080" w:type="dxa"/>
            <w:tcBorders>
              <w:top w:val="single" w:color="auto" w:sz="6" w:space="0"/>
              <w:left w:val="nil"/>
              <w:bottom w:val="single" w:color="auto" w:sz="6" w:space="0"/>
              <w:right w:val="nil"/>
            </w:tcBorders>
            <w:vAlign w:val="bottom"/>
            <w:hideMark/>
          </w:tcPr>
          <w:p w:rsidRPr="002D2A8F" w:rsidR="002D54C4" w:rsidP="00AD1D2B" w:rsidRDefault="002D54C4" w14:paraId="6804D274" w14:textId="77777777">
            <w:pPr>
              <w:spacing w:after="0" w:line="240" w:lineRule="auto"/>
              <w:textAlignment w:val="baseline"/>
              <w:rPr>
                <w:rFonts w:ascii="Arial" w:hAnsi="Arial" w:eastAsia="Times New Roman" w:cs="Arial"/>
                <w:sz w:val="20"/>
                <w:szCs w:val="20"/>
              </w:rPr>
            </w:pPr>
            <w:r w:rsidRPr="002D2A8F">
              <w:rPr>
                <w:rFonts w:ascii="Arial" w:hAnsi="Arial" w:eastAsia="Times New Roman" w:cs="Arial"/>
                <w:sz w:val="20"/>
                <w:szCs w:val="20"/>
              </w:rPr>
              <w:t> </w:t>
            </w:r>
          </w:p>
        </w:tc>
        <w:tc>
          <w:tcPr>
            <w:tcW w:w="0" w:type="auto"/>
            <w:vAlign w:val="center"/>
            <w:hideMark/>
          </w:tcPr>
          <w:p w:rsidRPr="002D2A8F" w:rsidR="002D54C4" w:rsidP="00AD1D2B" w:rsidRDefault="002D54C4" w14:paraId="1C0A8B27" w14:textId="77777777">
            <w:pPr>
              <w:spacing w:after="0" w:line="240" w:lineRule="auto"/>
              <w:rPr>
                <w:rFonts w:ascii="Arial" w:hAnsi="Arial" w:eastAsia="Times New Roman" w:cs="Arial"/>
                <w:sz w:val="20"/>
                <w:szCs w:val="20"/>
              </w:rPr>
            </w:pPr>
          </w:p>
        </w:tc>
      </w:tr>
    </w:tbl>
    <w:p w:rsidRPr="000C6A97" w:rsidR="000C6A97" w:rsidP="00497F12" w:rsidRDefault="000C6A97" w14:paraId="51FE5F2B" w14:textId="77777777">
      <w:pPr>
        <w:pStyle w:val="zGTitle12"/>
        <w:jc w:val="left"/>
      </w:pPr>
      <w:bookmarkStart w:name="_Toc143692424" w:id="1307"/>
    </w:p>
    <w:p w:rsidR="009D045F" w:rsidP="002D54C4" w:rsidRDefault="009D045F" w14:paraId="00C6D5A6" w14:textId="77777777">
      <w:pPr>
        <w:pStyle w:val="zGTitleExhibit"/>
        <w:spacing w:after="360"/>
        <w:rPr>
          <w:rFonts w:cs="Arial"/>
        </w:rPr>
        <w:sectPr w:rsidR="009D045F" w:rsidSect="003B614F">
          <w:pgSz w:w="12240" w:h="15840" w:code="1"/>
          <w:pgMar w:top="1440" w:right="1440" w:bottom="1440" w:left="1440" w:header="720" w:footer="720" w:gutter="0"/>
          <w:paperSrc w:first="15" w:other="15"/>
          <w:cols w:space="1440"/>
        </w:sectPr>
      </w:pPr>
      <w:bookmarkStart w:name="_Toc169778732" w:id="1308"/>
      <w:bookmarkStart w:name="_Toc227451504" w:id="1309"/>
    </w:p>
    <w:p w:rsidRPr="002D2A8F" w:rsidR="002D54C4" w:rsidP="002D54C4" w:rsidRDefault="002D54C4" w14:paraId="5CA85AEB" w14:textId="2BD6E54B">
      <w:pPr>
        <w:pStyle w:val="zGTitleExhibit"/>
        <w:spacing w:after="360"/>
        <w:rPr>
          <w:rFonts w:cs="Arial"/>
        </w:rPr>
      </w:pPr>
      <w:r w:rsidRPr="002D2A8F">
        <w:rPr>
          <w:rFonts w:cs="Arial"/>
        </w:rPr>
        <w:lastRenderedPageBreak/>
        <w:t xml:space="preserve">Exhibit </w:t>
      </w:r>
      <w:r w:rsidR="00497F12">
        <w:rPr>
          <w:rFonts w:cs="Arial"/>
        </w:rPr>
        <w:t>Q</w:t>
      </w:r>
      <w:r w:rsidRPr="002D2A8F">
        <w:rPr>
          <w:rFonts w:cs="Arial"/>
        </w:rPr>
        <w:t xml:space="preserve"> – Notices</w:t>
      </w:r>
      <w:bookmarkEnd w:id="1307"/>
      <w:bookmarkEnd w:id="1308"/>
      <w:bookmarkEnd w:id="1309"/>
    </w:p>
    <w:p w:rsidRPr="002D2A8F" w:rsidR="002D54C4" w:rsidP="00443731" w:rsidRDefault="002D54C4" w14:paraId="41B4D86A" w14:textId="29F1F850">
      <w:pPr>
        <w:widowControl w:val="0"/>
        <w:spacing w:after="240"/>
        <w:jc w:val="both"/>
        <w:rPr>
          <w:rFonts w:ascii="Arial" w:hAnsi="Arial" w:cs="Arial"/>
          <w:b/>
          <w:bCs/>
          <w:sz w:val="20"/>
          <w:szCs w:val="20"/>
        </w:rPr>
      </w:pPr>
      <w:r w:rsidRPr="002D2A8F">
        <w:rPr>
          <w:rFonts w:ascii="Arial" w:hAnsi="Arial" w:cs="Arial"/>
          <w:b/>
          <w:bCs/>
          <w:sz w:val="20"/>
          <w:szCs w:val="20"/>
        </w:rPr>
        <w:t>Address for delivery of Eligible Collateral for Performance Security</w:t>
      </w:r>
      <w:r w:rsidR="00510DE1">
        <w:rPr>
          <w:rFonts w:ascii="Arial" w:hAnsi="Arial" w:cs="Arial"/>
          <w:b/>
          <w:bCs/>
          <w:sz w:val="20"/>
          <w:szCs w:val="20"/>
        </w:rPr>
        <w:t xml:space="preserve"> </w:t>
      </w:r>
      <w:r w:rsidRPr="002D2A8F">
        <w:rPr>
          <w:rFonts w:ascii="Arial" w:hAnsi="Arial" w:cs="Arial"/>
          <w:b/>
          <w:bCs/>
          <w:sz w:val="20"/>
          <w:szCs w:val="20"/>
        </w:rPr>
        <w:t xml:space="preserve">in accordance with </w:t>
      </w:r>
      <w:r w:rsidRPr="008460BE">
        <w:rPr>
          <w:rFonts w:ascii="Arial" w:hAnsi="Arial" w:cs="Arial"/>
          <w:b/>
          <w:sz w:val="20"/>
          <w:szCs w:val="20"/>
        </w:rPr>
        <w:t xml:space="preserve">PPA Section </w:t>
      </w:r>
      <w:r w:rsidRPr="008460BE" w:rsidR="00E32BDA">
        <w:rPr>
          <w:rFonts w:ascii="Arial" w:hAnsi="Arial" w:cs="Arial"/>
          <w:b/>
          <w:sz w:val="20"/>
          <w:szCs w:val="20"/>
        </w:rPr>
        <w:t>6</w:t>
      </w:r>
      <w:r w:rsidRPr="008460BE">
        <w:rPr>
          <w:rFonts w:ascii="Arial" w:hAnsi="Arial" w:cs="Arial"/>
          <w:b/>
          <w:sz w:val="20"/>
          <w:szCs w:val="20"/>
        </w:rPr>
        <w:t>.</w:t>
      </w:r>
      <w:r w:rsidR="00344D99">
        <w:rPr>
          <w:rFonts w:ascii="Arial" w:hAnsi="Arial" w:cs="Arial"/>
          <w:b/>
          <w:sz w:val="20"/>
          <w:szCs w:val="20"/>
        </w:rPr>
        <w:t>6</w:t>
      </w:r>
      <w:r w:rsidRPr="008460BE">
        <w:rPr>
          <w:rFonts w:ascii="Arial" w:hAnsi="Arial" w:cs="Arial"/>
          <w:b/>
          <w:sz w:val="20"/>
          <w:szCs w:val="20"/>
        </w:rPr>
        <w:t xml:space="preserve"> (</w:t>
      </w:r>
      <w:r w:rsidRPr="008460BE">
        <w:rPr>
          <w:rFonts w:ascii="Arial" w:hAnsi="Arial" w:cs="Arial"/>
          <w:b/>
          <w:i/>
          <w:sz w:val="20"/>
          <w:szCs w:val="20"/>
        </w:rPr>
        <w:t>Delivery of Eligible Collateral for Performance Security</w:t>
      </w:r>
      <w:r w:rsidRPr="008460BE">
        <w:rPr>
          <w:rFonts w:ascii="Arial" w:hAnsi="Arial" w:cs="Arial"/>
          <w:b/>
          <w:sz w:val="20"/>
          <w:szCs w:val="20"/>
        </w:rPr>
        <w:t>)</w:t>
      </w:r>
      <w:r w:rsidRPr="002D2A8F">
        <w:rPr>
          <w:rFonts w:ascii="Arial" w:hAnsi="Arial" w:cs="Arial"/>
          <w:b/>
          <w:bCs/>
          <w:sz w:val="20"/>
          <w:szCs w:val="20"/>
        </w:rPr>
        <w:t>:</w:t>
      </w:r>
    </w:p>
    <w:p w:rsidRPr="00F0448C" w:rsidR="00D46561" w:rsidP="00D46561" w:rsidRDefault="00D46561" w14:paraId="608C47DE" w14:textId="77777777">
      <w:pPr>
        <w:pStyle w:val="ArticleL2"/>
        <w:widowControl w:val="0"/>
        <w:spacing w:after="0"/>
        <w:rPr>
          <w:rFonts w:ascii="Arial" w:hAnsi="Arial" w:cs="Arial"/>
          <w:sz w:val="20"/>
          <w:szCs w:val="20"/>
        </w:rPr>
      </w:pPr>
      <w:bookmarkStart w:name="_Toc159142568" w:id="1310"/>
      <w:r w:rsidRPr="00F0448C">
        <w:rPr>
          <w:rFonts w:ascii="Arial" w:hAnsi="Arial" w:cs="Arial"/>
          <w:sz w:val="20"/>
          <w:szCs w:val="20"/>
        </w:rPr>
        <w:t>For any Eligible Collateral in the form of a Letter of Credit or Seller Guaranty, the following address:</w:t>
      </w:r>
    </w:p>
    <w:p w:rsidR="00D46561" w:rsidP="000D5D93" w:rsidRDefault="00D46561" w14:paraId="45491D85" w14:textId="77777777">
      <w:pPr>
        <w:pStyle w:val="zGNormal"/>
      </w:pPr>
    </w:p>
    <w:p w:rsidRPr="002D2A8F" w:rsidR="002D54C4" w:rsidP="000D5D93" w:rsidRDefault="002D54C4" w14:paraId="7C01BF54" w14:textId="7F42EB48">
      <w:pPr>
        <w:pStyle w:val="zGNormal"/>
      </w:pPr>
      <w:r w:rsidRPr="002D2A8F">
        <w:t>Georgia Power Company</w:t>
      </w:r>
      <w:bookmarkEnd w:id="1310"/>
      <w:r w:rsidRPr="002D2A8F">
        <w:t xml:space="preserve"> </w:t>
      </w:r>
    </w:p>
    <w:p w:rsidRPr="002D2A8F" w:rsidR="002D54C4" w:rsidP="000D5D93" w:rsidRDefault="002D54C4" w14:paraId="6A15E509" w14:textId="77777777">
      <w:pPr>
        <w:pStyle w:val="zGNormal"/>
      </w:pPr>
      <w:bookmarkStart w:name="_Toc159142569" w:id="1311"/>
      <w:r w:rsidRPr="002D2A8F">
        <w:t>c/o Southern Company Services Inc.</w:t>
      </w:r>
      <w:bookmarkEnd w:id="1311"/>
    </w:p>
    <w:p w:rsidRPr="002D2A8F" w:rsidR="002D54C4" w:rsidP="000D5D93" w:rsidRDefault="000D5D93" w14:paraId="65007D48" w14:textId="20BE391F">
      <w:pPr>
        <w:pStyle w:val="zGNormal"/>
      </w:pPr>
      <w:r w:rsidRPr="002D2A8F">
        <w:t xml:space="preserve">Attn: </w:t>
      </w:r>
      <w:r w:rsidRPr="002D2A8F" w:rsidR="00266D08">
        <w:t xml:space="preserve">Assistant Treasurer, </w:t>
      </w:r>
      <w:bookmarkStart w:name="_Toc159142570" w:id="1312"/>
      <w:r w:rsidRPr="002D2A8F" w:rsidR="002D54C4">
        <w:t>BIN SC1407</w:t>
      </w:r>
      <w:bookmarkEnd w:id="1312"/>
    </w:p>
    <w:p w:rsidRPr="002D2A8F" w:rsidR="002D54C4" w:rsidP="000D5D93" w:rsidRDefault="002D54C4" w14:paraId="5ED32C63" w14:textId="77777777">
      <w:pPr>
        <w:pStyle w:val="zGNormal"/>
      </w:pPr>
      <w:bookmarkStart w:name="_Toc159142571" w:id="1313"/>
      <w:r w:rsidRPr="002D2A8F">
        <w:t>30 Ivan Allen Jr. Blvd.</w:t>
      </w:r>
      <w:bookmarkEnd w:id="1313"/>
    </w:p>
    <w:p w:rsidR="002D54C4" w:rsidP="000D5D93" w:rsidRDefault="002D54C4" w14:paraId="665ACE1E" w14:textId="77777777">
      <w:pPr>
        <w:pStyle w:val="zGNormal"/>
      </w:pPr>
      <w:bookmarkStart w:name="_Toc159142572" w:id="1314"/>
      <w:r w:rsidRPr="002D2A8F">
        <w:t>Atlanta, Georgia 30308</w:t>
      </w:r>
      <w:bookmarkEnd w:id="1314"/>
    </w:p>
    <w:p w:rsidR="001F3766" w:rsidP="000D5D93" w:rsidRDefault="001F3766" w14:paraId="19544ED4" w14:textId="77777777">
      <w:pPr>
        <w:pStyle w:val="zGNormal"/>
      </w:pPr>
    </w:p>
    <w:p w:rsidRPr="00F0448C" w:rsidR="00F0448C" w:rsidP="00F0448C" w:rsidRDefault="00F0448C" w14:paraId="38443012" w14:textId="6F89FC88">
      <w:pPr>
        <w:widowControl w:val="0"/>
        <w:spacing w:after="240"/>
        <w:jc w:val="both"/>
        <w:rPr>
          <w:rFonts w:ascii="Arial" w:hAnsi="Arial" w:cs="Arial"/>
          <w:sz w:val="20"/>
          <w:szCs w:val="20"/>
        </w:rPr>
      </w:pPr>
      <w:r w:rsidRPr="00F0448C">
        <w:rPr>
          <w:rFonts w:ascii="Arial" w:hAnsi="Arial" w:cs="Arial"/>
          <w:sz w:val="20"/>
          <w:szCs w:val="20"/>
        </w:rPr>
        <w:t xml:space="preserve">For any Eligible Collateral in the form of cash, GPC will provide the GPC Security Account information, including wiring instructions, within a reasonable time after receipt of Seller’s written request. </w:t>
      </w:r>
    </w:p>
    <w:p w:rsidRPr="002D2A8F" w:rsidR="00AC2F5A" w:rsidP="000D5D93" w:rsidRDefault="00AC2F5A" w14:paraId="6E867314" w14:textId="77777777">
      <w:pPr>
        <w:pStyle w:val="zGNormal"/>
      </w:pPr>
    </w:p>
    <w:p w:rsidRPr="002D2A8F" w:rsidR="002D54C4" w:rsidP="004D07DD" w:rsidRDefault="002D54C4" w14:paraId="44A25447" w14:textId="77777777">
      <w:pPr>
        <w:widowControl w:val="0"/>
        <w:spacing w:after="240"/>
        <w:rPr>
          <w:rFonts w:ascii="Arial" w:hAnsi="Arial" w:cs="Arial"/>
          <w:b/>
          <w:bCs/>
          <w:sz w:val="20"/>
          <w:szCs w:val="20"/>
        </w:rPr>
      </w:pPr>
      <w:r w:rsidRPr="002D2A8F">
        <w:rPr>
          <w:rFonts w:ascii="Arial" w:hAnsi="Arial" w:cs="Arial"/>
          <w:b/>
          <w:bCs/>
          <w:sz w:val="20"/>
          <w:szCs w:val="20"/>
        </w:rPr>
        <w:t xml:space="preserve">Addresses for delivery of notices to the Parties in accordance with </w:t>
      </w:r>
      <w:r w:rsidRPr="008460BE">
        <w:rPr>
          <w:rFonts w:ascii="Arial" w:hAnsi="Arial" w:cs="Arial"/>
          <w:b/>
          <w:sz w:val="20"/>
          <w:szCs w:val="20"/>
        </w:rPr>
        <w:t>PPA Section 20.4 (</w:t>
      </w:r>
      <w:r w:rsidRPr="008460BE">
        <w:rPr>
          <w:rFonts w:ascii="Arial" w:hAnsi="Arial" w:cs="Arial"/>
          <w:b/>
          <w:i/>
          <w:sz w:val="20"/>
          <w:szCs w:val="20"/>
        </w:rPr>
        <w:t>Notice</w:t>
      </w:r>
      <w:r w:rsidRPr="008460BE">
        <w:rPr>
          <w:rFonts w:ascii="Arial" w:hAnsi="Arial" w:cs="Arial"/>
          <w:b/>
          <w:sz w:val="20"/>
          <w:szCs w:val="20"/>
        </w:rPr>
        <w:t>)</w:t>
      </w:r>
      <w:r w:rsidRPr="002D2A8F">
        <w:rPr>
          <w:rFonts w:ascii="Arial" w:hAnsi="Arial" w:cs="Arial"/>
          <w:b/>
          <w:bCs/>
          <w:sz w:val="20"/>
          <w:szCs w:val="20"/>
        </w:rPr>
        <w:t>:</w:t>
      </w:r>
    </w:p>
    <w:p w:rsidRPr="002D2A8F" w:rsidR="002D54C4" w:rsidP="006F29FB" w:rsidRDefault="002D54C4" w14:paraId="2287F98B" w14:textId="6AB6A4D9">
      <w:pPr>
        <w:jc w:val="both"/>
        <w:rPr>
          <w:rFonts w:ascii="Arial" w:hAnsi="Arial" w:cs="Arial"/>
          <w:sz w:val="20"/>
          <w:szCs w:val="20"/>
        </w:rPr>
      </w:pPr>
      <w:r w:rsidRPr="002D2A8F">
        <w:rPr>
          <w:rFonts w:ascii="Arial" w:hAnsi="Arial" w:cs="Arial"/>
          <w:b/>
          <w:bCs/>
          <w:i/>
          <w:iCs/>
          <w:sz w:val="20"/>
          <w:szCs w:val="20"/>
        </w:rPr>
        <w:t xml:space="preserve">In accordance with </w:t>
      </w:r>
      <w:r w:rsidRPr="008460BE">
        <w:rPr>
          <w:rFonts w:ascii="Arial" w:hAnsi="Arial" w:eastAsia="MS Gothic" w:cs="Arial"/>
          <w:b/>
          <w:i/>
          <w:sz w:val="20"/>
          <w:szCs w:val="20"/>
        </w:rPr>
        <w:t>PPA</w:t>
      </w:r>
      <w:r w:rsidRPr="008460BE">
        <w:rPr>
          <w:rFonts w:ascii="Arial" w:hAnsi="Arial" w:cs="Arial"/>
          <w:b/>
          <w:i/>
          <w:sz w:val="20"/>
          <w:szCs w:val="20"/>
        </w:rPr>
        <w:t xml:space="preserve"> Section 20.4</w:t>
      </w:r>
      <w:r w:rsidRPr="002D2A8F">
        <w:rPr>
          <w:rFonts w:ascii="Arial" w:hAnsi="Arial" w:cs="Arial"/>
          <w:b/>
          <w:bCs/>
          <w:i/>
          <w:iCs/>
          <w:sz w:val="20"/>
          <w:szCs w:val="20"/>
        </w:rPr>
        <w:t>, all notices must include the</w:t>
      </w:r>
      <w:r w:rsidR="006F29FB">
        <w:rPr>
          <w:rFonts w:ascii="Arial" w:hAnsi="Arial" w:cs="Arial"/>
          <w:b/>
          <w:bCs/>
          <w:i/>
          <w:iCs/>
          <w:sz w:val="20"/>
          <w:szCs w:val="20"/>
        </w:rPr>
        <w:t xml:space="preserve"> PPA’s title and the</w:t>
      </w:r>
      <w:r w:rsidRPr="002D2A8F">
        <w:rPr>
          <w:rFonts w:ascii="Arial" w:hAnsi="Arial" w:cs="Arial"/>
          <w:b/>
          <w:bCs/>
          <w:i/>
          <w:iCs/>
          <w:sz w:val="20"/>
          <w:szCs w:val="20"/>
        </w:rPr>
        <w:t xml:space="preserve"> Facility name.</w:t>
      </w:r>
    </w:p>
    <w:p w:rsidRPr="002D2A8F" w:rsidR="002D54C4" w:rsidP="004D07DD" w:rsidRDefault="002D54C4" w14:paraId="557D037D" w14:textId="77777777">
      <w:pPr>
        <w:widowControl w:val="0"/>
        <w:spacing w:after="0"/>
        <w:ind w:left="720"/>
        <w:rPr>
          <w:rFonts w:ascii="Arial" w:hAnsi="Arial" w:cs="Arial"/>
          <w:sz w:val="20"/>
          <w:szCs w:val="20"/>
        </w:rPr>
      </w:pP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675"/>
        <w:gridCol w:w="4675"/>
      </w:tblGrid>
      <w:tr w:rsidRPr="002D2A8F" w:rsidR="002D54C4" w14:paraId="391238CA" w14:textId="77777777">
        <w:tc>
          <w:tcPr>
            <w:tcW w:w="4675" w:type="dxa"/>
          </w:tcPr>
          <w:p w:rsidRPr="002D2A8F" w:rsidR="002D54C4" w:rsidRDefault="002D54C4" w14:paraId="37FBC2E1" w14:textId="77777777">
            <w:pPr>
              <w:widowControl w:val="0"/>
              <w:spacing w:before="0"/>
              <w:jc w:val="left"/>
              <w:rPr>
                <w:rFonts w:cs="Arial"/>
                <w:b/>
                <w:bCs/>
              </w:rPr>
            </w:pPr>
            <w:r w:rsidRPr="002D2A8F">
              <w:rPr>
                <w:rFonts w:cs="Arial"/>
                <w:b/>
                <w:bCs/>
              </w:rPr>
              <w:t>Notice to GPC:</w:t>
            </w:r>
          </w:p>
          <w:p w:rsidRPr="002D2A8F" w:rsidR="002D54C4" w:rsidRDefault="002D54C4" w14:paraId="506FFDDD" w14:textId="77777777">
            <w:pPr>
              <w:widowControl w:val="0"/>
              <w:spacing w:before="0"/>
              <w:jc w:val="left"/>
              <w:rPr>
                <w:rFonts w:cs="Arial"/>
                <w:b/>
                <w:bCs/>
              </w:rPr>
            </w:pPr>
          </w:p>
          <w:p w:rsidRPr="002D2A8F" w:rsidR="002D54C4" w:rsidRDefault="002D54C4" w14:paraId="736AF61A" w14:textId="77777777">
            <w:pPr>
              <w:widowControl w:val="0"/>
              <w:spacing w:before="0"/>
              <w:jc w:val="left"/>
              <w:rPr>
                <w:rFonts w:cs="Arial"/>
              </w:rPr>
            </w:pPr>
            <w:r w:rsidRPr="002D2A8F">
              <w:rPr>
                <w:rFonts w:cs="Arial"/>
              </w:rPr>
              <w:t>Georgia Power Company</w:t>
            </w:r>
          </w:p>
          <w:p w:rsidRPr="002D2A8F" w:rsidR="002D54C4" w:rsidRDefault="002D54C4" w14:paraId="69703615" w14:textId="77777777">
            <w:pPr>
              <w:widowControl w:val="0"/>
              <w:spacing w:before="0"/>
              <w:jc w:val="left"/>
              <w:rPr>
                <w:rFonts w:cs="Arial"/>
              </w:rPr>
            </w:pPr>
            <w:r w:rsidRPr="002D2A8F">
              <w:rPr>
                <w:rFonts w:cs="Arial"/>
              </w:rPr>
              <w:t xml:space="preserve">Attention: </w:t>
            </w:r>
            <w:r w:rsidRPr="002D2A8F">
              <w:rPr>
                <w:rFonts w:cs="Arial"/>
                <w:highlight w:val="yellow"/>
              </w:rPr>
              <w:t>#GPCContact Name</w:t>
            </w:r>
          </w:p>
          <w:p w:rsidRPr="002D2A8F" w:rsidR="002D54C4" w:rsidRDefault="002D54C4" w14:paraId="10D7C08A" w14:textId="77777777">
            <w:pPr>
              <w:widowControl w:val="0"/>
              <w:spacing w:before="0"/>
              <w:jc w:val="left"/>
              <w:rPr>
                <w:rFonts w:cs="Arial"/>
              </w:rPr>
            </w:pPr>
            <w:r w:rsidRPr="002D2A8F">
              <w:rPr>
                <w:rFonts w:cs="Arial"/>
              </w:rPr>
              <w:t>241 Ralph McGill Boulevard N.E.</w:t>
            </w:r>
          </w:p>
          <w:p w:rsidRPr="002D2A8F" w:rsidR="002D54C4" w:rsidRDefault="002D54C4" w14:paraId="400219BE" w14:textId="77777777">
            <w:pPr>
              <w:widowControl w:val="0"/>
              <w:spacing w:before="0"/>
              <w:jc w:val="left"/>
              <w:rPr>
                <w:rFonts w:cs="Arial"/>
              </w:rPr>
            </w:pPr>
            <w:r w:rsidRPr="002D2A8F">
              <w:rPr>
                <w:rFonts w:cs="Arial"/>
              </w:rPr>
              <w:t xml:space="preserve">BIN </w:t>
            </w:r>
            <w:r w:rsidRPr="002D2A8F">
              <w:rPr>
                <w:rFonts w:cs="Arial"/>
                <w:highlight w:val="yellow"/>
              </w:rPr>
              <w:t>#BinNumber#</w:t>
            </w:r>
          </w:p>
          <w:p w:rsidRPr="002D2A8F" w:rsidR="002D54C4" w:rsidRDefault="002D54C4" w14:paraId="2BA25CED" w14:textId="77777777">
            <w:pPr>
              <w:widowControl w:val="0"/>
              <w:spacing w:before="0"/>
              <w:jc w:val="left"/>
              <w:rPr>
                <w:rFonts w:cs="Arial"/>
              </w:rPr>
            </w:pPr>
            <w:r w:rsidRPr="002D2A8F">
              <w:rPr>
                <w:rFonts w:cs="Arial"/>
              </w:rPr>
              <w:t>Atlanta, Georgia 30308</w:t>
            </w:r>
          </w:p>
          <w:p w:rsidRPr="002D2A8F" w:rsidR="002D54C4" w:rsidRDefault="002D54C4" w14:paraId="0ED3ADD8" w14:textId="77777777">
            <w:pPr>
              <w:widowControl w:val="0"/>
              <w:spacing w:before="0"/>
              <w:jc w:val="left"/>
              <w:rPr>
                <w:rFonts w:cs="Arial"/>
              </w:rPr>
            </w:pPr>
            <w:r w:rsidRPr="002D2A8F">
              <w:rPr>
                <w:rFonts w:cs="Arial"/>
              </w:rPr>
              <w:t xml:space="preserve">Email: </w:t>
            </w:r>
            <w:r w:rsidRPr="002D2A8F">
              <w:rPr>
                <w:rFonts w:cs="Arial"/>
                <w:highlight w:val="yellow"/>
              </w:rPr>
              <w:t>#GPCNoticeEmail</w:t>
            </w:r>
          </w:p>
          <w:p w:rsidRPr="002D2A8F" w:rsidR="002D54C4" w:rsidRDefault="002D54C4" w14:paraId="69C0DE5B" w14:textId="77777777">
            <w:pPr>
              <w:widowControl w:val="0"/>
              <w:spacing w:before="0"/>
              <w:jc w:val="left"/>
              <w:rPr>
                <w:rFonts w:cs="Arial"/>
              </w:rPr>
            </w:pPr>
          </w:p>
        </w:tc>
        <w:tc>
          <w:tcPr>
            <w:tcW w:w="4675" w:type="dxa"/>
          </w:tcPr>
          <w:p w:rsidRPr="002D2A8F" w:rsidR="002D54C4" w:rsidRDefault="002D54C4" w14:paraId="271F2D51" w14:textId="77777777">
            <w:pPr>
              <w:widowControl w:val="0"/>
              <w:spacing w:before="0"/>
              <w:jc w:val="left"/>
              <w:rPr>
                <w:rFonts w:cs="Arial"/>
                <w:b/>
                <w:bCs/>
              </w:rPr>
            </w:pPr>
            <w:r w:rsidRPr="002D2A8F">
              <w:rPr>
                <w:rFonts w:cs="Arial"/>
                <w:b/>
                <w:bCs/>
              </w:rPr>
              <w:t>With Copy To:</w:t>
            </w:r>
          </w:p>
          <w:p w:rsidRPr="002D2A8F" w:rsidR="002D54C4" w:rsidRDefault="002D54C4" w14:paraId="721A313F" w14:textId="77777777">
            <w:pPr>
              <w:widowControl w:val="0"/>
              <w:spacing w:before="0"/>
              <w:jc w:val="left"/>
              <w:rPr>
                <w:rFonts w:cs="Arial"/>
              </w:rPr>
            </w:pPr>
          </w:p>
          <w:p w:rsidRPr="002D2A8F" w:rsidR="002D54C4" w:rsidRDefault="002D54C4" w14:paraId="71E04042" w14:textId="77777777">
            <w:pPr>
              <w:widowControl w:val="0"/>
              <w:spacing w:before="0"/>
              <w:jc w:val="left"/>
              <w:rPr>
                <w:rFonts w:cs="Arial"/>
              </w:rPr>
            </w:pPr>
            <w:r w:rsidRPr="002D2A8F">
              <w:rPr>
                <w:rFonts w:cs="Arial"/>
              </w:rPr>
              <w:t>Georgia Power Company Legal Dept.</w:t>
            </w:r>
          </w:p>
          <w:p w:rsidRPr="002D2A8F" w:rsidR="002D54C4" w:rsidRDefault="002D54C4" w14:paraId="430E2647" w14:textId="77777777">
            <w:pPr>
              <w:widowControl w:val="0"/>
              <w:spacing w:before="0"/>
              <w:jc w:val="left"/>
              <w:rPr>
                <w:rFonts w:cs="Arial"/>
              </w:rPr>
            </w:pPr>
            <w:r w:rsidRPr="002D2A8F">
              <w:rPr>
                <w:rFonts w:cs="Arial"/>
              </w:rPr>
              <w:t>Attn: Commercial &amp; Transactional Counsel</w:t>
            </w:r>
          </w:p>
          <w:p w:rsidRPr="002D2A8F" w:rsidR="002D54C4" w:rsidRDefault="002D54C4" w14:paraId="10DF46D7" w14:textId="77777777">
            <w:pPr>
              <w:widowControl w:val="0"/>
              <w:spacing w:before="0"/>
              <w:jc w:val="left"/>
              <w:rPr>
                <w:rFonts w:cs="Arial"/>
              </w:rPr>
            </w:pPr>
            <w:r w:rsidRPr="002D2A8F">
              <w:rPr>
                <w:rFonts w:cs="Arial"/>
              </w:rPr>
              <w:t>Bin 10180</w:t>
            </w:r>
          </w:p>
          <w:p w:rsidRPr="002D2A8F" w:rsidR="002D54C4" w:rsidRDefault="002D54C4" w14:paraId="60AD5FCC" w14:textId="77777777">
            <w:pPr>
              <w:widowControl w:val="0"/>
              <w:spacing w:before="0"/>
              <w:jc w:val="left"/>
              <w:rPr>
                <w:rFonts w:cs="Arial"/>
              </w:rPr>
            </w:pPr>
            <w:r w:rsidRPr="002D2A8F">
              <w:rPr>
                <w:rFonts w:cs="Arial"/>
              </w:rPr>
              <w:t>241 Ralph McGill Blvd., N.E.</w:t>
            </w:r>
          </w:p>
          <w:p w:rsidRPr="002D2A8F" w:rsidR="002D54C4" w:rsidRDefault="002D54C4" w14:paraId="76411010" w14:textId="77777777">
            <w:pPr>
              <w:widowControl w:val="0"/>
              <w:spacing w:before="0"/>
              <w:jc w:val="left"/>
              <w:rPr>
                <w:rFonts w:cs="Arial"/>
              </w:rPr>
            </w:pPr>
            <w:r w:rsidRPr="002D2A8F">
              <w:rPr>
                <w:rFonts w:cs="Arial"/>
              </w:rPr>
              <w:t>Atlanta, GA 30308</w:t>
            </w:r>
          </w:p>
        </w:tc>
      </w:tr>
    </w:tbl>
    <w:p w:rsidRPr="002D2A8F" w:rsidR="002D54C4" w:rsidP="004D07DD" w:rsidRDefault="002D54C4" w14:paraId="0B196458" w14:textId="77777777">
      <w:pPr>
        <w:widowControl w:val="0"/>
        <w:spacing w:after="0"/>
        <w:ind w:left="720"/>
        <w:rPr>
          <w:rFonts w:ascii="Arial" w:hAnsi="Arial" w:cs="Arial"/>
          <w:sz w:val="20"/>
          <w:szCs w:val="20"/>
        </w:rPr>
      </w:pPr>
    </w:p>
    <w:p w:rsidRPr="002D2A8F" w:rsidR="002D54C4" w:rsidP="004D07DD" w:rsidRDefault="002D54C4" w14:paraId="682B37F8" w14:textId="77777777">
      <w:pPr>
        <w:widowControl w:val="0"/>
        <w:spacing w:after="0"/>
        <w:ind w:left="720"/>
        <w:rPr>
          <w:rFonts w:ascii="Arial" w:hAnsi="Arial" w:cs="Arial"/>
          <w:sz w:val="20"/>
          <w:szCs w:val="20"/>
        </w:rPr>
      </w:pPr>
    </w:p>
    <w:p w:rsidRPr="002D2A8F" w:rsidR="002D54C4" w:rsidP="004D07DD" w:rsidRDefault="002D54C4" w14:paraId="5D0F012E" w14:textId="77777777">
      <w:pPr>
        <w:widowControl w:val="0"/>
        <w:spacing w:after="0"/>
        <w:ind w:left="720"/>
        <w:rPr>
          <w:rFonts w:ascii="Arial" w:hAnsi="Arial" w:cs="Arial"/>
          <w:sz w:val="20"/>
          <w:szCs w:val="20"/>
        </w:rPr>
      </w:pP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675"/>
        <w:gridCol w:w="4675"/>
      </w:tblGrid>
      <w:tr w:rsidRPr="002D2A8F" w:rsidR="002D54C4" w14:paraId="046857C9" w14:textId="77777777">
        <w:tc>
          <w:tcPr>
            <w:tcW w:w="4675" w:type="dxa"/>
          </w:tcPr>
          <w:p w:rsidRPr="002D2A8F" w:rsidR="002D54C4" w:rsidRDefault="002D54C4" w14:paraId="23AD249E" w14:textId="77777777">
            <w:pPr>
              <w:widowControl w:val="0"/>
              <w:spacing w:before="0"/>
              <w:jc w:val="left"/>
              <w:rPr>
                <w:rFonts w:cs="Arial"/>
                <w:b/>
                <w:bCs/>
              </w:rPr>
            </w:pPr>
            <w:r w:rsidRPr="002D2A8F">
              <w:rPr>
                <w:rFonts w:cs="Arial"/>
                <w:b/>
                <w:bCs/>
              </w:rPr>
              <w:t>Notice to Seller:</w:t>
            </w:r>
          </w:p>
          <w:p w:rsidRPr="002D2A8F" w:rsidR="002D54C4" w:rsidRDefault="002D54C4" w14:paraId="4462923F" w14:textId="77777777">
            <w:pPr>
              <w:widowControl w:val="0"/>
              <w:spacing w:before="0"/>
              <w:jc w:val="left"/>
              <w:rPr>
                <w:rFonts w:cs="Arial"/>
                <w:b/>
                <w:bCs/>
              </w:rPr>
            </w:pPr>
          </w:p>
          <w:p w:rsidRPr="002D2A8F" w:rsidR="002D54C4" w:rsidRDefault="002D54C4" w14:paraId="1491545B" w14:textId="77777777">
            <w:pPr>
              <w:widowControl w:val="0"/>
              <w:spacing w:before="0"/>
              <w:jc w:val="left"/>
              <w:rPr>
                <w:rFonts w:cs="Arial"/>
              </w:rPr>
            </w:pPr>
            <w:r w:rsidRPr="002D2A8F">
              <w:rPr>
                <w:rFonts w:cs="Arial"/>
                <w:highlight w:val="yellow"/>
              </w:rPr>
              <w:t>#SellerLegalName#</w:t>
            </w:r>
          </w:p>
          <w:p w:rsidRPr="002D2A8F" w:rsidR="002D54C4" w:rsidRDefault="002D54C4" w14:paraId="265DD5E4" w14:textId="77777777">
            <w:pPr>
              <w:widowControl w:val="0"/>
              <w:spacing w:before="0"/>
              <w:jc w:val="left"/>
              <w:rPr>
                <w:rFonts w:cs="Arial"/>
              </w:rPr>
            </w:pPr>
            <w:r w:rsidRPr="002D2A8F">
              <w:rPr>
                <w:rFonts w:cs="Arial"/>
              </w:rPr>
              <w:t xml:space="preserve">Attention: </w:t>
            </w:r>
            <w:r w:rsidRPr="002D2A8F">
              <w:rPr>
                <w:rFonts w:cs="Arial"/>
                <w:highlight w:val="yellow"/>
              </w:rPr>
              <w:t>#SellerContactIndividualName#</w:t>
            </w:r>
          </w:p>
          <w:p w:rsidRPr="002D2A8F" w:rsidR="002D54C4" w:rsidRDefault="002D54C4" w14:paraId="78E35375" w14:textId="77777777">
            <w:pPr>
              <w:widowControl w:val="0"/>
              <w:spacing w:before="0"/>
              <w:jc w:val="left"/>
              <w:rPr>
                <w:rFonts w:cs="Arial"/>
                <w:highlight w:val="yellow"/>
              </w:rPr>
            </w:pPr>
            <w:r w:rsidRPr="002D2A8F">
              <w:rPr>
                <w:rFonts w:cs="Arial"/>
                <w:highlight w:val="yellow"/>
              </w:rPr>
              <w:t>#Title</w:t>
            </w:r>
          </w:p>
          <w:p w:rsidRPr="002D2A8F" w:rsidR="002D54C4" w:rsidRDefault="002D54C4" w14:paraId="4405A238" w14:textId="77777777">
            <w:pPr>
              <w:widowControl w:val="0"/>
              <w:spacing w:before="0"/>
              <w:jc w:val="left"/>
              <w:rPr>
                <w:rFonts w:cs="Arial"/>
              </w:rPr>
            </w:pPr>
            <w:r w:rsidRPr="002D2A8F">
              <w:rPr>
                <w:rFonts w:cs="Arial"/>
                <w:highlight w:val="yellow"/>
              </w:rPr>
              <w:t>#SellerAddress</w:t>
            </w:r>
          </w:p>
          <w:p w:rsidRPr="002D2A8F" w:rsidR="002D54C4" w:rsidRDefault="002D54C4" w14:paraId="272D1BC8" w14:textId="77777777">
            <w:pPr>
              <w:widowControl w:val="0"/>
              <w:spacing w:before="0"/>
              <w:jc w:val="left"/>
              <w:rPr>
                <w:rFonts w:cs="Arial"/>
              </w:rPr>
            </w:pPr>
            <w:r w:rsidRPr="002D2A8F">
              <w:rPr>
                <w:rFonts w:cs="Arial"/>
                <w:highlight w:val="yellow"/>
              </w:rPr>
              <w:t>#City</w:t>
            </w:r>
            <w:r w:rsidRPr="002D2A8F">
              <w:rPr>
                <w:rFonts w:cs="Arial"/>
              </w:rPr>
              <w:t xml:space="preserve">, </w:t>
            </w:r>
            <w:r w:rsidRPr="002D2A8F">
              <w:rPr>
                <w:rFonts w:cs="Arial"/>
                <w:highlight w:val="yellow"/>
              </w:rPr>
              <w:t>#State</w:t>
            </w:r>
            <w:r w:rsidRPr="002D2A8F">
              <w:rPr>
                <w:rFonts w:cs="Arial"/>
              </w:rPr>
              <w:t xml:space="preserve"> </w:t>
            </w:r>
            <w:r w:rsidRPr="002D2A8F">
              <w:rPr>
                <w:rFonts w:cs="Arial"/>
                <w:highlight w:val="yellow"/>
              </w:rPr>
              <w:t>#Zip</w:t>
            </w:r>
          </w:p>
          <w:p w:rsidRPr="002D2A8F" w:rsidR="002D54C4" w:rsidRDefault="002D54C4" w14:paraId="088F8E8B" w14:textId="77777777">
            <w:pPr>
              <w:widowControl w:val="0"/>
              <w:spacing w:before="0"/>
              <w:jc w:val="left"/>
              <w:rPr>
                <w:rFonts w:cs="Arial"/>
              </w:rPr>
            </w:pPr>
            <w:r w:rsidRPr="002D2A8F">
              <w:rPr>
                <w:rFonts w:cs="Arial"/>
              </w:rPr>
              <w:t xml:space="preserve">Email: </w:t>
            </w:r>
            <w:r w:rsidRPr="002D2A8F">
              <w:rPr>
                <w:rFonts w:cs="Arial"/>
                <w:highlight w:val="yellow"/>
              </w:rPr>
              <w:t>#SellerContactEmail#</w:t>
            </w:r>
          </w:p>
          <w:p w:rsidRPr="002D2A8F" w:rsidR="002D54C4" w:rsidRDefault="002D54C4" w14:paraId="065C1788" w14:textId="77777777">
            <w:pPr>
              <w:widowControl w:val="0"/>
              <w:spacing w:before="0"/>
              <w:jc w:val="left"/>
              <w:rPr>
                <w:rFonts w:cs="Arial"/>
              </w:rPr>
            </w:pPr>
          </w:p>
        </w:tc>
        <w:tc>
          <w:tcPr>
            <w:tcW w:w="4675" w:type="dxa"/>
          </w:tcPr>
          <w:p w:rsidRPr="002D2A8F" w:rsidR="002D54C4" w:rsidRDefault="002D54C4" w14:paraId="15FF7641" w14:textId="77777777">
            <w:pPr>
              <w:widowControl w:val="0"/>
              <w:spacing w:before="0"/>
              <w:jc w:val="left"/>
              <w:rPr>
                <w:rFonts w:cs="Arial"/>
              </w:rPr>
            </w:pPr>
          </w:p>
        </w:tc>
      </w:tr>
    </w:tbl>
    <w:p w:rsidRPr="002D2A8F" w:rsidR="00377CBA" w:rsidRDefault="00377CBA" w14:paraId="33911320" w14:textId="77777777">
      <w:pPr>
        <w:rPr>
          <w:rFonts w:ascii="Arial" w:hAnsi="Arial" w:cs="Arial"/>
        </w:rPr>
      </w:pPr>
    </w:p>
    <w:sectPr w:rsidRPr="002D2A8F" w:rsidR="00377CBA" w:rsidSect="003B614F">
      <w:pgSz w:w="12240" w:h="15840" w:code="1"/>
      <w:pgMar w:top="1440" w:right="1440" w:bottom="1440" w:left="1440" w:header="720" w:footer="720" w:gutter="0"/>
      <w:paperSrc w:first="15" w:other="15"/>
      <w:cols w:space="144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96EAA" w:rsidP="002D54C4" w:rsidRDefault="00A96EAA" w14:paraId="4D1E4CD2" w14:textId="77777777">
      <w:pPr>
        <w:spacing w:after="0"/>
      </w:pPr>
      <w:r>
        <w:separator/>
      </w:r>
    </w:p>
  </w:endnote>
  <w:endnote w:type="continuationSeparator" w:id="0">
    <w:p w:rsidR="00A96EAA" w:rsidP="002D54C4" w:rsidRDefault="00A96EAA" w14:paraId="2CB06000" w14:textId="77777777">
      <w:pPr>
        <w:spacing w:after="0"/>
      </w:pPr>
      <w:r>
        <w:continuationSeparator/>
      </w:r>
    </w:p>
  </w:endnote>
  <w:endnote w:type="continuationNotice" w:id="1">
    <w:p w:rsidR="00A96EAA" w:rsidRDefault="00A96EAA" w14:paraId="401C504F"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old">
    <w:panose1 w:val="020B0704020202020204"/>
    <w:charset w:val="00"/>
    <w:family w:val="roman"/>
    <w:notTrueType/>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D54C4" w:rsidRDefault="002D54C4" w14:paraId="616CA161" w14:textId="77777777">
    <w:pPr>
      <w:pStyle w:val="Footer"/>
      <w:framePr w:wrap="around" w:hAnchor="margin" w:vAnchor="text" w:xAlign="right" w:y="1"/>
      <w:rPr>
        <w:rStyle w:val="PageNumber"/>
      </w:rPr>
    </w:pPr>
    <w:r>
      <w:rPr>
        <w:rStyle w:val="PageNumber"/>
      </w:rPr>
      <w:fldChar w:fldCharType="begin"/>
    </w:r>
    <w:r>
      <w:rPr>
        <w:rStyle w:val="PageNumber"/>
      </w:rPr>
      <w:instrText xml:space="preserve"> PAGE </w:instrText>
    </w:r>
    <w:r>
      <w:rPr>
        <w:rStyle w:val="PageNumber"/>
      </w:rPr>
      <w:fldChar w:fldCharType="end"/>
    </w:r>
  </w:p>
  <w:p w:rsidR="002D54C4" w:rsidRDefault="002D54C4" w14:paraId="1F77E314" w14:textId="77777777">
    <w:pPr>
      <w:tabs>
        <w:tab w:val="right" w:pos="9360"/>
      </w:tabs>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A1282" w:rsidR="002D54C4" w:rsidP="00261AEB" w:rsidRDefault="00A96EAA" w14:paraId="594ECC34" w14:textId="4C3922C4">
    <w:pPr>
      <w:pStyle w:val="zGFooter"/>
      <w:tabs>
        <w:tab w:val="clear" w:pos="5040"/>
        <w:tab w:val="clear" w:pos="8630"/>
        <w:tab w:val="left" w:pos="4140"/>
        <w:tab w:val="center" w:pos="4590"/>
        <w:tab w:val="right" w:pos="9630"/>
      </w:tabs>
      <w:rPr>
        <w:noProof/>
      </w:rPr>
    </w:pPr>
    <w:sdt>
      <w:sdtPr>
        <w:id w:val="-228003686"/>
        <w:docPartObj>
          <w:docPartGallery w:val="Page Numbers (Bottom of Page)"/>
          <w:docPartUnique/>
        </w:docPartObj>
      </w:sdtPr>
      <w:sdtEndPr>
        <w:rPr>
          <w:noProof/>
        </w:rPr>
      </w:sdtEndPr>
      <w:sdtContent>
        <w:r w:rsidR="00520FA9">
          <w:t>32</w:t>
        </w:r>
        <w:r w:rsidR="00F8740E">
          <w:t>-</w:t>
        </w:r>
        <w:r w:rsidR="00520FA9">
          <w:t>33</w:t>
        </w:r>
        <w:r w:rsidR="00595F90">
          <w:t xml:space="preserve"> All-Source </w:t>
        </w:r>
        <w:r w:rsidR="00520FA9">
          <w:t xml:space="preserve">RFP </w:t>
        </w:r>
        <w:r w:rsidR="00595F90">
          <w:t xml:space="preserve">Paired </w:t>
        </w:r>
        <w:r w:rsidR="000B66AE">
          <w:t>PPA</w:t>
        </w:r>
        <w:r w:rsidR="002D54C4">
          <w:tab/>
        </w:r>
        <w:r w:rsidR="002D54C4">
          <w:tab/>
        </w:r>
        <w:r w:rsidRPr="00ED5882" w:rsidR="002D54C4">
          <w:t xml:space="preserve">Page </w:t>
        </w:r>
        <w:r w:rsidRPr="00ED5882" w:rsidR="002D54C4">
          <w:fldChar w:fldCharType="begin"/>
        </w:r>
        <w:r w:rsidRPr="00ED5882" w:rsidR="002D54C4">
          <w:instrText xml:space="preserve"> PAGE </w:instrText>
        </w:r>
        <w:r w:rsidRPr="00ED5882" w:rsidR="002D54C4">
          <w:fldChar w:fldCharType="separate"/>
        </w:r>
        <w:r w:rsidR="002D54C4">
          <w:rPr>
            <w:noProof/>
          </w:rPr>
          <w:t>1</w:t>
        </w:r>
        <w:r w:rsidRPr="00ED5882" w:rsidR="002D54C4">
          <w:fldChar w:fldCharType="end"/>
        </w:r>
        <w:r w:rsidRPr="00ED5882" w:rsidR="002D54C4">
          <w:t xml:space="preserve"> of </w:t>
        </w:r>
        <w:r w:rsidR="002D54C4">
          <w:rPr>
            <w:noProof/>
          </w:rPr>
          <w:t>114</w:t>
        </w:r>
      </w:sdtContent>
    </w:sdt>
    <w:r w:rsidRPr="00ED5882" w:rsidR="002D54C4">
      <w:rPr>
        <w:noProof/>
      </w:rPr>
      <w:tab/>
    </w:r>
    <w:r w:rsidRPr="0010153E" w:rsidR="002D54C4">
      <w:rPr>
        <w:noProof/>
        <w:szCs w:val="16"/>
      </w:rPr>
      <w:t xml:space="preserve">GPC </w:t>
    </w:r>
    <w:r w:rsidRPr="0010153E" w:rsidR="002D54C4">
      <w:rPr>
        <w:noProof/>
        <w:szCs w:val="16"/>
        <w:highlight w:val="yellow"/>
      </w:rPr>
      <w:t>(#FacilityName#)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D54C4" w:rsidRDefault="002D54C4" w14:paraId="0269F137" w14:textId="77777777">
    <w:pPr>
      <w:tabs>
        <w:tab w:val="right" w:pos="9360"/>
      </w:tabs>
      <w:spacing w:line="200" w:lineRule="exac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D5DB1" w:rsidRDefault="00AD5DB1" w14:paraId="7827990C"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D5DB1" w:rsidRDefault="00AD5DB1" w14:paraId="58D445B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96EAA" w:rsidP="002D54C4" w:rsidRDefault="00A96EAA" w14:paraId="47098710" w14:textId="77777777">
      <w:pPr>
        <w:spacing w:after="0"/>
      </w:pPr>
      <w:r>
        <w:separator/>
      </w:r>
    </w:p>
  </w:footnote>
  <w:footnote w:type="continuationSeparator" w:id="0">
    <w:p w:rsidR="00A96EAA" w:rsidP="002D54C4" w:rsidRDefault="00A96EAA" w14:paraId="3BC5339E" w14:textId="77777777">
      <w:pPr>
        <w:spacing w:after="0"/>
      </w:pPr>
      <w:r>
        <w:continuationSeparator/>
      </w:r>
    </w:p>
  </w:footnote>
  <w:footnote w:type="continuationNotice" w:id="1">
    <w:p w:rsidR="00A96EAA" w:rsidRDefault="00A96EAA" w14:paraId="71717367" w14:textId="77777777">
      <w:pPr>
        <w:spacing w:after="0"/>
      </w:pPr>
    </w:p>
  </w:footnote>
  <w:footnote w:id="2">
    <w:p w:rsidRPr="00CE4AF5" w:rsidR="003377D8" w:rsidP="005B6C5D" w:rsidRDefault="003377D8" w14:paraId="4DF97420" w14:textId="05287BCC">
      <w:pPr>
        <w:pStyle w:val="FootnoteText"/>
        <w:jc w:val="both"/>
        <w:rPr>
          <w:rFonts w:ascii="Arial" w:hAnsi="Arial" w:cs="Arial"/>
        </w:rPr>
      </w:pPr>
      <w:r w:rsidRPr="00CE4AF5">
        <w:rPr>
          <w:rStyle w:val="FootnoteReference"/>
          <w:rFonts w:ascii="Arial" w:hAnsi="Arial" w:cs="Arial"/>
        </w:rPr>
        <w:footnoteRef/>
      </w:r>
      <w:r w:rsidRPr="00BA5065">
        <w:rPr>
          <w:rFonts w:ascii="Arial" w:hAnsi="Arial" w:cs="Arial"/>
        </w:rPr>
        <w:t xml:space="preserve"> </w:t>
      </w:r>
      <w:r w:rsidRPr="00BA5065" w:rsidR="00A85558">
        <w:rPr>
          <w:rFonts w:ascii="Arial" w:hAnsi="Arial" w:cs="Arial"/>
        </w:rPr>
        <w:t>[</w:t>
      </w:r>
      <w:r w:rsidRPr="00B41BCB" w:rsidR="00A85558">
        <w:rPr>
          <w:rFonts w:ascii="Arial" w:hAnsi="Arial" w:cs="Arial"/>
          <w:b/>
          <w:bCs/>
          <w:highlight w:val="cyan"/>
          <w:u w:val="single"/>
        </w:rPr>
        <w:t>Note to Bidders</w:t>
      </w:r>
      <w:r w:rsidRPr="00B41BCB" w:rsidR="00A85558">
        <w:rPr>
          <w:rFonts w:ascii="Arial" w:hAnsi="Arial" w:cs="Arial"/>
          <w:highlight w:val="cyan"/>
        </w:rPr>
        <w:t>:</w:t>
      </w:r>
      <w:r w:rsidRPr="00B41BCB">
        <w:rPr>
          <w:rFonts w:ascii="Arial" w:hAnsi="Arial" w:cs="Arial"/>
          <w:highlight w:val="cyan"/>
        </w:rPr>
        <w:t xml:space="preserve"> </w:t>
      </w:r>
      <w:r w:rsidR="005B6C5D">
        <w:rPr>
          <w:rFonts w:ascii="Arial" w:hAnsi="Arial" w:cs="Arial"/>
          <w:highlight w:val="cyan"/>
        </w:rPr>
        <w:t xml:space="preserve">Table A-3 may include </w:t>
      </w:r>
      <w:r w:rsidR="00166F64">
        <w:rPr>
          <w:rFonts w:ascii="Arial" w:hAnsi="Arial" w:cs="Arial"/>
          <w:highlight w:val="cyan"/>
        </w:rPr>
        <w:t>a</w:t>
      </w:r>
      <w:r w:rsidRPr="00B41BCB" w:rsidR="00166F64">
        <w:rPr>
          <w:rFonts w:ascii="Arial" w:hAnsi="Arial" w:cs="Arial"/>
          <w:highlight w:val="cyan"/>
        </w:rPr>
        <w:t>ny applicable average annual state of charge limitation</w:t>
      </w:r>
      <w:r w:rsidRPr="00B41BCB" w:rsidR="00CE4AF5">
        <w:rPr>
          <w:rFonts w:ascii="Arial" w:hAnsi="Arial" w:cs="Arial"/>
          <w:highlight w:val="cyan"/>
        </w:rPr>
        <w:t xml:space="preserve">, so long as supporting OEM documentation that substantiates </w:t>
      </w:r>
      <w:r w:rsidRPr="00B41BCB" w:rsidR="00BA5065">
        <w:rPr>
          <w:rFonts w:ascii="Arial" w:hAnsi="Arial" w:cs="Arial"/>
          <w:highlight w:val="cyan"/>
        </w:rPr>
        <w:t>the</w:t>
      </w:r>
      <w:r w:rsidRPr="00B41BCB" w:rsidR="00CE4AF5">
        <w:rPr>
          <w:rFonts w:ascii="Arial" w:hAnsi="Arial" w:cs="Arial"/>
          <w:highlight w:val="cyan"/>
        </w:rPr>
        <w:t xml:space="preserve"> proposed limitation</w:t>
      </w:r>
      <w:r w:rsidRPr="00B41BCB" w:rsidR="00BA5065">
        <w:rPr>
          <w:rFonts w:ascii="Arial" w:hAnsi="Arial" w:cs="Arial"/>
          <w:highlight w:val="cyan"/>
        </w:rPr>
        <w:t xml:space="preserve"> is also provided</w:t>
      </w:r>
      <w:r w:rsidRPr="00BA5065" w:rsidR="00CE4AF5">
        <w:rPr>
          <w:rFonts w:ascii="Arial" w:hAnsi="Arial" w:cs="Arial"/>
        </w:rPr>
        <w:t>.</w:t>
      </w:r>
      <w:r w:rsidRPr="00BA5065" w:rsidR="00BA5065">
        <w:rPr>
          <w:rFonts w:ascii="Arial" w:hAnsi="Arial" w:cs="Arial"/>
        </w:rPr>
        <w:t>]</w:t>
      </w:r>
      <w:r w:rsidRPr="00CE4AF5" w:rsidR="00CE4AF5">
        <w:rPr>
          <w:rFonts w:ascii="Arial" w:hAnsi="Arial" w:cs="Arial"/>
        </w:rPr>
        <w:t xml:space="preserve"> </w:t>
      </w:r>
    </w:p>
  </w:footnote>
  <w:footnote w:id="3">
    <w:p w:rsidRPr="007E58B3" w:rsidR="00D61E70" w:rsidP="00D61E70" w:rsidRDefault="00D61E70" w14:paraId="38066DE0" w14:textId="72A99823">
      <w:pPr>
        <w:pStyle w:val="FootnoteText"/>
        <w:spacing w:line="240" w:lineRule="auto"/>
        <w:jc w:val="both"/>
        <w:rPr>
          <w:rFonts w:ascii="Arial" w:hAnsi="Arial" w:cs="Arial"/>
          <w:sz w:val="20"/>
          <w:szCs w:val="20"/>
        </w:rPr>
      </w:pPr>
      <w:r w:rsidRPr="007E58B3">
        <w:rPr>
          <w:rStyle w:val="FootnoteReference"/>
          <w:rFonts w:ascii="Arial" w:hAnsi="Arial" w:cs="Arial"/>
          <w:sz w:val="20"/>
          <w:szCs w:val="20"/>
        </w:rPr>
        <w:footnoteRef/>
      </w:r>
      <w:r w:rsidRPr="007E58B3">
        <w:rPr>
          <w:rFonts w:ascii="Arial" w:hAnsi="Arial" w:cs="Arial"/>
          <w:sz w:val="20"/>
          <w:szCs w:val="20"/>
        </w:rPr>
        <w:t xml:space="preserve"> Without limiting </w:t>
      </w:r>
      <w:r w:rsidR="007E58B3">
        <w:rPr>
          <w:rFonts w:ascii="Arial" w:hAnsi="Arial" w:cs="Arial"/>
          <w:sz w:val="20"/>
          <w:szCs w:val="20"/>
        </w:rPr>
        <w:t>any</w:t>
      </w:r>
      <w:r w:rsidRPr="007E58B3">
        <w:rPr>
          <w:rFonts w:ascii="Arial" w:hAnsi="Arial" w:cs="Arial"/>
          <w:sz w:val="20"/>
          <w:szCs w:val="20"/>
        </w:rPr>
        <w:t xml:space="preserve"> other </w:t>
      </w:r>
      <w:r w:rsidR="007E58B3">
        <w:rPr>
          <w:rFonts w:ascii="Arial" w:hAnsi="Arial" w:cs="Arial"/>
          <w:sz w:val="20"/>
          <w:szCs w:val="20"/>
        </w:rPr>
        <w:t xml:space="preserve">PPA </w:t>
      </w:r>
      <w:r w:rsidRPr="007E58B3">
        <w:rPr>
          <w:rFonts w:ascii="Arial" w:hAnsi="Arial" w:cs="Arial"/>
          <w:sz w:val="20"/>
          <w:szCs w:val="20"/>
        </w:rPr>
        <w:t xml:space="preserve">requirement, as a condition to achieving each </w:t>
      </w:r>
      <w:r w:rsidR="00BE1B9E">
        <w:rPr>
          <w:rFonts w:ascii="Arial" w:hAnsi="Arial" w:cs="Arial"/>
          <w:sz w:val="20"/>
          <w:szCs w:val="20"/>
        </w:rPr>
        <w:t>Key</w:t>
      </w:r>
      <w:r w:rsidRPr="007E58B3" w:rsidR="00BE1B9E">
        <w:rPr>
          <w:rFonts w:ascii="Arial" w:hAnsi="Arial" w:cs="Arial"/>
          <w:sz w:val="20"/>
          <w:szCs w:val="20"/>
        </w:rPr>
        <w:t xml:space="preserve"> </w:t>
      </w:r>
      <w:r w:rsidRPr="007E58B3">
        <w:rPr>
          <w:rFonts w:ascii="Arial" w:hAnsi="Arial" w:cs="Arial"/>
          <w:sz w:val="20"/>
          <w:szCs w:val="20"/>
        </w:rPr>
        <w:t xml:space="preserve">Milestone on or before the </w:t>
      </w:r>
      <w:r w:rsidR="00EE2C3A">
        <w:rPr>
          <w:rFonts w:ascii="Arial" w:hAnsi="Arial" w:cs="Arial"/>
          <w:sz w:val="20"/>
          <w:szCs w:val="20"/>
        </w:rPr>
        <w:t>Key</w:t>
      </w:r>
      <w:r w:rsidRPr="007E58B3" w:rsidR="00EE2C3A">
        <w:rPr>
          <w:rFonts w:ascii="Arial" w:hAnsi="Arial" w:cs="Arial"/>
          <w:sz w:val="20"/>
          <w:szCs w:val="20"/>
        </w:rPr>
        <w:t xml:space="preserve"> </w:t>
      </w:r>
      <w:r w:rsidRPr="007E58B3">
        <w:rPr>
          <w:rFonts w:ascii="Arial" w:hAnsi="Arial" w:cs="Arial"/>
          <w:sz w:val="20"/>
          <w:szCs w:val="20"/>
        </w:rPr>
        <w:t xml:space="preserve">Milestone Date, Seller </w:t>
      </w:r>
      <w:r w:rsidRPr="007E58B3" w:rsidR="009626D9">
        <w:rPr>
          <w:rFonts w:ascii="Arial" w:hAnsi="Arial" w:cs="Arial"/>
          <w:sz w:val="20"/>
          <w:szCs w:val="20"/>
        </w:rPr>
        <w:t>must</w:t>
      </w:r>
      <w:r w:rsidRPr="007E58B3">
        <w:rPr>
          <w:rFonts w:ascii="Arial" w:hAnsi="Arial" w:cs="Arial"/>
          <w:sz w:val="20"/>
          <w:szCs w:val="20"/>
        </w:rPr>
        <w:t xml:space="preserve"> provide evidence </w:t>
      </w:r>
      <w:r w:rsidRPr="007E58B3" w:rsidR="00E372AB">
        <w:rPr>
          <w:rFonts w:ascii="Arial" w:hAnsi="Arial" w:cs="Arial"/>
          <w:sz w:val="20"/>
          <w:szCs w:val="20"/>
        </w:rPr>
        <w:t>satisfactory</w:t>
      </w:r>
      <w:r w:rsidRPr="007E58B3">
        <w:rPr>
          <w:rFonts w:ascii="Arial" w:hAnsi="Arial" w:cs="Arial"/>
          <w:sz w:val="20"/>
          <w:szCs w:val="20"/>
        </w:rPr>
        <w:t xml:space="preserve"> to </w:t>
      </w:r>
      <w:r w:rsidRPr="007E58B3" w:rsidR="0017018E">
        <w:rPr>
          <w:rFonts w:ascii="Arial" w:hAnsi="Arial" w:cs="Arial"/>
          <w:sz w:val="20"/>
          <w:szCs w:val="20"/>
        </w:rPr>
        <w:t>GPC</w:t>
      </w:r>
      <w:r w:rsidRPr="007E58B3">
        <w:rPr>
          <w:rFonts w:ascii="Arial" w:hAnsi="Arial" w:cs="Arial"/>
          <w:sz w:val="20"/>
          <w:szCs w:val="20"/>
        </w:rPr>
        <w:t xml:space="preserve"> demonstrating th</w:t>
      </w:r>
      <w:r w:rsidR="00B10F23">
        <w:rPr>
          <w:rFonts w:ascii="Arial" w:hAnsi="Arial" w:cs="Arial"/>
          <w:sz w:val="20"/>
          <w:szCs w:val="20"/>
        </w:rPr>
        <w:t xml:space="preserve">at </w:t>
      </w:r>
      <w:r w:rsidRPr="007E58B3">
        <w:rPr>
          <w:rFonts w:ascii="Arial" w:hAnsi="Arial" w:cs="Arial"/>
          <w:sz w:val="20"/>
          <w:szCs w:val="20"/>
        </w:rPr>
        <w:t xml:space="preserve">each </w:t>
      </w:r>
      <w:r w:rsidRPr="007E58B3" w:rsidR="0017018E">
        <w:rPr>
          <w:rFonts w:ascii="Arial" w:hAnsi="Arial" w:cs="Arial"/>
          <w:sz w:val="20"/>
          <w:szCs w:val="20"/>
        </w:rPr>
        <w:t>Key</w:t>
      </w:r>
      <w:r w:rsidRPr="007E58B3">
        <w:rPr>
          <w:rFonts w:ascii="Arial" w:hAnsi="Arial" w:cs="Arial"/>
          <w:sz w:val="20"/>
          <w:szCs w:val="20"/>
        </w:rPr>
        <w:t xml:space="preserve"> Milestone</w:t>
      </w:r>
      <w:r w:rsidRPr="007E58B3" w:rsidR="0017018E">
        <w:rPr>
          <w:rFonts w:ascii="Arial" w:hAnsi="Arial" w:cs="Arial"/>
          <w:sz w:val="20"/>
          <w:szCs w:val="20"/>
        </w:rPr>
        <w:t xml:space="preserve"> </w:t>
      </w:r>
      <w:r w:rsidR="00B10F23">
        <w:rPr>
          <w:rFonts w:ascii="Arial" w:hAnsi="Arial" w:cs="Arial"/>
          <w:sz w:val="20"/>
          <w:szCs w:val="20"/>
        </w:rPr>
        <w:t>was achieved by</w:t>
      </w:r>
      <w:r w:rsidRPr="007E58B3" w:rsidR="00B10F23">
        <w:rPr>
          <w:rFonts w:ascii="Arial" w:hAnsi="Arial" w:cs="Arial"/>
          <w:sz w:val="20"/>
          <w:szCs w:val="20"/>
        </w:rPr>
        <w:t xml:space="preserve"> </w:t>
      </w:r>
      <w:r w:rsidRPr="007E58B3" w:rsidR="0017018E">
        <w:rPr>
          <w:rFonts w:ascii="Arial" w:hAnsi="Arial" w:cs="Arial"/>
          <w:sz w:val="20"/>
          <w:szCs w:val="20"/>
        </w:rPr>
        <w:t>the Key Milestone Date</w:t>
      </w:r>
      <w:r w:rsidRPr="007E58B3">
        <w:rPr>
          <w:rFonts w:ascii="Arial" w:hAnsi="Arial" w:cs="Arial"/>
          <w:sz w:val="20"/>
          <w:szCs w:val="20"/>
        </w:rPr>
        <w:t xml:space="preserve">, including the items described in this table. </w:t>
      </w:r>
    </w:p>
  </w:footnote>
  <w:footnote w:id="4">
    <w:p w:rsidRPr="00B24831" w:rsidR="002D54C4" w:rsidP="002D54C4" w:rsidRDefault="002D54C4" w14:paraId="467D9767" w14:textId="77777777">
      <w:pPr>
        <w:pStyle w:val="CommentText"/>
        <w:spacing w:line="0" w:lineRule="atLeast"/>
        <w:rPr>
          <w:rFonts w:ascii="Arial" w:hAnsi="Arial" w:cs="Arial"/>
          <w:sz w:val="20"/>
          <w:szCs w:val="20"/>
        </w:rPr>
      </w:pPr>
      <w:r w:rsidRPr="00B24831">
        <w:rPr>
          <w:rStyle w:val="FootnoteReference"/>
          <w:rFonts w:ascii="Arial" w:hAnsi="Arial" w:cs="Arial"/>
          <w:sz w:val="20"/>
          <w:szCs w:val="20"/>
        </w:rPr>
        <w:footnoteRef/>
      </w:r>
      <w:r w:rsidRPr="00B24831">
        <w:rPr>
          <w:rFonts w:ascii="Arial" w:hAnsi="Arial" w:cs="Arial"/>
          <w:sz w:val="20"/>
          <w:szCs w:val="20"/>
        </w:rPr>
        <w:t xml:space="preserve"> If Seller’s business structure does not designate an officer with this or a similar title, Seller must provide written documentation affirming the authority of the individual who attests to this certification.</w:t>
      </w:r>
    </w:p>
    <w:p w:rsidRPr="00B24831" w:rsidR="002D54C4" w:rsidP="002D54C4" w:rsidRDefault="002D54C4" w14:paraId="5B262DD9" w14:textId="77777777">
      <w:pPr>
        <w:pStyle w:val="FootnoteText"/>
        <w:rPr>
          <w:rFonts w:ascii="Arial" w:hAnsi="Arial" w:cs="Arial"/>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D54C4" w:rsidRDefault="002D54C4" w14:paraId="399EB88F" w14:textId="77777777">
    <w:pPr>
      <w:tabs>
        <w:tab w:val="right" w:pos="9360"/>
      </w:tab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D7153" w:rsidR="006E1FEF" w:rsidP="00261AEB" w:rsidRDefault="006E1FEF" w14:paraId="276AD225" w14:textId="370DF92F">
    <w:pPr>
      <w:pStyle w:val="zGNormal"/>
      <w:jc w:val="right"/>
    </w:pPr>
    <w:bookmarkStart w:name="_Hlk147396789" w:id="0"/>
    <w:bookmarkStart w:name="_Hlk143275271" w:id="1"/>
    <w:bookmarkStart w:name="_Hlk143275272" w:id="2"/>
    <w:bookmarkStart w:name="_Hlk143275273" w:id="3"/>
    <w:bookmarkStart w:name="_Hlk143275274" w:id="4"/>
    <w:bookmarkStart w:name="_Hlk143275275" w:id="5"/>
    <w:bookmarkStart w:name="_Hlk143275276" w:id="6"/>
    <w:bookmarkStart w:name="_Hlk143275277" w:id="7"/>
    <w:bookmarkStart w:name="_Hlk143275278" w:id="8"/>
    <w:bookmarkStart w:name="_Hlk143275279" w:id="9"/>
    <w:bookmarkStart w:name="_Hlk143275280" w:id="10"/>
    <w:bookmarkStart w:name="_Hlk143275281" w:id="11"/>
    <w:bookmarkStart w:name="_Hlk143275282" w:id="12"/>
    <w:bookmarkStart w:name="_Hlk143275283" w:id="13"/>
    <w:bookmarkStart w:name="_Hlk143275284" w:id="14"/>
    <w:bookmarkStart w:name="_Hlk143275285" w:id="15"/>
    <w:bookmarkStart w:name="_Hlk143275286" w:id="16"/>
    <w:r w:rsidRPr="00793D79">
      <w:rPr>
        <w:b/>
        <w:bCs/>
        <w:i/>
        <w:iCs/>
        <w:color w:val="FF0000"/>
      </w:rPr>
      <w:t>32</w:t>
    </w:r>
    <w:r w:rsidR="00F009E7">
      <w:rPr>
        <w:b/>
        <w:bCs/>
        <w:i/>
        <w:iCs/>
        <w:color w:val="FF0000"/>
      </w:rPr>
      <w:t>-</w:t>
    </w:r>
    <w:r w:rsidRPr="00793D79">
      <w:rPr>
        <w:b/>
        <w:bCs/>
        <w:i/>
        <w:iCs/>
        <w:color w:val="FF0000"/>
      </w:rPr>
      <w:t xml:space="preserve">33 </w:t>
    </w:r>
    <w:r w:rsidRPr="00261AEB">
      <w:rPr>
        <w:b/>
        <w:i/>
        <w:color w:val="FF0000"/>
      </w:rPr>
      <w:t>All-Source RFP</w:t>
    </w:r>
  </w:p>
  <w:p w:rsidRPr="00261AEB" w:rsidR="001D6FBE" w:rsidP="002D0E1D" w:rsidRDefault="001D6FBE" w14:paraId="4EC149FB" w14:textId="2E1D606F">
    <w:pPr>
      <w:pStyle w:val="Header"/>
      <w:spacing w:after="0"/>
      <w:rPr>
        <w:rFonts w:ascii="Arial" w:hAnsi="Arial"/>
        <w:sz w:val="20"/>
      </w:rPr>
    </w:pPr>
    <w:r>
      <w:rPr>
        <w:rFonts w:ascii="Arial" w:hAnsi="Arial" w:cs="Arial"/>
        <w:bCs/>
        <w:iCs/>
        <w:sz w:val="20"/>
        <w:szCs w:val="20"/>
      </w:rPr>
      <w:t>Pro Forma PPA</w:t>
    </w:r>
    <w:r w:rsidR="00A45DCC">
      <w:rPr>
        <w:rFonts w:ascii="Arial" w:hAnsi="Arial" w:cs="Arial"/>
        <w:bCs/>
        <w:iCs/>
        <w:sz w:val="20"/>
        <w:szCs w:val="20"/>
      </w:rPr>
      <w:t xml:space="preserve"> (Paired Facility)</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rsidRPr="003F5FFF" w:rsidR="009C4DD9" w:rsidRDefault="0ABF5646" w14:paraId="5F860F0A" w14:textId="6AEFE293">
    <w:pPr>
      <w:keepLines/>
      <w:tabs>
        <w:tab w:val="center" w:pos="4320"/>
        <w:tab w:val="left" w:pos="8360"/>
      </w:tabs>
      <w:spacing w:after="0"/>
      <w:jc w:val="right"/>
      <w:rPr>
        <w:rFonts w:ascii="Arial" w:hAnsi="Arial" w:eastAsia="Arial" w:cs="Arial"/>
        <w:sz w:val="20"/>
        <w:szCs w:val="20"/>
      </w:rPr>
    </w:pPr>
    <w:r w:rsidRPr="0ABF5646">
      <w:rPr>
        <w:rFonts w:ascii="Arial" w:hAnsi="Arial" w:cs="Arial"/>
        <w:b/>
        <w:bCs/>
        <w:i/>
        <w:iCs/>
        <w:color w:val="EE0000"/>
        <w:sz w:val="20"/>
        <w:szCs w:val="20"/>
      </w:rPr>
      <w:t>Filing Draft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15E81" w:rsidR="002D54C4" w:rsidRDefault="002D54C4" w14:paraId="01FBF1CA" w14:textId="77777777">
    <w:pPr>
      <w:pStyle w:val="BodyText3"/>
      <w:jc w:val="right"/>
      <w:rPr>
        <w:sz w:val="18"/>
        <w:szCs w:val="18"/>
      </w:rPr>
    </w:pPr>
    <w:r w:rsidRPr="00B15E81">
      <w:rPr>
        <w:sz w:val="18"/>
        <w:szCs w:val="18"/>
      </w:rPr>
      <w:t>CARES 2023 RFP for Utility Scale Renewable Generation</w:t>
    </w:r>
  </w:p>
  <w:p w:rsidRPr="0006058F" w:rsidR="002D54C4" w:rsidRDefault="002D54C4" w14:paraId="39778BC7" w14:textId="77777777">
    <w:pPr>
      <w:pStyle w:val="BodyText3"/>
      <w:jc w:val="right"/>
      <w:rPr>
        <w:sz w:val="24"/>
      </w:rPr>
    </w:pPr>
    <w:r w:rsidRPr="226142E2">
      <w:rPr>
        <w:sz w:val="18"/>
        <w:szCs w:val="18"/>
      </w:rPr>
      <w:t>GPC</w:t>
    </w:r>
    <w:r>
      <w:rPr>
        <w:sz w:val="18"/>
        <w:szCs w:val="18"/>
      </w:rPr>
      <w:t xml:space="preserve"> </w:t>
    </w:r>
    <w:r w:rsidRPr="00B15E81">
      <w:rPr>
        <w:sz w:val="18"/>
        <w:szCs w:val="18"/>
      </w:rPr>
      <w:t>Draft – October 1</w:t>
    </w:r>
    <w:r>
      <w:rPr>
        <w:sz w:val="18"/>
        <w:szCs w:val="18"/>
      </w:rPr>
      <w:t>3</w:t>
    </w:r>
    <w:r w:rsidRPr="00B15E81">
      <w:rPr>
        <w:sz w:val="18"/>
        <w:szCs w:val="18"/>
      </w:rPr>
      <w:t>, 2022</w:t>
    </w:r>
  </w:p>
  <w:p w:rsidR="002D54C4" w:rsidRDefault="002D54C4" w14:paraId="3A3A3061" w14:textId="77777777">
    <w:pPr>
      <w:tabs>
        <w:tab w:val="right" w:pos="9360"/>
      </w:tabs>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D5DB1" w:rsidRDefault="00AD5DB1" w14:paraId="7AEB4589"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97562D" w:rsidR="003A541C" w:rsidP="00261AEB" w:rsidRDefault="003A541C" w14:paraId="7E66C0E5" w14:textId="434619A5">
    <w:pPr>
      <w:pStyle w:val="zGNormal"/>
      <w:jc w:val="right"/>
    </w:pPr>
    <w:r w:rsidRPr="00793D79">
      <w:rPr>
        <w:b/>
        <w:bCs/>
        <w:i/>
        <w:iCs/>
        <w:color w:val="FF0000"/>
      </w:rPr>
      <w:t>32</w:t>
    </w:r>
    <w:r>
      <w:rPr>
        <w:b/>
        <w:bCs/>
        <w:i/>
        <w:iCs/>
        <w:color w:val="FF0000"/>
      </w:rPr>
      <w:t>-</w:t>
    </w:r>
    <w:r w:rsidRPr="00793D79">
      <w:rPr>
        <w:b/>
        <w:bCs/>
        <w:i/>
        <w:iCs/>
        <w:color w:val="FF0000"/>
      </w:rPr>
      <w:t xml:space="preserve">33 </w:t>
    </w:r>
    <w:r w:rsidRPr="00261AEB">
      <w:rPr>
        <w:b/>
        <w:i/>
        <w:color w:val="FF0000"/>
      </w:rPr>
      <w:t>All-Source RFP</w:t>
    </w:r>
  </w:p>
  <w:p w:rsidRPr="00261AEB" w:rsidR="003A541C" w:rsidP="003A541C" w:rsidRDefault="003A541C" w14:paraId="47030A6D" w14:textId="7352B810">
    <w:pPr>
      <w:pStyle w:val="Header"/>
      <w:spacing w:after="0"/>
      <w:rPr>
        <w:rFonts w:ascii="Arial" w:hAnsi="Arial"/>
        <w:sz w:val="20"/>
      </w:rPr>
    </w:pPr>
    <w:r>
      <w:rPr>
        <w:rFonts w:ascii="Arial" w:hAnsi="Arial" w:cs="Arial"/>
        <w:bCs/>
        <w:iCs/>
        <w:sz w:val="20"/>
        <w:szCs w:val="20"/>
      </w:rPr>
      <w:t>Pro Forma PPA (Paired Facility)</w:t>
    </w:r>
  </w:p>
  <w:p w:rsidRPr="003F5FFF" w:rsidR="00F43585" w:rsidP="00F43585" w:rsidRDefault="003A541C" w14:paraId="426B648A" w14:textId="0FD40D9A">
    <w:pPr>
      <w:keepLines/>
      <w:tabs>
        <w:tab w:val="center" w:pos="4320"/>
        <w:tab w:val="left" w:pos="8360"/>
      </w:tabs>
      <w:spacing w:after="0"/>
      <w:jc w:val="right"/>
      <w:rPr>
        <w:rFonts w:ascii="Arial" w:hAnsi="Arial" w:cs="Arial"/>
        <w:b/>
        <w:i/>
        <w:color w:val="FF0000"/>
        <w:sz w:val="20"/>
        <w:szCs w:val="20"/>
      </w:rPr>
    </w:pPr>
    <w:r>
      <w:rPr>
        <w:b/>
        <w:i/>
        <w:color w:val="EE0000"/>
      </w:rPr>
      <w:tab/>
    </w:r>
    <w:r w:rsidR="002F7389">
      <w:rPr>
        <w:rFonts w:ascii="Arial" w:hAnsi="Arial" w:cs="Arial"/>
        <w:b/>
        <w:i/>
        <w:color w:val="EE0000"/>
        <w:sz w:val="20"/>
        <w:szCs w:val="20"/>
      </w:rPr>
      <w:t>Filing Draft</w:t>
    </w:r>
  </w:p>
  <w:p w:rsidRPr="00A42D6F" w:rsidR="005A40C9" w:rsidP="00F43585" w:rsidRDefault="005A40C9" w14:paraId="3764F26F" w14:textId="65BC557D">
    <w:pPr>
      <w:keepLines/>
      <w:tabs>
        <w:tab w:val="center" w:pos="4320"/>
        <w:tab w:val="left" w:pos="8360"/>
      </w:tabs>
      <w:spacing w:after="0"/>
      <w:rPr>
        <w:rFonts w:ascii="Arial" w:hAnsi="Arial" w:cs="Arial"/>
        <w:b/>
        <w:i/>
        <w:color w:val="FF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multilevel"/>
    <w:tmpl w:val="76A87FD2"/>
    <w:name w:val="List Bullet"/>
    <w:lvl w:ilvl="0">
      <w:start w:val="1"/>
      <w:numFmt w:val="decimal"/>
      <w:pStyle w:val="ListBullet"/>
      <w:lvlText w:val="%1."/>
      <w:lvlJc w:val="left"/>
      <w:pPr>
        <w:ind w:left="360" w:hanging="360"/>
      </w:pPr>
      <w:rPr>
        <w:rFonts w:ascii="Arial Bold" w:hAnsi="Arial Bold" w:hint="default"/>
        <w:b/>
        <w:i w:val="0"/>
        <w:caps w:val="0"/>
        <w:strike w:val="0"/>
        <w:dstrike w:val="0"/>
        <w:vanish w:val="0"/>
        <w:color w:val="000000" w:themeColor="text1"/>
        <w:sz w:val="20"/>
        <w:u w:val="none"/>
        <w:vertAlign w:val="baseline"/>
      </w:rPr>
    </w:lvl>
    <w:lvl w:ilvl="1">
      <w:start w:val="1"/>
      <w:numFmt w:val="upperLetter"/>
      <w:lvlText w:val="%2."/>
      <w:lvlJc w:val="left"/>
      <w:pPr>
        <w:tabs>
          <w:tab w:val="num" w:pos="576"/>
        </w:tabs>
        <w:ind w:left="288" w:firstLine="0"/>
      </w:pPr>
      <w:rPr>
        <w:rFonts w:ascii="Arial" w:hAnsi="Arial" w:hint="default"/>
        <w:b/>
        <w:i w:val="0"/>
        <w:caps w:val="0"/>
        <w:strike w:val="0"/>
        <w:dstrike w:val="0"/>
        <w:vanish w:val="0"/>
        <w:color w:val="000000" w:themeColor="text1"/>
        <w:sz w:val="20"/>
        <w:vertAlign w:val="baseline"/>
      </w:rPr>
    </w:lvl>
    <w:lvl w:ilvl="2">
      <w:start w:val="1"/>
      <w:numFmt w:val="lowerRoman"/>
      <w:lvlText w:val="%3."/>
      <w:lvlJc w:val="left"/>
      <w:pPr>
        <w:tabs>
          <w:tab w:val="num" w:pos="1080"/>
        </w:tabs>
        <w:ind w:left="1080" w:hanging="504"/>
      </w:pPr>
      <w:rPr>
        <w:rFonts w:ascii="Arial" w:hAnsi="Arial" w:hint="default"/>
        <w:b/>
        <w:i w:val="0"/>
        <w:caps w:val="0"/>
        <w:strike w:val="0"/>
        <w:dstrike w:val="0"/>
        <w:vanish w:val="0"/>
        <w:color w:val="000000" w:themeColor="text1"/>
        <w:sz w:val="20"/>
        <w:vertAlign w:val="baseline"/>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0000001"/>
    <w:multiLevelType w:val="hybridMultilevel"/>
    <w:tmpl w:val="59F817CA"/>
    <w:name w:val="zGTableBullet"/>
    <w:styleLink w:val="Style2"/>
    <w:lvl w:ilvl="0" w:tplc="E5105BE8">
      <w:start w:val="1"/>
      <w:numFmt w:val="bullet"/>
      <w:pStyle w:val="zGTableBullet"/>
      <w:lvlText w:val=""/>
      <w:lvlJc w:val="left"/>
      <w:pPr>
        <w:ind w:left="427" w:hanging="360"/>
      </w:pPr>
      <w:rPr>
        <w:rFonts w:ascii="Wingdings" w:hAnsi="Wingdings"/>
      </w:rPr>
    </w:lvl>
    <w:lvl w:ilvl="1" w:tplc="46349D38">
      <w:start w:val="1"/>
      <w:numFmt w:val="bullet"/>
      <w:lvlText w:val="o"/>
      <w:lvlJc w:val="left"/>
      <w:pPr>
        <w:ind w:left="1147" w:hanging="360"/>
      </w:pPr>
      <w:rPr>
        <w:rFonts w:ascii="Courier New" w:hAnsi="Courier New" w:cs="Courier New"/>
      </w:rPr>
    </w:lvl>
    <w:lvl w:ilvl="2" w:tplc="12A24234">
      <w:start w:val="1"/>
      <w:numFmt w:val="bullet"/>
      <w:lvlText w:val=""/>
      <w:lvlJc w:val="left"/>
      <w:pPr>
        <w:ind w:left="1867" w:hanging="360"/>
      </w:pPr>
      <w:rPr>
        <w:rFonts w:ascii="Wingdings" w:hAnsi="Wingdings"/>
      </w:rPr>
    </w:lvl>
    <w:lvl w:ilvl="3" w:tplc="1ACC8C96">
      <w:start w:val="1"/>
      <w:numFmt w:val="bullet"/>
      <w:lvlText w:val=""/>
      <w:lvlJc w:val="left"/>
      <w:pPr>
        <w:ind w:left="2587" w:hanging="360"/>
      </w:pPr>
      <w:rPr>
        <w:rFonts w:ascii="Symbol" w:hAnsi="Symbol"/>
      </w:rPr>
    </w:lvl>
    <w:lvl w:ilvl="4" w:tplc="FE58FB6A">
      <w:start w:val="1"/>
      <w:numFmt w:val="bullet"/>
      <w:lvlText w:val="o"/>
      <w:lvlJc w:val="left"/>
      <w:pPr>
        <w:ind w:left="3307" w:hanging="360"/>
      </w:pPr>
      <w:rPr>
        <w:rFonts w:ascii="Courier New" w:hAnsi="Courier New" w:cs="Courier New"/>
      </w:rPr>
    </w:lvl>
    <w:lvl w:ilvl="5" w:tplc="AE1CD5D2">
      <w:start w:val="1"/>
      <w:numFmt w:val="bullet"/>
      <w:lvlText w:val=""/>
      <w:lvlJc w:val="left"/>
      <w:pPr>
        <w:ind w:left="4027" w:hanging="360"/>
      </w:pPr>
      <w:rPr>
        <w:rFonts w:ascii="Wingdings" w:hAnsi="Wingdings"/>
      </w:rPr>
    </w:lvl>
    <w:lvl w:ilvl="6" w:tplc="99DCF682">
      <w:start w:val="1"/>
      <w:numFmt w:val="bullet"/>
      <w:lvlText w:val=""/>
      <w:lvlJc w:val="left"/>
      <w:pPr>
        <w:ind w:left="4747" w:hanging="360"/>
      </w:pPr>
      <w:rPr>
        <w:rFonts w:ascii="Symbol" w:hAnsi="Symbol"/>
      </w:rPr>
    </w:lvl>
    <w:lvl w:ilvl="7" w:tplc="856874E8">
      <w:start w:val="1"/>
      <w:numFmt w:val="bullet"/>
      <w:lvlText w:val="o"/>
      <w:lvlJc w:val="left"/>
      <w:pPr>
        <w:ind w:left="5467" w:hanging="360"/>
      </w:pPr>
      <w:rPr>
        <w:rFonts w:ascii="Courier New" w:hAnsi="Courier New" w:cs="Courier New"/>
      </w:rPr>
    </w:lvl>
    <w:lvl w:ilvl="8" w:tplc="70167DB4">
      <w:start w:val="1"/>
      <w:numFmt w:val="bullet"/>
      <w:lvlText w:val=""/>
      <w:lvlJc w:val="left"/>
      <w:pPr>
        <w:ind w:left="6187" w:hanging="360"/>
      </w:pPr>
      <w:rPr>
        <w:rFonts w:ascii="Wingdings" w:hAnsi="Wingdings"/>
      </w:rPr>
    </w:lvl>
  </w:abstractNum>
  <w:abstractNum w:abstractNumId="2" w15:restartNumberingAfterBreak="0">
    <w:nsid w:val="00000002"/>
    <w:multiLevelType w:val="multilevel"/>
    <w:tmpl w:val="8D64AA7A"/>
    <w:name w:val="zGListBullet"/>
    <w:lvl w:ilvl="0">
      <w:start w:val="1"/>
      <w:numFmt w:val="bullet"/>
      <w:pStyle w:val="zGListBullet"/>
      <w:lvlText w:val=""/>
      <w:lvlJc w:val="left"/>
      <w:pPr>
        <w:ind w:left="1440" w:hanging="360"/>
      </w:pPr>
      <w:rPr>
        <w:rFonts w:ascii="Wingdings" w:hAnsi="Wingdings"/>
        <w:b/>
        <w:i w:val="0"/>
        <w:color w:val="000000"/>
        <w:sz w:val="20"/>
      </w:rPr>
    </w:lvl>
    <w:lvl w:ilvl="1">
      <w:start w:val="1"/>
      <w:numFmt w:val="bullet"/>
      <w:lvlText w:val="o"/>
      <w:lvlJc w:val="left"/>
      <w:pPr>
        <w:ind w:left="2160" w:hanging="360"/>
      </w:pPr>
      <w:rPr>
        <w:rFonts w:ascii="Courier New" w:hAnsi="Courier New"/>
        <w:b/>
        <w:bCs/>
      </w:rPr>
    </w:lvl>
    <w:lvl w:ilvl="2">
      <w:start w:val="1"/>
      <w:numFmt w:val="bullet"/>
      <w:lvlText w:val=""/>
      <w:lvlJc w:val="left"/>
      <w:pPr>
        <w:ind w:left="2880" w:hanging="360"/>
      </w:pPr>
      <w:rPr>
        <w:rFonts w:ascii="Wingdings" w:hAnsi="Wingdings"/>
      </w:rPr>
    </w:lvl>
    <w:lvl w:ilvl="3">
      <w:start w:val="1"/>
      <w:numFmt w:val="bullet"/>
      <w:lvlText w:val=""/>
      <w:lvlJc w:val="left"/>
      <w:pPr>
        <w:ind w:left="3600" w:hanging="360"/>
      </w:pPr>
      <w:rPr>
        <w:rFonts w:ascii="Symbol" w:hAnsi="Symbol"/>
      </w:rPr>
    </w:lvl>
    <w:lvl w:ilvl="4">
      <w:start w:val="1"/>
      <w:numFmt w:val="bullet"/>
      <w:lvlText w:val="o"/>
      <w:lvlJc w:val="left"/>
      <w:pPr>
        <w:ind w:left="4320" w:hanging="360"/>
      </w:pPr>
      <w:rPr>
        <w:rFonts w:ascii="Courier New" w:hAnsi="Courier New"/>
      </w:rPr>
    </w:lvl>
    <w:lvl w:ilvl="5">
      <w:start w:val="1"/>
      <w:numFmt w:val="bullet"/>
      <w:lvlText w:val=""/>
      <w:lvlJc w:val="left"/>
      <w:pPr>
        <w:ind w:left="5040" w:hanging="360"/>
      </w:pPr>
      <w:rPr>
        <w:rFonts w:ascii="Wingdings" w:hAnsi="Wingdings"/>
      </w:rPr>
    </w:lvl>
    <w:lvl w:ilvl="6">
      <w:start w:val="1"/>
      <w:numFmt w:val="bullet"/>
      <w:lvlText w:val=""/>
      <w:lvlJc w:val="left"/>
      <w:pPr>
        <w:ind w:left="5760" w:hanging="360"/>
      </w:pPr>
      <w:rPr>
        <w:rFonts w:ascii="Symbol" w:hAnsi="Symbol"/>
      </w:rPr>
    </w:lvl>
    <w:lvl w:ilvl="7">
      <w:start w:val="1"/>
      <w:numFmt w:val="bullet"/>
      <w:lvlText w:val="o"/>
      <w:lvlJc w:val="left"/>
      <w:pPr>
        <w:ind w:left="6480" w:hanging="360"/>
      </w:pPr>
      <w:rPr>
        <w:rFonts w:ascii="Courier New" w:hAnsi="Courier New"/>
      </w:rPr>
    </w:lvl>
    <w:lvl w:ilvl="8">
      <w:start w:val="1"/>
      <w:numFmt w:val="bullet"/>
      <w:lvlText w:val=""/>
      <w:lvlJc w:val="left"/>
      <w:pPr>
        <w:ind w:left="7200" w:hanging="360"/>
      </w:pPr>
      <w:rPr>
        <w:rFonts w:ascii="Wingdings" w:hAnsi="Wingdings"/>
      </w:rPr>
    </w:lvl>
  </w:abstractNum>
  <w:abstractNum w:abstractNumId="3" w15:restartNumberingAfterBreak="0">
    <w:nsid w:val="00000005"/>
    <w:multiLevelType w:val="multilevel"/>
    <w:tmpl w:val="C422DFE8"/>
    <w:lvl w:ilvl="0">
      <w:start w:val="1"/>
      <w:numFmt w:val="decimal"/>
      <w:lvlText w:val="Part %1"/>
      <w:lvlJc w:val="left"/>
      <w:pPr>
        <w:tabs>
          <w:tab w:val="num" w:pos="936"/>
        </w:tabs>
        <w:ind w:left="936" w:hanging="936"/>
      </w:pPr>
      <w:rPr>
        <w:rFonts w:ascii="Arial" w:hAnsi="Arial"/>
        <w:b/>
        <w:i w:val="0"/>
        <w:caps/>
        <w:strike w:val="0"/>
        <w:dstrike w:val="0"/>
        <w:vanish w:val="0"/>
        <w:color w:val="000000"/>
        <w:sz w:val="20"/>
        <w:u w:val="none"/>
      </w:rPr>
    </w:lvl>
    <w:lvl w:ilvl="1">
      <w:start w:val="1"/>
      <w:numFmt w:val="decimal"/>
      <w:lvlText w:val="%1.%2"/>
      <w:lvlJc w:val="left"/>
      <w:pPr>
        <w:tabs>
          <w:tab w:val="num" w:pos="576"/>
        </w:tabs>
      </w:pPr>
      <w:rPr>
        <w:rFonts w:ascii="Arial" w:hAnsi="Arial"/>
        <w:b/>
        <w:i w:val="0"/>
        <w:caps/>
        <w:strike w:val="0"/>
        <w:dstrike w:val="0"/>
        <w:vanish w:val="0"/>
        <w:color w:val="000000"/>
        <w:sz w:val="20"/>
        <w:u w:val="none"/>
      </w:rPr>
    </w:lvl>
    <w:lvl w:ilvl="2">
      <w:start w:val="1"/>
      <w:numFmt w:val="upperLetter"/>
      <w:lvlText w:val="%3."/>
      <w:lvlJc w:val="left"/>
      <w:pPr>
        <w:tabs>
          <w:tab w:val="num" w:pos="576"/>
        </w:tabs>
        <w:ind w:left="259"/>
      </w:pPr>
      <w:rPr>
        <w:rFonts w:ascii="Arial" w:hAnsi="Arial"/>
        <w:b/>
        <w:i w:val="0"/>
        <w:caps w:val="0"/>
        <w:strike w:val="0"/>
        <w:dstrike w:val="0"/>
        <w:vanish w:val="0"/>
        <w:color w:val="000000"/>
        <w:sz w:val="20"/>
        <w:u w:val="none"/>
      </w:rPr>
    </w:lvl>
    <w:lvl w:ilvl="3">
      <w:start w:val="1"/>
      <w:numFmt w:val="lowerRoman"/>
      <w:lvlText w:val="(%4)"/>
      <w:lvlJc w:val="left"/>
      <w:pPr>
        <w:tabs>
          <w:tab w:val="num" w:pos="864"/>
        </w:tabs>
        <w:ind w:left="360"/>
      </w:pPr>
      <w:rPr>
        <w:rFonts w:ascii="Arial" w:hAnsi="Arial"/>
        <w:b/>
        <w:i w:val="0"/>
        <w:caps w:val="0"/>
        <w:strike w:val="0"/>
        <w:dstrike w:val="0"/>
        <w:vanish w:val="0"/>
        <w:color w:val="000000"/>
        <w:sz w:val="20"/>
        <w:u w:val="none"/>
      </w:rPr>
    </w:lvl>
    <w:lvl w:ilvl="4">
      <w:start w:val="1"/>
      <w:numFmt w:val="lowerLetter"/>
      <w:lvlText w:val="(%5)"/>
      <w:lvlJc w:val="left"/>
      <w:pPr>
        <w:tabs>
          <w:tab w:val="num" w:pos="1195"/>
        </w:tabs>
        <w:ind w:left="864"/>
      </w:pPr>
      <w:rPr>
        <w:rFonts w:ascii="Arial" w:hAnsi="Arial"/>
        <w:b/>
        <w:i w:val="0"/>
        <w:caps w:val="0"/>
        <w:strike w:val="0"/>
        <w:dstrike w:val="0"/>
        <w:vanish w:val="0"/>
        <w:color w:val="000000"/>
        <w:sz w:val="20"/>
        <w:u w:val="none"/>
      </w:rPr>
    </w:lvl>
    <w:lvl w:ilvl="5">
      <w:start w:val="1"/>
      <w:numFmt w:val="lowerRoman"/>
      <w:lvlText w:val="(%6)"/>
      <w:lvlJc w:val="left"/>
      <w:pPr>
        <w:ind w:left="2160" w:hanging="360"/>
      </w:pPr>
    </w:lvl>
    <w:lvl w:ilvl="6">
      <w:start w:val="1"/>
      <w:numFmt w:val="lowerRoman"/>
      <w:lvlText w:val="(%7)"/>
      <w:lvlJc w:val="left"/>
      <w:pPr>
        <w:ind w:left="2520" w:hanging="360"/>
      </w:pPr>
      <w:rPr>
        <w:rFonts w:ascii="Arial" w:eastAsia="Times New Roman"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0000006"/>
    <w:multiLevelType w:val="hybridMultilevel"/>
    <w:tmpl w:val="B86C81BE"/>
    <w:name w:val="zGListBullet2"/>
    <w:lvl w:ilvl="0" w:tplc="E90AECB0">
      <w:start w:val="1"/>
      <w:numFmt w:val="bullet"/>
      <w:pStyle w:val="zGListBullet2"/>
      <w:lvlText w:val="o"/>
      <w:lvlJc w:val="left"/>
      <w:pPr>
        <w:ind w:left="1440" w:hanging="360"/>
      </w:pPr>
      <w:rPr>
        <w:rFonts w:ascii="Courier New" w:hAnsi="Courier New"/>
      </w:rPr>
    </w:lvl>
    <w:lvl w:ilvl="1" w:tplc="E57A3F6E">
      <w:start w:val="1"/>
      <w:numFmt w:val="bullet"/>
      <w:lvlText w:val="o"/>
      <w:lvlJc w:val="left"/>
      <w:pPr>
        <w:ind w:left="1800" w:hanging="360"/>
      </w:pPr>
      <w:rPr>
        <w:rFonts w:ascii="Courier New" w:hAnsi="Courier New"/>
      </w:rPr>
    </w:lvl>
    <w:lvl w:ilvl="2" w:tplc="D9542C26">
      <w:start w:val="1"/>
      <w:numFmt w:val="bullet"/>
      <w:lvlText w:val=""/>
      <w:lvlJc w:val="left"/>
      <w:pPr>
        <w:ind w:left="2520" w:hanging="360"/>
      </w:pPr>
      <w:rPr>
        <w:rFonts w:ascii="Wingdings" w:hAnsi="Wingdings"/>
      </w:rPr>
    </w:lvl>
    <w:lvl w:ilvl="3" w:tplc="F708BA4E">
      <w:start w:val="1"/>
      <w:numFmt w:val="bullet"/>
      <w:lvlText w:val=""/>
      <w:lvlJc w:val="left"/>
      <w:pPr>
        <w:ind w:left="3240" w:hanging="360"/>
      </w:pPr>
      <w:rPr>
        <w:rFonts w:ascii="Symbol" w:hAnsi="Symbol"/>
      </w:rPr>
    </w:lvl>
    <w:lvl w:ilvl="4" w:tplc="C4CAEE9C">
      <w:start w:val="1"/>
      <w:numFmt w:val="bullet"/>
      <w:lvlText w:val="o"/>
      <w:lvlJc w:val="left"/>
      <w:pPr>
        <w:ind w:left="3960" w:hanging="360"/>
      </w:pPr>
      <w:rPr>
        <w:rFonts w:ascii="Courier New" w:hAnsi="Courier New"/>
      </w:rPr>
    </w:lvl>
    <w:lvl w:ilvl="5" w:tplc="82F4504E">
      <w:start w:val="1"/>
      <w:numFmt w:val="bullet"/>
      <w:lvlText w:val=""/>
      <w:lvlJc w:val="left"/>
      <w:pPr>
        <w:ind w:left="4680" w:hanging="360"/>
      </w:pPr>
      <w:rPr>
        <w:rFonts w:ascii="Wingdings" w:hAnsi="Wingdings"/>
      </w:rPr>
    </w:lvl>
    <w:lvl w:ilvl="6" w:tplc="3EB65E54">
      <w:start w:val="1"/>
      <w:numFmt w:val="bullet"/>
      <w:lvlText w:val=""/>
      <w:lvlJc w:val="left"/>
      <w:pPr>
        <w:ind w:left="5400" w:hanging="360"/>
      </w:pPr>
      <w:rPr>
        <w:rFonts w:ascii="Symbol" w:hAnsi="Symbol"/>
      </w:rPr>
    </w:lvl>
    <w:lvl w:ilvl="7" w:tplc="2ADC8BDC">
      <w:start w:val="1"/>
      <w:numFmt w:val="bullet"/>
      <w:lvlText w:val="o"/>
      <w:lvlJc w:val="left"/>
      <w:pPr>
        <w:ind w:left="6120" w:hanging="360"/>
      </w:pPr>
      <w:rPr>
        <w:rFonts w:ascii="Courier New" w:hAnsi="Courier New"/>
      </w:rPr>
    </w:lvl>
    <w:lvl w:ilvl="8" w:tplc="E086F630">
      <w:start w:val="1"/>
      <w:numFmt w:val="bullet"/>
      <w:lvlText w:val=""/>
      <w:lvlJc w:val="left"/>
      <w:pPr>
        <w:ind w:left="6840" w:hanging="360"/>
      </w:pPr>
      <w:rPr>
        <w:rFonts w:ascii="Wingdings" w:hAnsi="Wingdings"/>
      </w:rPr>
    </w:lvl>
  </w:abstractNum>
  <w:abstractNum w:abstractNumId="5" w15:restartNumberingAfterBreak="0">
    <w:nsid w:val="00000008"/>
    <w:multiLevelType w:val="multilevel"/>
    <w:tmpl w:val="15163078"/>
    <w:name w:val="zG01"/>
    <w:lvl w:ilvl="0">
      <w:start w:val="1"/>
      <w:numFmt w:val="decimal"/>
      <w:pStyle w:val="zG01"/>
      <w:lvlText w:val="Part %1"/>
      <w:lvlJc w:val="left"/>
      <w:pPr>
        <w:tabs>
          <w:tab w:val="num" w:pos="936"/>
        </w:tabs>
        <w:ind w:left="936" w:hanging="936"/>
      </w:pPr>
      <w:rPr>
        <w:rFonts w:ascii="Arial" w:hAnsi="Arial"/>
        <w:b/>
        <w:i w:val="0"/>
        <w:caps/>
        <w:strike w:val="0"/>
        <w:dstrike w:val="0"/>
        <w:vanish w:val="0"/>
        <w:color w:val="000000"/>
        <w:sz w:val="20"/>
        <w:u w:val="none"/>
      </w:rPr>
    </w:lvl>
    <w:lvl w:ilvl="1">
      <w:start w:val="1"/>
      <w:numFmt w:val="decimal"/>
      <w:pStyle w:val="zG02"/>
      <w:lvlText w:val="%1.%2"/>
      <w:lvlJc w:val="left"/>
      <w:pPr>
        <w:tabs>
          <w:tab w:val="num" w:pos="576"/>
        </w:tabs>
      </w:pPr>
      <w:rPr>
        <w:rFonts w:ascii="Arial" w:hAnsi="Arial"/>
        <w:b/>
        <w:i w:val="0"/>
        <w:caps/>
        <w:strike w:val="0"/>
        <w:dstrike w:val="0"/>
        <w:vanish w:val="0"/>
        <w:color w:val="000000"/>
        <w:sz w:val="20"/>
        <w:u w:val="none"/>
      </w:rPr>
    </w:lvl>
    <w:lvl w:ilvl="2">
      <w:start w:val="1"/>
      <w:numFmt w:val="upperLetter"/>
      <w:pStyle w:val="zG03"/>
      <w:lvlText w:val="%3."/>
      <w:lvlJc w:val="left"/>
      <w:pPr>
        <w:tabs>
          <w:tab w:val="num" w:pos="576"/>
        </w:tabs>
        <w:ind w:left="259"/>
      </w:pPr>
      <w:rPr>
        <w:rFonts w:ascii="Arial" w:hAnsi="Arial"/>
        <w:b/>
        <w:i w:val="0"/>
        <w:caps w:val="0"/>
        <w:strike w:val="0"/>
        <w:dstrike w:val="0"/>
        <w:vanish w:val="0"/>
        <w:color w:val="000000"/>
        <w:sz w:val="20"/>
        <w:u w:val="none"/>
      </w:rPr>
    </w:lvl>
    <w:lvl w:ilvl="3">
      <w:start w:val="1"/>
      <w:numFmt w:val="lowerRoman"/>
      <w:pStyle w:val="zG04"/>
      <w:lvlText w:val="(%4)"/>
      <w:lvlJc w:val="left"/>
      <w:pPr>
        <w:tabs>
          <w:tab w:val="num" w:pos="936"/>
        </w:tabs>
        <w:ind w:left="504"/>
      </w:pPr>
      <w:rPr>
        <w:b/>
        <w:i w:val="0"/>
        <w:caps w:val="0"/>
        <w:strike w:val="0"/>
        <w:dstrike w:val="0"/>
        <w:vanish w:val="0"/>
        <w:color w:val="000000"/>
        <w:sz w:val="20"/>
        <w:u w:val="none"/>
      </w:rPr>
    </w:lvl>
    <w:lvl w:ilvl="4">
      <w:start w:val="1"/>
      <w:numFmt w:val="lowerLetter"/>
      <w:pStyle w:val="zG05"/>
      <w:lvlText w:val="(%5)"/>
      <w:lvlJc w:val="left"/>
      <w:pPr>
        <w:tabs>
          <w:tab w:val="num" w:pos="1368"/>
        </w:tabs>
        <w:ind w:left="864"/>
      </w:pPr>
      <w:rPr>
        <w:rFonts w:ascii="Arial" w:hAnsi="Arial"/>
        <w:b/>
        <w:i w:val="0"/>
        <w:caps w:val="0"/>
        <w:strike w:val="0"/>
        <w:dstrike w:val="0"/>
        <w:vanish w:val="0"/>
        <w:color w:val="000000"/>
        <w:sz w:val="20"/>
        <w:u w:val="none"/>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0000010"/>
    <w:multiLevelType w:val="hybridMultilevel"/>
    <w:tmpl w:val="8D3495B2"/>
    <w:name w:val="zGListNum"/>
    <w:lvl w:ilvl="0" w:tplc="538E068A">
      <w:start w:val="1"/>
      <w:numFmt w:val="decimal"/>
      <w:pStyle w:val="zGListNum"/>
      <w:lvlText w:val="%1."/>
      <w:lvlJc w:val="left"/>
      <w:pPr>
        <w:tabs>
          <w:tab w:val="num" w:pos="360"/>
        </w:tabs>
        <w:ind w:left="360" w:hanging="360"/>
      </w:pPr>
      <w:rPr>
        <w:rFonts w:ascii="Arial" w:hAnsi="Arial" w:cs="Times New Roman"/>
        <w:b/>
        <w:i w:val="0"/>
        <w:caps w:val="0"/>
        <w:strike w:val="0"/>
        <w:dstrike w:val="0"/>
        <w:vanish w:val="0"/>
        <w:color w:val="000000"/>
        <w:sz w:val="20"/>
        <w:u w:val="none"/>
      </w:rPr>
    </w:lvl>
    <w:lvl w:ilvl="1" w:tplc="33D0FD12">
      <w:start w:val="1"/>
      <w:numFmt w:val="lowerLetter"/>
      <w:lvlText w:val="%2."/>
      <w:lvlJc w:val="left"/>
      <w:pPr>
        <w:tabs>
          <w:tab w:val="num" w:pos="1440"/>
        </w:tabs>
        <w:ind w:left="1440" w:hanging="360"/>
      </w:pPr>
      <w:rPr>
        <w:rFonts w:cs="Times New Roman"/>
      </w:rPr>
    </w:lvl>
    <w:lvl w:ilvl="2" w:tplc="674C6764">
      <w:start w:val="1"/>
      <w:numFmt w:val="lowerRoman"/>
      <w:lvlText w:val="%3."/>
      <w:lvlJc w:val="right"/>
      <w:pPr>
        <w:tabs>
          <w:tab w:val="num" w:pos="2160"/>
        </w:tabs>
        <w:ind w:left="2160" w:hanging="180"/>
      </w:pPr>
      <w:rPr>
        <w:rFonts w:cs="Times New Roman"/>
      </w:rPr>
    </w:lvl>
    <w:lvl w:ilvl="3" w:tplc="D53279E0">
      <w:start w:val="1"/>
      <w:numFmt w:val="decimal"/>
      <w:lvlText w:val="%4."/>
      <w:lvlJc w:val="left"/>
      <w:pPr>
        <w:tabs>
          <w:tab w:val="num" w:pos="2880"/>
        </w:tabs>
        <w:ind w:left="2880" w:hanging="360"/>
      </w:pPr>
      <w:rPr>
        <w:rFonts w:cs="Times New Roman"/>
      </w:rPr>
    </w:lvl>
    <w:lvl w:ilvl="4" w:tplc="FB604134">
      <w:start w:val="1"/>
      <w:numFmt w:val="lowerLetter"/>
      <w:lvlText w:val="%5."/>
      <w:lvlJc w:val="left"/>
      <w:pPr>
        <w:tabs>
          <w:tab w:val="num" w:pos="3600"/>
        </w:tabs>
        <w:ind w:left="3600" w:hanging="360"/>
      </w:pPr>
      <w:rPr>
        <w:rFonts w:cs="Times New Roman"/>
      </w:rPr>
    </w:lvl>
    <w:lvl w:ilvl="5" w:tplc="B2E4744E">
      <w:start w:val="1"/>
      <w:numFmt w:val="lowerRoman"/>
      <w:lvlText w:val="%6."/>
      <w:lvlJc w:val="right"/>
      <w:pPr>
        <w:tabs>
          <w:tab w:val="num" w:pos="4320"/>
        </w:tabs>
        <w:ind w:left="4320" w:hanging="180"/>
      </w:pPr>
      <w:rPr>
        <w:rFonts w:cs="Times New Roman"/>
      </w:rPr>
    </w:lvl>
    <w:lvl w:ilvl="6" w:tplc="66DED060">
      <w:start w:val="1"/>
      <w:numFmt w:val="decimal"/>
      <w:lvlText w:val="%7."/>
      <w:lvlJc w:val="left"/>
      <w:pPr>
        <w:tabs>
          <w:tab w:val="num" w:pos="5040"/>
        </w:tabs>
        <w:ind w:left="5040" w:hanging="360"/>
      </w:pPr>
      <w:rPr>
        <w:rFonts w:cs="Times New Roman"/>
      </w:rPr>
    </w:lvl>
    <w:lvl w:ilvl="7" w:tplc="9C1ED1F8">
      <w:start w:val="1"/>
      <w:numFmt w:val="lowerLetter"/>
      <w:lvlText w:val="%8."/>
      <w:lvlJc w:val="left"/>
      <w:pPr>
        <w:tabs>
          <w:tab w:val="num" w:pos="5760"/>
        </w:tabs>
        <w:ind w:left="5760" w:hanging="360"/>
      </w:pPr>
      <w:rPr>
        <w:rFonts w:cs="Times New Roman"/>
      </w:rPr>
    </w:lvl>
    <w:lvl w:ilvl="8" w:tplc="8E98FCC0">
      <w:start w:val="1"/>
      <w:numFmt w:val="lowerRoman"/>
      <w:lvlText w:val="%9."/>
      <w:lvlJc w:val="right"/>
      <w:pPr>
        <w:tabs>
          <w:tab w:val="num" w:pos="6480"/>
        </w:tabs>
        <w:ind w:left="6480" w:hanging="180"/>
      </w:pPr>
      <w:rPr>
        <w:rFonts w:cs="Times New Roman"/>
      </w:rPr>
    </w:lvl>
  </w:abstractNum>
  <w:abstractNum w:abstractNumId="7" w15:restartNumberingAfterBreak="0">
    <w:nsid w:val="00000011"/>
    <w:multiLevelType w:val="hybridMultilevel"/>
    <w:tmpl w:val="52142AA8"/>
    <w:name w:val="zzmpArticle5||Article5|2|1|1|3|10|41||1|10|1||1|10|1||1|10|1||1|12|0||1|12|0||1|12|0||1|12|0||mpNA||2"/>
    <w:lvl w:ilvl="0" w:tplc="DFE01B22">
      <w:start w:val="1"/>
      <w:numFmt w:val="decimal"/>
      <w:lvlText w:val="%1.1"/>
      <w:lvlJc w:val="left"/>
      <w:pPr>
        <w:ind w:left="720" w:hanging="360"/>
      </w:pPr>
      <w:rPr>
        <w:rFonts w:ascii="Arial" w:hAnsi="Arial" w:cs="Arial" w:hint="default"/>
        <w:b/>
      </w:rPr>
    </w:lvl>
    <w:lvl w:ilvl="1" w:tplc="00000001">
      <w:start w:val="1"/>
      <w:numFmt w:val="lowerLetter"/>
      <w:lvlText w:val="%2."/>
      <w:lvlJc w:val="left"/>
      <w:pPr>
        <w:ind w:left="1440" w:hanging="360"/>
      </w:pPr>
    </w:lvl>
    <w:lvl w:ilvl="2" w:tplc="00000002">
      <w:start w:val="1"/>
      <w:numFmt w:val="lowerRoman"/>
      <w:lvlText w:val="%3."/>
      <w:lvlJc w:val="right"/>
      <w:pPr>
        <w:ind w:left="2160" w:hanging="180"/>
      </w:pPr>
    </w:lvl>
    <w:lvl w:ilvl="3" w:tplc="00000003">
      <w:start w:val="1"/>
      <w:numFmt w:val="decimal"/>
      <w:lvlText w:val="%4."/>
      <w:lvlJc w:val="left"/>
      <w:pPr>
        <w:ind w:left="2880" w:hanging="360"/>
      </w:pPr>
    </w:lvl>
    <w:lvl w:ilvl="4" w:tplc="00000004">
      <w:start w:val="1"/>
      <w:numFmt w:val="lowerLetter"/>
      <w:lvlText w:val="%5."/>
      <w:lvlJc w:val="left"/>
      <w:pPr>
        <w:ind w:left="3600" w:hanging="360"/>
      </w:pPr>
    </w:lvl>
    <w:lvl w:ilvl="5" w:tplc="00000005">
      <w:start w:val="1"/>
      <w:numFmt w:val="lowerRoman"/>
      <w:lvlText w:val="%6."/>
      <w:lvlJc w:val="right"/>
      <w:pPr>
        <w:ind w:left="4320" w:hanging="180"/>
      </w:pPr>
    </w:lvl>
    <w:lvl w:ilvl="6" w:tplc="00000006">
      <w:start w:val="1"/>
      <w:numFmt w:val="decimal"/>
      <w:lvlText w:val="%7."/>
      <w:lvlJc w:val="left"/>
      <w:pPr>
        <w:ind w:left="5040" w:hanging="360"/>
      </w:pPr>
    </w:lvl>
    <w:lvl w:ilvl="7" w:tplc="00000007">
      <w:start w:val="1"/>
      <w:numFmt w:val="lowerLetter"/>
      <w:lvlText w:val="%8."/>
      <w:lvlJc w:val="left"/>
      <w:pPr>
        <w:ind w:left="5760" w:hanging="360"/>
      </w:pPr>
    </w:lvl>
    <w:lvl w:ilvl="8" w:tplc="00000008">
      <w:start w:val="1"/>
      <w:numFmt w:val="lowerRoman"/>
      <w:lvlText w:val="%9."/>
      <w:lvlJc w:val="right"/>
      <w:pPr>
        <w:ind w:left="6480" w:hanging="180"/>
      </w:pPr>
    </w:lvl>
  </w:abstractNum>
  <w:abstractNum w:abstractNumId="8" w15:restartNumberingAfterBreak="0">
    <w:nsid w:val="00000016"/>
    <w:multiLevelType w:val="hybridMultilevel"/>
    <w:tmpl w:val="326812A8"/>
    <w:name w:val="zGList(i)"/>
    <w:lvl w:ilvl="0" w:tplc="5DD063B2">
      <w:start w:val="1"/>
      <w:numFmt w:val="lowerRoman"/>
      <w:pStyle w:val="zGListi"/>
      <w:lvlText w:val="%1."/>
      <w:lvlJc w:val="left"/>
      <w:pPr>
        <w:ind w:left="720" w:hanging="360"/>
      </w:pPr>
      <w:rPr>
        <w:rFonts w:ascii="Arial" w:hAnsi="Arial"/>
        <w:b/>
        <w:i w:val="0"/>
        <w:caps w:val="0"/>
        <w:strike w:val="0"/>
        <w:dstrike w:val="0"/>
        <w:vanish w:val="0"/>
        <w:color w:val="auto"/>
        <w:sz w:val="20"/>
        <w:u w:val="none"/>
      </w:rPr>
    </w:lvl>
    <w:lvl w:ilvl="1" w:tplc="3AD8E308">
      <w:start w:val="1"/>
      <w:numFmt w:val="lowerLetter"/>
      <w:lvlText w:val="%2."/>
      <w:lvlJc w:val="left"/>
      <w:pPr>
        <w:ind w:left="1440" w:hanging="360"/>
      </w:pPr>
    </w:lvl>
    <w:lvl w:ilvl="2" w:tplc="42949AAC">
      <w:start w:val="1"/>
      <w:numFmt w:val="lowerRoman"/>
      <w:lvlText w:val="%3."/>
      <w:lvlJc w:val="right"/>
      <w:pPr>
        <w:ind w:left="2160" w:hanging="180"/>
      </w:pPr>
    </w:lvl>
    <w:lvl w:ilvl="3" w:tplc="5718D0A2">
      <w:start w:val="1"/>
      <w:numFmt w:val="decimal"/>
      <w:lvlText w:val="%4."/>
      <w:lvlJc w:val="left"/>
      <w:pPr>
        <w:ind w:left="2880" w:hanging="360"/>
      </w:pPr>
    </w:lvl>
    <w:lvl w:ilvl="4" w:tplc="95F082AE">
      <w:start w:val="1"/>
      <w:numFmt w:val="lowerLetter"/>
      <w:lvlText w:val="%5."/>
      <w:lvlJc w:val="left"/>
      <w:pPr>
        <w:ind w:left="3600" w:hanging="360"/>
      </w:pPr>
    </w:lvl>
    <w:lvl w:ilvl="5" w:tplc="B994DB6A">
      <w:start w:val="1"/>
      <w:numFmt w:val="lowerRoman"/>
      <w:lvlText w:val="%6."/>
      <w:lvlJc w:val="right"/>
      <w:pPr>
        <w:ind w:left="4320" w:hanging="180"/>
      </w:pPr>
    </w:lvl>
    <w:lvl w:ilvl="6" w:tplc="F294CC4E">
      <w:start w:val="1"/>
      <w:numFmt w:val="decimal"/>
      <w:lvlText w:val="%7."/>
      <w:lvlJc w:val="left"/>
      <w:pPr>
        <w:ind w:left="5040" w:hanging="360"/>
      </w:pPr>
    </w:lvl>
    <w:lvl w:ilvl="7" w:tplc="74EE5388">
      <w:start w:val="1"/>
      <w:numFmt w:val="lowerLetter"/>
      <w:lvlText w:val="%8."/>
      <w:lvlJc w:val="left"/>
      <w:pPr>
        <w:ind w:left="5760" w:hanging="360"/>
      </w:pPr>
    </w:lvl>
    <w:lvl w:ilvl="8" w:tplc="DB46A0E4">
      <w:start w:val="1"/>
      <w:numFmt w:val="lowerRoman"/>
      <w:lvlText w:val="%9."/>
      <w:lvlJc w:val="right"/>
      <w:pPr>
        <w:ind w:left="6480" w:hanging="180"/>
      </w:pPr>
    </w:lvl>
  </w:abstractNum>
  <w:abstractNum w:abstractNumId="9" w15:restartNumberingAfterBreak="0">
    <w:nsid w:val="018CCAAC"/>
    <w:multiLevelType w:val="multilevel"/>
    <w:tmpl w:val="E2CC3C26"/>
    <w:lvl w:ilvl="0">
      <w:start w:val="10"/>
      <w:numFmt w:val="decimal"/>
      <w:lvlText w:val="Part %1"/>
      <w:lvlJc w:val="left"/>
      <w:pPr>
        <w:tabs>
          <w:tab w:val="num" w:pos="1152"/>
        </w:tabs>
        <w:ind w:left="1152" w:hanging="1152"/>
      </w:pPr>
      <w:rPr>
        <w:rFonts w:ascii="Arial Bold" w:hAnsi="Arial Bold" w:cs="Times New Roman" w:hint="default"/>
        <w:b/>
        <w:bCs w:val="0"/>
        <w:i w:val="0"/>
        <w:iCs w:val="0"/>
        <w:caps/>
        <w:smallCaps w:val="0"/>
        <w:strike w:val="0"/>
        <w:dstrike w:val="0"/>
        <w:noProof w:val="0"/>
        <w:vanish w:val="0"/>
        <w:color w:val="000000"/>
        <w:position w:val="0"/>
        <w:sz w:val="2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5"/>
      <w:numFmt w:val="decimal"/>
      <w:isLgl/>
      <w:lvlText w:val="%1.%2"/>
      <w:lvlJc w:val="left"/>
      <w:pPr>
        <w:tabs>
          <w:tab w:val="num" w:pos="648"/>
        </w:tabs>
        <w:ind w:left="0" w:firstLine="0"/>
      </w:pPr>
      <w:rPr>
        <w:rFonts w:ascii="Arial" w:hAnsi="Arial" w:hint="default"/>
        <w:b/>
        <w:i w:val="0"/>
        <w:caps/>
        <w:strike w:val="0"/>
        <w:dstrike w:val="0"/>
        <w:vanish w:val="0"/>
        <w:color w:val="000000" w:themeColor="text1"/>
        <w:sz w:val="20"/>
        <w:u w:val="none"/>
        <w:vertAlign w:val="baseline"/>
      </w:rPr>
    </w:lvl>
    <w:lvl w:ilvl="2">
      <w:start w:val="5"/>
      <w:numFmt w:val="decimal"/>
      <w:isLgl/>
      <w:lvlText w:val="%1.%2.%3."/>
      <w:lvlJc w:val="left"/>
      <w:pPr>
        <w:tabs>
          <w:tab w:val="num" w:pos="1368"/>
        </w:tabs>
        <w:ind w:left="648" w:firstLine="0"/>
      </w:pPr>
      <w:rPr>
        <w:rFonts w:ascii="Arial" w:hAnsi="Arial" w:hint="default"/>
        <w:b/>
        <w:i w:val="0"/>
        <w:caps w:val="0"/>
        <w:strike w:val="0"/>
        <w:dstrike w:val="0"/>
        <w:vanish w:val="0"/>
        <w:color w:val="000000" w:themeColor="text1"/>
        <w:sz w:val="20"/>
        <w:u w:val="none"/>
        <w:vertAlign w:val="baseline"/>
      </w:rPr>
    </w:lvl>
    <w:lvl w:ilvl="3">
      <w:start w:val="1"/>
      <w:numFmt w:val="lowerRoman"/>
      <w:lvlText w:val="(%4)"/>
      <w:lvlJc w:val="left"/>
      <w:pPr>
        <w:tabs>
          <w:tab w:val="num" w:pos="1944"/>
        </w:tabs>
        <w:ind w:left="1440" w:firstLine="0"/>
      </w:pPr>
      <w:rPr>
        <w:rFonts w:hint="default"/>
        <w:b/>
        <w:i w:val="0"/>
        <w:caps w:val="0"/>
        <w:strike w:val="0"/>
        <w:dstrike w:val="0"/>
        <w:vanish w:val="0"/>
        <w:color w:val="000000" w:themeColor="text1"/>
        <w:sz w:val="20"/>
        <w:u w:val="none"/>
        <w:vertAlign w:val="baseline"/>
      </w:rPr>
    </w:lvl>
    <w:lvl w:ilvl="4">
      <w:start w:val="1"/>
      <w:numFmt w:val="lowerLetter"/>
      <w:lvlText w:val="(%5)"/>
      <w:lvlJc w:val="left"/>
      <w:pPr>
        <w:tabs>
          <w:tab w:val="num" w:pos="2448"/>
        </w:tabs>
        <w:ind w:left="1944" w:firstLine="0"/>
      </w:pPr>
      <w:rPr>
        <w:rFonts w:ascii="Arial" w:hAnsi="Arial" w:hint="default"/>
        <w:b/>
        <w:i w:val="0"/>
        <w:caps w:val="0"/>
        <w:strike w:val="0"/>
        <w:dstrike w:val="0"/>
        <w:vanish w:val="0"/>
        <w:color w:val="000000" w:themeColor="text1"/>
        <w:sz w:val="20"/>
        <w:u w:val="none"/>
        <w:vertAlign w:val="baseline"/>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4CB1D2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6F5067B"/>
    <w:multiLevelType w:val="hybridMultilevel"/>
    <w:tmpl w:val="B240C202"/>
    <w:lvl w:ilvl="0" w:tplc="66589AA6">
      <w:numFmt w:val="bullet"/>
      <w:lvlText w:val=""/>
      <w:lvlJc w:val="left"/>
      <w:pPr>
        <w:ind w:left="979" w:hanging="360"/>
      </w:pPr>
      <w:rPr>
        <w:rFonts w:ascii="Symbol" w:eastAsia="Symbol" w:hAnsi="Symbol" w:cs="Symbol" w:hint="default"/>
        <w:b w:val="0"/>
        <w:bCs w:val="0"/>
        <w:i w:val="0"/>
        <w:iCs w:val="0"/>
        <w:color w:val="365F91"/>
        <w:spacing w:val="0"/>
        <w:w w:val="100"/>
        <w:sz w:val="24"/>
        <w:szCs w:val="24"/>
        <w:lang w:val="en-US" w:eastAsia="en-US" w:bidi="ar-SA"/>
      </w:rPr>
    </w:lvl>
    <w:lvl w:ilvl="1" w:tplc="77D0D77C">
      <w:start w:val="1"/>
      <w:numFmt w:val="decimal"/>
      <w:lvlText w:val="%2."/>
      <w:lvlJc w:val="left"/>
      <w:pPr>
        <w:ind w:left="1339" w:hanging="269"/>
      </w:pPr>
      <w:rPr>
        <w:rFonts w:hint="default"/>
        <w:spacing w:val="-1"/>
        <w:w w:val="100"/>
        <w:lang w:val="en-US" w:eastAsia="en-US" w:bidi="ar-SA"/>
      </w:rPr>
    </w:lvl>
    <w:lvl w:ilvl="2" w:tplc="4D702950">
      <w:start w:val="1"/>
      <w:numFmt w:val="lowerLetter"/>
      <w:lvlText w:val="%3)"/>
      <w:lvlJc w:val="left"/>
      <w:pPr>
        <w:ind w:left="1618" w:hanging="269"/>
      </w:pPr>
      <w:rPr>
        <w:rFonts w:ascii="Calibri" w:eastAsia="Calibri" w:hAnsi="Calibri" w:cs="Calibri" w:hint="default"/>
        <w:b w:val="0"/>
        <w:bCs w:val="0"/>
        <w:i w:val="0"/>
        <w:iCs w:val="0"/>
        <w:spacing w:val="-1"/>
        <w:w w:val="100"/>
        <w:sz w:val="22"/>
        <w:szCs w:val="22"/>
        <w:lang w:val="en-US" w:eastAsia="en-US" w:bidi="ar-SA"/>
      </w:rPr>
    </w:lvl>
    <w:lvl w:ilvl="3" w:tplc="475854E8">
      <w:numFmt w:val="bullet"/>
      <w:lvlText w:val="•"/>
      <w:lvlJc w:val="left"/>
      <w:pPr>
        <w:ind w:left="2420" w:hanging="269"/>
      </w:pPr>
      <w:rPr>
        <w:rFonts w:ascii="Calibri" w:eastAsia="Calibri" w:hAnsi="Calibri" w:cs="Calibri" w:hint="default"/>
        <w:b w:val="0"/>
        <w:bCs w:val="0"/>
        <w:i w:val="0"/>
        <w:iCs w:val="0"/>
        <w:spacing w:val="0"/>
        <w:w w:val="100"/>
        <w:sz w:val="22"/>
        <w:szCs w:val="22"/>
        <w:lang w:val="en-US" w:eastAsia="en-US" w:bidi="ar-SA"/>
      </w:rPr>
    </w:lvl>
    <w:lvl w:ilvl="4" w:tplc="D64A6A7A">
      <w:numFmt w:val="bullet"/>
      <w:lvlText w:val="•"/>
      <w:lvlJc w:val="left"/>
      <w:pPr>
        <w:ind w:left="1700" w:hanging="269"/>
      </w:pPr>
      <w:rPr>
        <w:rFonts w:hint="default"/>
        <w:lang w:val="en-US" w:eastAsia="en-US" w:bidi="ar-SA"/>
      </w:rPr>
    </w:lvl>
    <w:lvl w:ilvl="5" w:tplc="4890243E">
      <w:numFmt w:val="bullet"/>
      <w:lvlText w:val="•"/>
      <w:lvlJc w:val="left"/>
      <w:pPr>
        <w:ind w:left="2060" w:hanging="269"/>
      </w:pPr>
      <w:rPr>
        <w:rFonts w:hint="default"/>
        <w:lang w:val="en-US" w:eastAsia="en-US" w:bidi="ar-SA"/>
      </w:rPr>
    </w:lvl>
    <w:lvl w:ilvl="6" w:tplc="C69288CA">
      <w:numFmt w:val="bullet"/>
      <w:lvlText w:val="•"/>
      <w:lvlJc w:val="left"/>
      <w:pPr>
        <w:ind w:left="2420" w:hanging="269"/>
      </w:pPr>
      <w:rPr>
        <w:rFonts w:hint="default"/>
        <w:lang w:val="en-US" w:eastAsia="en-US" w:bidi="ar-SA"/>
      </w:rPr>
    </w:lvl>
    <w:lvl w:ilvl="7" w:tplc="38E4D170">
      <w:numFmt w:val="bullet"/>
      <w:lvlText w:val="•"/>
      <w:lvlJc w:val="left"/>
      <w:pPr>
        <w:ind w:left="4335" w:hanging="269"/>
      </w:pPr>
      <w:rPr>
        <w:rFonts w:hint="default"/>
        <w:lang w:val="en-US" w:eastAsia="en-US" w:bidi="ar-SA"/>
      </w:rPr>
    </w:lvl>
    <w:lvl w:ilvl="8" w:tplc="3706452A">
      <w:numFmt w:val="bullet"/>
      <w:lvlText w:val="•"/>
      <w:lvlJc w:val="left"/>
      <w:pPr>
        <w:ind w:left="6250" w:hanging="269"/>
      </w:pPr>
      <w:rPr>
        <w:rFonts w:hint="default"/>
        <w:lang w:val="en-US" w:eastAsia="en-US" w:bidi="ar-SA"/>
      </w:rPr>
    </w:lvl>
  </w:abstractNum>
  <w:abstractNum w:abstractNumId="12" w15:restartNumberingAfterBreak="0">
    <w:nsid w:val="0A5A3F76"/>
    <w:multiLevelType w:val="hybridMultilevel"/>
    <w:tmpl w:val="D3F046BE"/>
    <w:lvl w:ilvl="0" w:tplc="BC6857C2">
      <w:start w:val="1"/>
      <w:numFmt w:val="decimal"/>
      <w:lvlText w:val="%1)"/>
      <w:lvlJc w:val="left"/>
      <w:pPr>
        <w:ind w:left="810" w:hanging="360"/>
      </w:pPr>
      <w:rPr>
        <w:rFonts w:hint="default"/>
      </w:rPr>
    </w:lvl>
    <w:lvl w:ilvl="1" w:tplc="263635E2" w:tentative="1">
      <w:start w:val="1"/>
      <w:numFmt w:val="lowerLetter"/>
      <w:lvlText w:val="%2."/>
      <w:lvlJc w:val="left"/>
      <w:pPr>
        <w:ind w:left="1440" w:hanging="360"/>
      </w:pPr>
    </w:lvl>
    <w:lvl w:ilvl="2" w:tplc="85EE773E" w:tentative="1">
      <w:start w:val="1"/>
      <w:numFmt w:val="lowerRoman"/>
      <w:lvlText w:val="%3."/>
      <w:lvlJc w:val="right"/>
      <w:pPr>
        <w:ind w:left="2160" w:hanging="180"/>
      </w:pPr>
    </w:lvl>
    <w:lvl w:ilvl="3" w:tplc="2612E210" w:tentative="1">
      <w:start w:val="1"/>
      <w:numFmt w:val="decimal"/>
      <w:lvlText w:val="%4."/>
      <w:lvlJc w:val="left"/>
      <w:pPr>
        <w:ind w:left="2880" w:hanging="360"/>
      </w:pPr>
    </w:lvl>
    <w:lvl w:ilvl="4" w:tplc="085E7B4A" w:tentative="1">
      <w:start w:val="1"/>
      <w:numFmt w:val="lowerLetter"/>
      <w:lvlText w:val="%5."/>
      <w:lvlJc w:val="left"/>
      <w:pPr>
        <w:ind w:left="3600" w:hanging="360"/>
      </w:pPr>
    </w:lvl>
    <w:lvl w:ilvl="5" w:tplc="34620C58" w:tentative="1">
      <w:start w:val="1"/>
      <w:numFmt w:val="lowerRoman"/>
      <w:lvlText w:val="%6."/>
      <w:lvlJc w:val="right"/>
      <w:pPr>
        <w:ind w:left="4320" w:hanging="180"/>
      </w:pPr>
    </w:lvl>
    <w:lvl w:ilvl="6" w:tplc="FDCAC6A0" w:tentative="1">
      <w:start w:val="1"/>
      <w:numFmt w:val="decimal"/>
      <w:lvlText w:val="%7."/>
      <w:lvlJc w:val="left"/>
      <w:pPr>
        <w:ind w:left="5040" w:hanging="360"/>
      </w:pPr>
    </w:lvl>
    <w:lvl w:ilvl="7" w:tplc="7FCC353E" w:tentative="1">
      <w:start w:val="1"/>
      <w:numFmt w:val="lowerLetter"/>
      <w:lvlText w:val="%8."/>
      <w:lvlJc w:val="left"/>
      <w:pPr>
        <w:ind w:left="5760" w:hanging="360"/>
      </w:pPr>
    </w:lvl>
    <w:lvl w:ilvl="8" w:tplc="0DB8CE3A" w:tentative="1">
      <w:start w:val="1"/>
      <w:numFmt w:val="lowerRoman"/>
      <w:lvlText w:val="%9."/>
      <w:lvlJc w:val="right"/>
      <w:pPr>
        <w:ind w:left="6480" w:hanging="180"/>
      </w:pPr>
    </w:lvl>
  </w:abstractNum>
  <w:abstractNum w:abstractNumId="13" w15:restartNumberingAfterBreak="0">
    <w:nsid w:val="0DB16083"/>
    <w:multiLevelType w:val="multilevel"/>
    <w:tmpl w:val="2576A890"/>
    <w:lvl w:ilvl="0">
      <w:start w:val="1"/>
      <w:numFmt w:val="decimal"/>
      <w:isLgl/>
      <w:lvlText w:val="PART %1."/>
      <w:lvlJc w:val="left"/>
      <w:pPr>
        <w:tabs>
          <w:tab w:val="num" w:pos="1152"/>
        </w:tabs>
        <w:ind w:left="1152" w:hanging="1152"/>
      </w:pPr>
      <w:rPr>
        <w:rFonts w:ascii="Arial Bold" w:hAnsi="Arial Bold" w:hint="default"/>
        <w:b/>
        <w:i w:val="0"/>
        <w:caps/>
        <w:strike w:val="0"/>
        <w:dstrike w:val="0"/>
        <w:vanish w:val="0"/>
        <w:color w:val="auto"/>
        <w:sz w:val="20"/>
        <w:u w:val="single"/>
        <w:vertAlign w:val="baseline"/>
      </w:rPr>
    </w:lvl>
    <w:lvl w:ilvl="1">
      <w:start w:val="1"/>
      <w:numFmt w:val="decimal"/>
      <w:isLgl/>
      <w:lvlText w:val="%1.%2."/>
      <w:lvlJc w:val="left"/>
      <w:pPr>
        <w:tabs>
          <w:tab w:val="num" w:pos="1152"/>
        </w:tabs>
        <w:ind w:left="1152" w:hanging="576"/>
      </w:pPr>
      <w:rPr>
        <w:rFonts w:ascii="Arial Bold" w:hAnsi="Arial Bold" w:hint="default"/>
        <w:b/>
        <w:i w:val="0"/>
        <w:caps w:val="0"/>
        <w:strike w:val="0"/>
        <w:dstrike w:val="0"/>
        <w:vanish w:val="0"/>
        <w:color w:val="auto"/>
        <w:sz w:val="20"/>
        <w:u w:val="none"/>
        <w:vertAlign w:val="baseline"/>
      </w:rPr>
    </w:lvl>
    <w:lvl w:ilvl="2">
      <w:start w:val="1"/>
      <w:numFmt w:val="decimal"/>
      <w:isLgl/>
      <w:lvlText w:val="%1.%2.%3."/>
      <w:lvlJc w:val="left"/>
      <w:pPr>
        <w:tabs>
          <w:tab w:val="num" w:pos="1872"/>
        </w:tabs>
        <w:ind w:left="1152" w:firstLine="0"/>
      </w:pPr>
      <w:rPr>
        <w:rFonts w:ascii="Arial Bold" w:hAnsi="Arial Bold" w:hint="default"/>
        <w:b w:val="0"/>
        <w:bCs/>
        <w:i w:val="0"/>
        <w:caps w:val="0"/>
        <w:strike w:val="0"/>
        <w:dstrike w:val="0"/>
        <w:vanish w:val="0"/>
        <w:color w:val="auto"/>
        <w:sz w:val="20"/>
        <w:u w:val="none"/>
        <w:vertAlign w:val="baseline"/>
      </w:rPr>
    </w:lvl>
    <w:lvl w:ilvl="3">
      <w:start w:val="1"/>
      <w:numFmt w:val="upperLetter"/>
      <w:lvlText w:val="%4."/>
      <w:lvlJc w:val="left"/>
      <w:pPr>
        <w:tabs>
          <w:tab w:val="num" w:pos="1728"/>
        </w:tabs>
        <w:ind w:left="1584" w:firstLine="0"/>
      </w:pPr>
      <w:rPr>
        <w:rFonts w:ascii="Arial Bold" w:hAnsi="Arial Bold" w:hint="default"/>
        <w:b w:val="0"/>
        <w:bCs/>
        <w:i w:val="0"/>
        <w:caps w:val="0"/>
        <w:strike w:val="0"/>
        <w:dstrike w:val="0"/>
        <w:vanish w:val="0"/>
        <w:color w:val="auto"/>
        <w:sz w:val="20"/>
        <w:u w:val="none"/>
        <w:vertAlign w:val="baseline"/>
      </w:rPr>
    </w:lvl>
    <w:lvl w:ilvl="4">
      <w:start w:val="1"/>
      <w:numFmt w:val="lowerRoman"/>
      <w:lvlText w:val="(%5)."/>
      <w:lvlJc w:val="left"/>
      <w:pPr>
        <w:tabs>
          <w:tab w:val="num" w:pos="2304"/>
        </w:tabs>
        <w:ind w:left="1872" w:firstLine="0"/>
      </w:pPr>
      <w:rPr>
        <w:rFonts w:ascii="Arial Bold" w:hAnsi="Arial Bold" w:hint="default"/>
        <w:b/>
        <w:bCs w:val="0"/>
        <w:i w:val="0"/>
        <w:sz w:val="20"/>
      </w:rPr>
    </w:lvl>
    <w:lvl w:ilvl="5">
      <w:start w:val="1"/>
      <w:numFmt w:val="lowerLetter"/>
      <w:lvlText w:val="(%6)"/>
      <w:lvlJc w:val="left"/>
      <w:pPr>
        <w:tabs>
          <w:tab w:val="num" w:pos="2088"/>
        </w:tabs>
        <w:ind w:left="2088" w:firstLine="0"/>
      </w:pPr>
      <w:rPr>
        <w:rFonts w:ascii="Arial Bold" w:hAnsi="Arial Bold" w:hint="default"/>
        <w:b/>
        <w:i w:val="0"/>
        <w:sz w:val="20"/>
      </w:rPr>
    </w:lvl>
    <w:lvl w:ilvl="6">
      <w:start w:val="1"/>
      <w:numFmt w:val="decimalZero"/>
      <w:lvlText w:val="(%7)"/>
      <w:lvlJc w:val="left"/>
      <w:pPr>
        <w:tabs>
          <w:tab w:val="num" w:pos="2736"/>
        </w:tabs>
        <w:ind w:left="2736" w:firstLine="0"/>
      </w:pPr>
      <w:rPr>
        <w:rFonts w:ascii="Arial Bold" w:hAnsi="Arial Bold" w:hint="default"/>
        <w:b/>
        <w:i w:val="0"/>
        <w:caps w:val="0"/>
        <w:strike w:val="0"/>
        <w:dstrike w:val="0"/>
        <w:vanish w:val="0"/>
        <w:color w:val="auto"/>
        <w:sz w:val="20"/>
        <w:u w:val="none"/>
        <w:vertAlign w:val="baseline"/>
      </w:rPr>
    </w:lvl>
    <w:lvl w:ilvl="7">
      <w:start w:val="1"/>
      <w:numFmt w:val="bullet"/>
      <w:lvlText w:val=""/>
      <w:lvlJc w:val="left"/>
      <w:pPr>
        <w:tabs>
          <w:tab w:val="num" w:pos="3456"/>
        </w:tabs>
        <w:ind w:left="3024" w:firstLine="0"/>
      </w:pPr>
      <w:rPr>
        <w:rFonts w:ascii="Symbol" w:hAnsi="Symbol" w:hint="default"/>
        <w:b w:val="0"/>
        <w:i w:val="0"/>
        <w:caps w:val="0"/>
        <w:strike w:val="0"/>
        <w:dstrike w:val="0"/>
        <w:vanish w:val="0"/>
        <w:color w:val="auto"/>
        <w:sz w:val="24"/>
        <w:u w:val="none"/>
        <w:vertAlign w:val="baseline"/>
      </w:rPr>
    </w:lvl>
    <w:lvl w:ilvl="8">
      <w:start w:val="1"/>
      <w:numFmt w:val="bullet"/>
      <w:lvlText w:val=""/>
      <w:lvlJc w:val="left"/>
      <w:pPr>
        <w:tabs>
          <w:tab w:val="num" w:pos="3744"/>
        </w:tabs>
        <w:ind w:left="3384" w:firstLine="0"/>
      </w:pPr>
      <w:rPr>
        <w:rFonts w:ascii="Symbol" w:hAnsi="Symbol" w:hint="default"/>
        <w:strike w:val="0"/>
        <w:dstrike w:val="0"/>
        <w:color w:val="auto"/>
      </w:rPr>
    </w:lvl>
  </w:abstractNum>
  <w:abstractNum w:abstractNumId="14" w15:restartNumberingAfterBreak="0">
    <w:nsid w:val="0DE41549"/>
    <w:multiLevelType w:val="multilevel"/>
    <w:tmpl w:val="2C80B716"/>
    <w:name w:val="zGTC01"/>
    <w:lvl w:ilvl="0">
      <w:start w:val="1"/>
      <w:numFmt w:val="decimal"/>
      <w:pStyle w:val="zGTC01"/>
      <w:lvlText w:val="Part %1"/>
      <w:lvlJc w:val="left"/>
      <w:pPr>
        <w:tabs>
          <w:tab w:val="num" w:pos="1152"/>
        </w:tabs>
        <w:ind w:left="1152" w:hanging="1152"/>
      </w:pPr>
      <w:rPr>
        <w:rFonts w:hint="default"/>
        <w:specVanish w:val="0"/>
      </w:rPr>
    </w:lvl>
    <w:lvl w:ilvl="1">
      <w:start w:val="1"/>
      <w:numFmt w:val="decimal"/>
      <w:pStyle w:val="zGTC02"/>
      <w:isLgl/>
      <w:lvlText w:val="%1.%2"/>
      <w:lvlJc w:val="left"/>
      <w:pPr>
        <w:tabs>
          <w:tab w:val="num" w:pos="648"/>
        </w:tabs>
        <w:ind w:left="0" w:firstLine="0"/>
      </w:pPr>
      <w:rPr>
        <w:rFonts w:ascii="Arial" w:hAnsi="Arial" w:hint="default"/>
        <w:b/>
        <w:i w:val="0"/>
        <w:caps/>
        <w:strike w:val="0"/>
        <w:dstrike w:val="0"/>
        <w:vanish w:val="0"/>
        <w:color w:val="000000" w:themeColor="text1"/>
        <w:sz w:val="20"/>
        <w:u w:val="none"/>
        <w:vertAlign w:val="baseline"/>
      </w:rPr>
    </w:lvl>
    <w:lvl w:ilvl="2">
      <w:start w:val="1"/>
      <w:numFmt w:val="decimal"/>
      <w:pStyle w:val="zGTC03"/>
      <w:isLgl/>
      <w:lvlText w:val="%1.%2.%3."/>
      <w:lvlJc w:val="left"/>
      <w:pPr>
        <w:tabs>
          <w:tab w:val="num" w:pos="1710"/>
        </w:tabs>
        <w:ind w:left="990" w:firstLine="0"/>
      </w:pPr>
      <w:rPr>
        <w:rFonts w:ascii="Arial" w:hAnsi="Arial" w:hint="default"/>
        <w:b/>
        <w:i w:val="0"/>
        <w:caps w:val="0"/>
        <w:strike w:val="0"/>
        <w:dstrike w:val="0"/>
        <w:vanish w:val="0"/>
        <w:color w:val="000000" w:themeColor="text1"/>
        <w:sz w:val="20"/>
        <w:u w:val="none"/>
        <w:vertAlign w:val="baseline"/>
      </w:rPr>
    </w:lvl>
    <w:lvl w:ilvl="3">
      <w:start w:val="1"/>
      <w:numFmt w:val="lowerRoman"/>
      <w:pStyle w:val="zGTC04"/>
      <w:lvlText w:val="(%4)"/>
      <w:lvlJc w:val="left"/>
      <w:pPr>
        <w:tabs>
          <w:tab w:val="num" w:pos="1944"/>
        </w:tabs>
        <w:ind w:left="1440" w:firstLine="0"/>
      </w:pPr>
      <w:rPr>
        <w:rFonts w:hint="default"/>
        <w:b/>
        <w:i w:val="0"/>
        <w:caps w:val="0"/>
        <w:strike w:val="0"/>
        <w:dstrike w:val="0"/>
        <w:vanish w:val="0"/>
        <w:color w:val="000000" w:themeColor="text1"/>
        <w:sz w:val="20"/>
        <w:u w:val="none"/>
        <w:vertAlign w:val="baseline"/>
      </w:rPr>
    </w:lvl>
    <w:lvl w:ilvl="4">
      <w:start w:val="1"/>
      <w:numFmt w:val="lowerLetter"/>
      <w:pStyle w:val="zGTC05"/>
      <w:lvlText w:val="(%5)"/>
      <w:lvlJc w:val="left"/>
      <w:pPr>
        <w:tabs>
          <w:tab w:val="num" w:pos="2448"/>
        </w:tabs>
        <w:ind w:left="1944" w:firstLine="0"/>
      </w:pPr>
      <w:rPr>
        <w:rFonts w:ascii="Arial" w:hAnsi="Arial" w:hint="default"/>
        <w:b/>
        <w:i w:val="0"/>
        <w:caps w:val="0"/>
        <w:strike w:val="0"/>
        <w:dstrike w:val="0"/>
        <w:vanish w:val="0"/>
        <w:color w:val="000000" w:themeColor="text1"/>
        <w:sz w:val="20"/>
        <w:u w:val="none"/>
        <w:vertAlign w:val="baseline"/>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5202311"/>
    <w:multiLevelType w:val="multilevel"/>
    <w:tmpl w:val="C6FC2C6C"/>
    <w:lvl w:ilvl="0">
      <w:start w:val="1"/>
      <w:numFmt w:val="decimal"/>
      <w:lvlText w:val="Part %1."/>
      <w:lvlJc w:val="left"/>
      <w:pPr>
        <w:tabs>
          <w:tab w:val="num" w:pos="1116"/>
        </w:tabs>
        <w:ind w:left="1116" w:hanging="936"/>
      </w:pPr>
      <w:rPr>
        <w:rFonts w:hint="default"/>
        <w:b/>
        <w:bCs w:val="0"/>
        <w:i w:val="0"/>
        <w:iCs w:val="0"/>
        <w:caps/>
        <w:smallCaps w:val="0"/>
        <w:strike w:val="0"/>
        <w:dstrike w:val="0"/>
        <w:outline w:val="0"/>
        <w:shadow w:val="0"/>
        <w:emboss w:val="0"/>
        <w:imprint w:val="0"/>
        <w:vanish w:val="0"/>
        <w:position w:val="0"/>
        <w:sz w:val="20"/>
        <w:u w:val="none"/>
        <w:effect w:val="none"/>
        <w:vertAlign w:val="baseline"/>
        <w14:ligatures w14:val="none"/>
        <w14:numForm w14:val="default"/>
        <w14:numSpacing w14:val="default"/>
        <w14:stylisticSets/>
        <w14:cntxtAlts w14:val="0"/>
      </w:rPr>
    </w:lvl>
    <w:lvl w:ilvl="1">
      <w:start w:val="1"/>
      <w:numFmt w:val="decimal"/>
      <w:lvlText w:val="%1.%2"/>
      <w:lvlJc w:val="left"/>
      <w:pPr>
        <w:tabs>
          <w:tab w:val="num" w:pos="720"/>
        </w:tabs>
        <w:ind w:left="0" w:firstLine="0"/>
      </w:pPr>
      <w:rPr>
        <w:rFonts w:hint="default"/>
        <w:b/>
        <w:i w:val="0"/>
        <w:caps/>
        <w:strike w:val="0"/>
        <w:dstrike w:val="0"/>
        <w:vanish w:val="0"/>
        <w:color w:val="000000" w:themeColor="text1"/>
        <w:sz w:val="20"/>
        <w:u w:val="none"/>
        <w:vertAlign w:val="baseline"/>
      </w:rPr>
    </w:lvl>
    <w:lvl w:ilvl="2">
      <w:start w:val="1"/>
      <w:numFmt w:val="decimal"/>
      <w:lvlText w:val="%1.%2.%3."/>
      <w:lvlJc w:val="left"/>
      <w:pPr>
        <w:tabs>
          <w:tab w:val="num" w:pos="1998"/>
        </w:tabs>
        <w:ind w:left="1350" w:firstLine="0"/>
      </w:pPr>
      <w:rPr>
        <w:rFonts w:hint="default"/>
        <w:b/>
        <w:bCs/>
      </w:rPr>
    </w:lvl>
    <w:lvl w:ilvl="3">
      <w:start w:val="2"/>
      <w:numFmt w:val="lowerRoman"/>
      <w:lvlText w:val="(%4)"/>
      <w:lvlJc w:val="left"/>
      <w:pPr>
        <w:tabs>
          <w:tab w:val="num" w:pos="1944"/>
        </w:tabs>
        <w:ind w:left="1440" w:firstLine="0"/>
      </w:pPr>
      <w:rPr>
        <w:rFonts w:hint="default"/>
        <w:b/>
        <w:i w:val="0"/>
        <w:caps w:val="0"/>
        <w:strike w:val="0"/>
        <w:dstrike w:val="0"/>
        <w:vanish w:val="0"/>
        <w:color w:val="000000" w:themeColor="text1"/>
        <w:sz w:val="20"/>
        <w:u w:val="none"/>
        <w:vertAlign w:val="baseline"/>
      </w:rPr>
    </w:lvl>
    <w:lvl w:ilvl="4">
      <w:start w:val="1"/>
      <w:numFmt w:val="lowerLetter"/>
      <w:lvlText w:val="(%5)"/>
      <w:lvlJc w:val="left"/>
      <w:pPr>
        <w:tabs>
          <w:tab w:val="num" w:pos="2448"/>
        </w:tabs>
        <w:ind w:left="1944" w:firstLine="0"/>
      </w:pPr>
      <w:rPr>
        <w:rFonts w:hint="default"/>
        <w:b/>
        <w:i w:val="0"/>
        <w:caps w:val="0"/>
        <w:strike w:val="0"/>
        <w:dstrike w:val="0"/>
        <w:vanish w:val="0"/>
        <w:color w:val="000000" w:themeColor="text1"/>
        <w:sz w:val="20"/>
        <w:u w:val="none"/>
        <w:vertAlign w:val="baseline"/>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63074B8"/>
    <w:multiLevelType w:val="multilevel"/>
    <w:tmpl w:val="A22E42A8"/>
    <w:name w:val="zGZ1"/>
    <w:lvl w:ilvl="0">
      <w:start w:val="1"/>
      <w:numFmt w:val="decimal"/>
      <w:pStyle w:val="zGZ1"/>
      <w:lvlText w:val="%1."/>
      <w:lvlJc w:val="left"/>
      <w:pPr>
        <w:ind w:left="360" w:hanging="360"/>
      </w:pPr>
      <w:rPr>
        <w:rFonts w:ascii="Arial Bold" w:hAnsi="Arial Bold" w:hint="default"/>
        <w:b/>
        <w:i w:val="0"/>
        <w:caps w:val="0"/>
        <w:strike w:val="0"/>
        <w:dstrike w:val="0"/>
        <w:vanish w:val="0"/>
        <w:color w:val="000000" w:themeColor="text1"/>
        <w:sz w:val="20"/>
        <w:u w:val="none"/>
        <w:vertAlign w:val="baseline"/>
      </w:rPr>
    </w:lvl>
    <w:lvl w:ilvl="1">
      <w:start w:val="1"/>
      <w:numFmt w:val="upperLetter"/>
      <w:pStyle w:val="zGZ2"/>
      <w:lvlText w:val="%2."/>
      <w:lvlJc w:val="left"/>
      <w:pPr>
        <w:tabs>
          <w:tab w:val="num" w:pos="576"/>
        </w:tabs>
        <w:ind w:left="288" w:firstLine="0"/>
      </w:pPr>
      <w:rPr>
        <w:rFonts w:ascii="Arial" w:hAnsi="Arial" w:hint="default"/>
        <w:b/>
        <w:i w:val="0"/>
        <w:caps w:val="0"/>
        <w:strike w:val="0"/>
        <w:dstrike w:val="0"/>
        <w:vanish w:val="0"/>
        <w:color w:val="000000" w:themeColor="text1"/>
        <w:sz w:val="20"/>
        <w:vertAlign w:val="baseline"/>
      </w:rPr>
    </w:lvl>
    <w:lvl w:ilvl="2">
      <w:start w:val="1"/>
      <w:numFmt w:val="lowerRoman"/>
      <w:pStyle w:val="zGZ3"/>
      <w:lvlText w:val="%3."/>
      <w:lvlJc w:val="left"/>
      <w:pPr>
        <w:tabs>
          <w:tab w:val="num" w:pos="1080"/>
        </w:tabs>
        <w:ind w:left="1080" w:hanging="504"/>
      </w:pPr>
      <w:rPr>
        <w:rFonts w:ascii="Arial" w:hAnsi="Arial" w:hint="default"/>
        <w:b/>
        <w:i w:val="0"/>
        <w:caps w:val="0"/>
        <w:strike w:val="0"/>
        <w:dstrike w:val="0"/>
        <w:vanish w:val="0"/>
        <w:color w:val="000000" w:themeColor="text1"/>
        <w:sz w:val="20"/>
        <w:vertAlign w:val="baseline"/>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73C1E81"/>
    <w:multiLevelType w:val="multilevel"/>
    <w:tmpl w:val="FDE60D78"/>
    <w:lvl w:ilvl="0">
      <w:start w:val="1"/>
      <w:numFmt w:val="decimal"/>
      <w:lvlText w:val="Part %1"/>
      <w:lvlJc w:val="left"/>
      <w:pPr>
        <w:tabs>
          <w:tab w:val="num" w:pos="936"/>
        </w:tabs>
        <w:ind w:left="936" w:hanging="936"/>
      </w:pPr>
      <w:rPr>
        <w:rFonts w:ascii="Arial" w:hAnsi="Arial"/>
        <w:b/>
        <w:i w:val="0"/>
        <w:caps/>
        <w:strike w:val="0"/>
        <w:dstrike w:val="0"/>
        <w:vanish w:val="0"/>
        <w:color w:val="000000"/>
        <w:sz w:val="20"/>
        <w:u w:val="none"/>
      </w:rPr>
    </w:lvl>
    <w:lvl w:ilvl="1">
      <w:start w:val="1"/>
      <w:numFmt w:val="decimal"/>
      <w:lvlText w:val="%1.%2"/>
      <w:lvlJc w:val="left"/>
      <w:pPr>
        <w:tabs>
          <w:tab w:val="num" w:pos="576"/>
        </w:tabs>
      </w:pPr>
      <w:rPr>
        <w:rFonts w:ascii="Arial" w:hAnsi="Arial"/>
        <w:b/>
        <w:i w:val="0"/>
        <w:caps/>
        <w:strike w:val="0"/>
        <w:dstrike w:val="0"/>
        <w:vanish w:val="0"/>
        <w:color w:val="000000"/>
        <w:sz w:val="20"/>
        <w:u w:val="none"/>
      </w:rPr>
    </w:lvl>
    <w:lvl w:ilvl="2">
      <w:start w:val="1"/>
      <w:numFmt w:val="upperLetter"/>
      <w:lvlText w:val="%3."/>
      <w:lvlJc w:val="left"/>
      <w:pPr>
        <w:tabs>
          <w:tab w:val="num" w:pos="576"/>
        </w:tabs>
        <w:ind w:left="259"/>
      </w:pPr>
      <w:rPr>
        <w:rFonts w:ascii="Arial" w:hAnsi="Arial"/>
        <w:b/>
        <w:i w:val="0"/>
        <w:caps w:val="0"/>
        <w:strike w:val="0"/>
        <w:dstrike w:val="0"/>
        <w:vanish w:val="0"/>
        <w:color w:val="000000"/>
        <w:sz w:val="20"/>
        <w:u w:val="none"/>
      </w:rPr>
    </w:lvl>
    <w:lvl w:ilvl="3">
      <w:start w:val="1"/>
      <w:numFmt w:val="lowerRoman"/>
      <w:lvlText w:val="(%4)"/>
      <w:lvlJc w:val="left"/>
      <w:pPr>
        <w:tabs>
          <w:tab w:val="num" w:pos="864"/>
        </w:tabs>
        <w:ind w:left="360"/>
      </w:pPr>
      <w:rPr>
        <w:rFonts w:ascii="Arial" w:hAnsi="Arial"/>
        <w:b/>
        <w:i w:val="0"/>
        <w:caps w:val="0"/>
        <w:strike w:val="0"/>
        <w:dstrike w:val="0"/>
        <w:vanish w:val="0"/>
        <w:color w:val="000000"/>
        <w:sz w:val="20"/>
        <w:u w:val="none"/>
      </w:rPr>
    </w:lvl>
    <w:lvl w:ilvl="4">
      <w:start w:val="1"/>
      <w:numFmt w:val="lowerLetter"/>
      <w:lvlText w:val="(%5)"/>
      <w:lvlJc w:val="left"/>
      <w:pPr>
        <w:tabs>
          <w:tab w:val="num" w:pos="1195"/>
        </w:tabs>
        <w:ind w:left="864"/>
      </w:pPr>
      <w:rPr>
        <w:rFonts w:ascii="Arial" w:hAnsi="Arial"/>
        <w:b/>
        <w:i w:val="0"/>
        <w:caps w:val="0"/>
        <w:strike w:val="0"/>
        <w:dstrike w:val="0"/>
        <w:vanish w:val="0"/>
        <w:color w:val="000000"/>
        <w:sz w:val="20"/>
        <w:u w:val="none"/>
      </w:rPr>
    </w:lvl>
    <w:lvl w:ilvl="5">
      <w:start w:val="1"/>
      <w:numFmt w:val="lowerRoman"/>
      <w:lvlText w:val="(%6)"/>
      <w:lvlJc w:val="left"/>
      <w:pPr>
        <w:ind w:left="2160" w:hanging="360"/>
      </w:pPr>
    </w:lvl>
    <w:lvl w:ilvl="6">
      <w:start w:val="1"/>
      <w:numFmt w:val="lowerRoman"/>
      <w:lvlText w:val="(%7)"/>
      <w:lvlJc w:val="left"/>
      <w:pPr>
        <w:ind w:left="2520" w:hanging="360"/>
      </w:pPr>
      <w:rPr>
        <w:rFonts w:ascii="Arial" w:eastAsia="Times New Roman"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1FB4881"/>
    <w:multiLevelType w:val="multilevel"/>
    <w:tmpl w:val="3B2C6CA4"/>
    <w:styleLink w:val="CurrentList2"/>
    <w:lvl w:ilvl="0">
      <w:start w:val="1"/>
      <w:numFmt w:val="decimal"/>
      <w:lvlText w:val="Part %1"/>
      <w:lvlJc w:val="left"/>
      <w:pPr>
        <w:tabs>
          <w:tab w:val="num" w:pos="1152"/>
        </w:tabs>
        <w:ind w:left="1152" w:hanging="1152"/>
      </w:pPr>
      <w:rPr>
        <w:rFonts w:hint="default"/>
        <w:specVanish w:val="0"/>
      </w:rPr>
    </w:lvl>
    <w:lvl w:ilvl="1">
      <w:start w:val="1"/>
      <w:numFmt w:val="decimal"/>
      <w:isLgl/>
      <w:lvlText w:val="%1.%2"/>
      <w:lvlJc w:val="left"/>
      <w:pPr>
        <w:tabs>
          <w:tab w:val="num" w:pos="648"/>
        </w:tabs>
        <w:ind w:left="0" w:firstLine="0"/>
      </w:pPr>
      <w:rPr>
        <w:rFonts w:ascii="Arial" w:hAnsi="Arial" w:hint="default"/>
        <w:b/>
        <w:i w:val="0"/>
        <w:caps/>
        <w:strike w:val="0"/>
        <w:dstrike w:val="0"/>
        <w:vanish w:val="0"/>
        <w:color w:val="000000" w:themeColor="text1"/>
        <w:sz w:val="20"/>
        <w:u w:val="none"/>
        <w:vertAlign w:val="baseline"/>
      </w:rPr>
    </w:lvl>
    <w:lvl w:ilvl="2">
      <w:start w:val="1"/>
      <w:numFmt w:val="decimal"/>
      <w:isLgl/>
      <w:lvlText w:val="%1.%2.%3."/>
      <w:lvlJc w:val="left"/>
      <w:pPr>
        <w:tabs>
          <w:tab w:val="num" w:pos="1368"/>
        </w:tabs>
        <w:ind w:left="648" w:firstLine="0"/>
      </w:pPr>
      <w:rPr>
        <w:rFonts w:ascii="Arial" w:hAnsi="Arial" w:hint="default"/>
        <w:b/>
        <w:i w:val="0"/>
        <w:caps w:val="0"/>
        <w:strike w:val="0"/>
        <w:dstrike w:val="0"/>
        <w:vanish w:val="0"/>
        <w:color w:val="000000" w:themeColor="text1"/>
        <w:sz w:val="20"/>
        <w:u w:val="none"/>
        <w:vertAlign w:val="baseline"/>
      </w:rPr>
    </w:lvl>
    <w:lvl w:ilvl="3">
      <w:start w:val="1"/>
      <w:numFmt w:val="lowerRoman"/>
      <w:lvlText w:val="(%4)"/>
      <w:lvlJc w:val="left"/>
      <w:pPr>
        <w:tabs>
          <w:tab w:val="num" w:pos="1944"/>
        </w:tabs>
        <w:ind w:left="1440" w:firstLine="0"/>
      </w:pPr>
      <w:rPr>
        <w:rFonts w:hint="default"/>
        <w:b/>
        <w:i w:val="0"/>
        <w:caps w:val="0"/>
        <w:strike w:val="0"/>
        <w:dstrike w:val="0"/>
        <w:vanish w:val="0"/>
        <w:color w:val="000000" w:themeColor="text1"/>
        <w:sz w:val="20"/>
        <w:u w:val="none"/>
        <w:vertAlign w:val="baseline"/>
      </w:rPr>
    </w:lvl>
    <w:lvl w:ilvl="4">
      <w:start w:val="1"/>
      <w:numFmt w:val="lowerLetter"/>
      <w:lvlText w:val="(%5)"/>
      <w:lvlJc w:val="left"/>
      <w:pPr>
        <w:tabs>
          <w:tab w:val="num" w:pos="2448"/>
        </w:tabs>
        <w:ind w:left="1944" w:firstLine="0"/>
      </w:pPr>
      <w:rPr>
        <w:rFonts w:ascii="Arial" w:hAnsi="Arial" w:hint="default"/>
        <w:b/>
        <w:i w:val="0"/>
        <w:caps w:val="0"/>
        <w:strike w:val="0"/>
        <w:dstrike w:val="0"/>
        <w:vanish w:val="0"/>
        <w:color w:val="000000" w:themeColor="text1"/>
        <w:sz w:val="20"/>
        <w:u w:val="none"/>
        <w:vertAlign w:val="baseline"/>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49C3C8B"/>
    <w:multiLevelType w:val="multilevel"/>
    <w:tmpl w:val="8ABA711A"/>
    <w:lvl w:ilvl="0">
      <w:start w:val="1"/>
      <w:numFmt w:val="decimal"/>
      <w:isLgl/>
      <w:lvlText w:val="PART %1."/>
      <w:lvlJc w:val="left"/>
      <w:pPr>
        <w:tabs>
          <w:tab w:val="num" w:pos="1152"/>
        </w:tabs>
        <w:ind w:left="1152" w:hanging="1152"/>
      </w:pPr>
      <w:rPr>
        <w:rFonts w:ascii="Arial Bold" w:hAnsi="Arial Bold" w:hint="default"/>
        <w:b/>
        <w:i w:val="0"/>
        <w:caps/>
        <w:strike w:val="0"/>
        <w:dstrike w:val="0"/>
        <w:vanish w:val="0"/>
        <w:color w:val="auto"/>
        <w:sz w:val="20"/>
        <w:u w:val="single"/>
        <w:vertAlign w:val="baseline"/>
      </w:rPr>
    </w:lvl>
    <w:lvl w:ilvl="1">
      <w:start w:val="3"/>
      <w:numFmt w:val="decimal"/>
      <w:isLgl/>
      <w:lvlText w:val="%1.%2."/>
      <w:lvlJc w:val="left"/>
      <w:pPr>
        <w:tabs>
          <w:tab w:val="num" w:pos="1152"/>
        </w:tabs>
        <w:ind w:left="1152" w:hanging="576"/>
      </w:pPr>
      <w:rPr>
        <w:rFonts w:ascii="Arial Bold" w:hAnsi="Arial Bold" w:hint="default"/>
        <w:b/>
        <w:i w:val="0"/>
        <w:caps w:val="0"/>
        <w:strike w:val="0"/>
        <w:dstrike w:val="0"/>
        <w:vanish w:val="0"/>
        <w:color w:val="auto"/>
        <w:sz w:val="20"/>
        <w:u w:val="none"/>
        <w:vertAlign w:val="baseline"/>
      </w:rPr>
    </w:lvl>
    <w:lvl w:ilvl="2">
      <w:start w:val="1"/>
      <w:numFmt w:val="decimal"/>
      <w:isLgl/>
      <w:lvlText w:val="%1.%2.%3."/>
      <w:lvlJc w:val="left"/>
      <w:pPr>
        <w:tabs>
          <w:tab w:val="num" w:pos="1872"/>
        </w:tabs>
        <w:ind w:left="1152" w:firstLine="0"/>
      </w:pPr>
      <w:rPr>
        <w:rFonts w:ascii="Arial Bold" w:hAnsi="Arial Bold" w:hint="default"/>
        <w:b w:val="0"/>
        <w:bCs/>
        <w:i w:val="0"/>
        <w:caps w:val="0"/>
        <w:strike w:val="0"/>
        <w:dstrike w:val="0"/>
        <w:vanish w:val="0"/>
        <w:color w:val="auto"/>
        <w:sz w:val="20"/>
        <w:u w:val="none"/>
        <w:vertAlign w:val="baseline"/>
      </w:rPr>
    </w:lvl>
    <w:lvl w:ilvl="3">
      <w:start w:val="1"/>
      <w:numFmt w:val="upperLetter"/>
      <w:lvlText w:val="%4."/>
      <w:lvlJc w:val="left"/>
      <w:pPr>
        <w:tabs>
          <w:tab w:val="num" w:pos="1728"/>
        </w:tabs>
        <w:ind w:left="1584" w:firstLine="0"/>
      </w:pPr>
      <w:rPr>
        <w:rFonts w:ascii="Arial Bold" w:hAnsi="Arial Bold" w:hint="default"/>
        <w:b w:val="0"/>
        <w:bCs/>
        <w:i w:val="0"/>
        <w:caps w:val="0"/>
        <w:strike w:val="0"/>
        <w:dstrike w:val="0"/>
        <w:vanish w:val="0"/>
        <w:color w:val="auto"/>
        <w:sz w:val="20"/>
        <w:u w:val="none"/>
        <w:vertAlign w:val="baseline"/>
      </w:rPr>
    </w:lvl>
    <w:lvl w:ilvl="4">
      <w:start w:val="1"/>
      <w:numFmt w:val="lowerRoman"/>
      <w:lvlText w:val="(%5)."/>
      <w:lvlJc w:val="left"/>
      <w:pPr>
        <w:tabs>
          <w:tab w:val="num" w:pos="2304"/>
        </w:tabs>
        <w:ind w:left="1872" w:firstLine="0"/>
      </w:pPr>
      <w:rPr>
        <w:rFonts w:ascii="Arial Bold" w:hAnsi="Arial Bold" w:hint="default"/>
        <w:b/>
        <w:bCs w:val="0"/>
        <w:i w:val="0"/>
        <w:sz w:val="20"/>
      </w:rPr>
    </w:lvl>
    <w:lvl w:ilvl="5">
      <w:start w:val="1"/>
      <w:numFmt w:val="lowerLetter"/>
      <w:lvlText w:val="(%6)"/>
      <w:lvlJc w:val="left"/>
      <w:pPr>
        <w:tabs>
          <w:tab w:val="num" w:pos="2088"/>
        </w:tabs>
        <w:ind w:left="2088" w:firstLine="0"/>
      </w:pPr>
      <w:rPr>
        <w:rFonts w:ascii="Arial Bold" w:hAnsi="Arial Bold" w:hint="default"/>
        <w:b/>
        <w:i w:val="0"/>
        <w:sz w:val="20"/>
      </w:rPr>
    </w:lvl>
    <w:lvl w:ilvl="6">
      <w:start w:val="1"/>
      <w:numFmt w:val="decimalZero"/>
      <w:lvlText w:val="(%7)"/>
      <w:lvlJc w:val="left"/>
      <w:pPr>
        <w:tabs>
          <w:tab w:val="num" w:pos="2736"/>
        </w:tabs>
        <w:ind w:left="2736" w:firstLine="0"/>
      </w:pPr>
      <w:rPr>
        <w:rFonts w:ascii="Arial Bold" w:hAnsi="Arial Bold" w:hint="default"/>
        <w:b/>
        <w:i w:val="0"/>
        <w:caps w:val="0"/>
        <w:strike w:val="0"/>
        <w:dstrike w:val="0"/>
        <w:vanish w:val="0"/>
        <w:color w:val="auto"/>
        <w:sz w:val="20"/>
        <w:u w:val="none"/>
        <w:vertAlign w:val="baseline"/>
      </w:rPr>
    </w:lvl>
    <w:lvl w:ilvl="7">
      <w:start w:val="1"/>
      <w:numFmt w:val="bullet"/>
      <w:lvlText w:val=""/>
      <w:lvlJc w:val="left"/>
      <w:pPr>
        <w:tabs>
          <w:tab w:val="num" w:pos="3456"/>
        </w:tabs>
        <w:ind w:left="3024" w:firstLine="0"/>
      </w:pPr>
      <w:rPr>
        <w:rFonts w:ascii="Symbol" w:hAnsi="Symbol" w:hint="default"/>
        <w:b w:val="0"/>
        <w:i w:val="0"/>
        <w:caps w:val="0"/>
        <w:strike w:val="0"/>
        <w:dstrike w:val="0"/>
        <w:vanish w:val="0"/>
        <w:color w:val="auto"/>
        <w:sz w:val="24"/>
        <w:u w:val="none"/>
        <w:vertAlign w:val="baseline"/>
      </w:rPr>
    </w:lvl>
    <w:lvl w:ilvl="8">
      <w:start w:val="1"/>
      <w:numFmt w:val="bullet"/>
      <w:lvlText w:val=""/>
      <w:lvlJc w:val="left"/>
      <w:pPr>
        <w:tabs>
          <w:tab w:val="num" w:pos="3744"/>
        </w:tabs>
        <w:ind w:left="3384" w:firstLine="0"/>
      </w:pPr>
      <w:rPr>
        <w:rFonts w:ascii="Symbol" w:hAnsi="Symbol" w:hint="default"/>
        <w:strike w:val="0"/>
        <w:dstrike w:val="0"/>
        <w:color w:val="auto"/>
      </w:rPr>
    </w:lvl>
  </w:abstractNum>
  <w:abstractNum w:abstractNumId="20" w15:restartNumberingAfterBreak="0">
    <w:nsid w:val="26C16722"/>
    <w:multiLevelType w:val="multilevel"/>
    <w:tmpl w:val="248EBCAC"/>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82A0AC2"/>
    <w:multiLevelType w:val="hybridMultilevel"/>
    <w:tmpl w:val="1F7298C4"/>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28B1397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0A73F96"/>
    <w:multiLevelType w:val="multilevel"/>
    <w:tmpl w:val="BB8C9956"/>
    <w:styleLink w:val="zGzListStyle2"/>
    <w:lvl w:ilvl="0">
      <w:start w:val="1"/>
      <w:numFmt w:val="decimal"/>
      <w:lvlText w:val="%1."/>
      <w:lvlJc w:val="left"/>
      <w:pPr>
        <w:tabs>
          <w:tab w:val="num" w:pos="504"/>
        </w:tabs>
        <w:ind w:left="0" w:firstLine="0"/>
      </w:pPr>
      <w:rPr>
        <w:rFonts w:ascii="Arial" w:hAnsi="Arial" w:hint="default"/>
        <w:b/>
        <w:i w:val="0"/>
        <w:caps w:val="0"/>
        <w:strike w:val="0"/>
        <w:dstrike w:val="0"/>
        <w:vanish w:val="0"/>
        <w:color w:val="000000" w:themeColor="text1"/>
        <w:sz w:val="20"/>
        <w:u w:val="none"/>
        <w:vertAlign w:val="baseline"/>
      </w:rPr>
    </w:lvl>
    <w:lvl w:ilvl="1">
      <w:start w:val="1"/>
      <w:numFmt w:val="upperLetter"/>
      <w:lvlText w:val="%2."/>
      <w:lvlJc w:val="left"/>
      <w:pPr>
        <w:tabs>
          <w:tab w:val="num" w:pos="576"/>
        </w:tabs>
        <w:ind w:left="288" w:firstLine="0"/>
      </w:pPr>
      <w:rPr>
        <w:rFonts w:ascii="Arial" w:hAnsi="Arial" w:hint="default"/>
        <w:b/>
        <w:i w:val="0"/>
        <w:caps w:val="0"/>
        <w:strike w:val="0"/>
        <w:dstrike w:val="0"/>
        <w:vanish w:val="0"/>
        <w:color w:val="000000" w:themeColor="text1"/>
        <w:sz w:val="20"/>
        <w:vertAlign w:val="baseline"/>
      </w:rPr>
    </w:lvl>
    <w:lvl w:ilvl="2">
      <w:start w:val="1"/>
      <w:numFmt w:val="lowerRoman"/>
      <w:lvlText w:val="%3."/>
      <w:lvlJc w:val="left"/>
      <w:pPr>
        <w:tabs>
          <w:tab w:val="num" w:pos="1080"/>
        </w:tabs>
        <w:ind w:left="1080" w:hanging="504"/>
      </w:pPr>
      <w:rPr>
        <w:rFonts w:ascii="Arial" w:hAnsi="Arial" w:hint="default"/>
        <w:b/>
        <w:i w:val="0"/>
        <w:caps w:val="0"/>
        <w:strike w:val="0"/>
        <w:dstrike w:val="0"/>
        <w:vanish w:val="0"/>
        <w:color w:val="000000" w:themeColor="text1"/>
        <w:sz w:val="20"/>
        <w:vertAlign w:val="baseline"/>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36935962"/>
    <w:multiLevelType w:val="multilevel"/>
    <w:tmpl w:val="D8DE60A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7FA42C3"/>
    <w:multiLevelType w:val="multilevel"/>
    <w:tmpl w:val="D242C842"/>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6" w15:restartNumberingAfterBreak="0">
    <w:nsid w:val="3CDB4E0A"/>
    <w:multiLevelType w:val="multilevel"/>
    <w:tmpl w:val="23A847CA"/>
    <w:name w:val="zGBody3"/>
    <w:lvl w:ilvl="0">
      <w:start w:val="4"/>
      <w:numFmt w:val="decimal"/>
      <w:isLgl/>
      <w:lvlText w:val="PART %1."/>
      <w:lvlJc w:val="left"/>
      <w:pPr>
        <w:tabs>
          <w:tab w:val="num" w:pos="1152"/>
        </w:tabs>
        <w:ind w:left="1152" w:hanging="1152"/>
      </w:pPr>
      <w:rPr>
        <w:rFonts w:ascii="Arial Bold" w:hAnsi="Arial Bold" w:hint="default"/>
        <w:b/>
        <w:i w:val="0"/>
        <w:caps/>
        <w:strike w:val="0"/>
        <w:dstrike w:val="0"/>
        <w:vanish w:val="0"/>
        <w:color w:val="auto"/>
        <w:sz w:val="20"/>
        <w:u w:val="single"/>
        <w:vertAlign w:val="baseline"/>
      </w:rPr>
    </w:lvl>
    <w:lvl w:ilvl="1">
      <w:start w:val="1"/>
      <w:numFmt w:val="decimal"/>
      <w:isLgl/>
      <w:lvlText w:val="%1.%2."/>
      <w:lvlJc w:val="left"/>
      <w:pPr>
        <w:tabs>
          <w:tab w:val="num" w:pos="1152"/>
        </w:tabs>
        <w:ind w:left="1152" w:hanging="576"/>
      </w:pPr>
      <w:rPr>
        <w:rFonts w:ascii="Arial Bold" w:hAnsi="Arial Bold" w:hint="default"/>
        <w:b/>
        <w:i w:val="0"/>
        <w:caps w:val="0"/>
        <w:strike w:val="0"/>
        <w:dstrike w:val="0"/>
        <w:vanish w:val="0"/>
        <w:color w:val="auto"/>
        <w:sz w:val="20"/>
        <w:u w:val="none"/>
        <w:vertAlign w:val="baseline"/>
      </w:rPr>
    </w:lvl>
    <w:lvl w:ilvl="2">
      <w:start w:val="1"/>
      <w:numFmt w:val="decimal"/>
      <w:isLgl/>
      <w:lvlText w:val="%1.%2.%3."/>
      <w:lvlJc w:val="left"/>
      <w:pPr>
        <w:tabs>
          <w:tab w:val="num" w:pos="1872"/>
        </w:tabs>
        <w:ind w:left="1152" w:firstLine="0"/>
      </w:pPr>
      <w:rPr>
        <w:rFonts w:ascii="Arial Bold" w:hAnsi="Arial Bold" w:hint="default"/>
        <w:b/>
        <w:i w:val="0"/>
        <w:caps w:val="0"/>
        <w:strike w:val="0"/>
        <w:dstrike w:val="0"/>
        <w:vanish w:val="0"/>
        <w:color w:val="auto"/>
        <w:sz w:val="20"/>
        <w:u w:val="none"/>
        <w:vertAlign w:val="baseline"/>
      </w:rPr>
    </w:lvl>
    <w:lvl w:ilvl="3">
      <w:start w:val="1"/>
      <w:numFmt w:val="upperLetter"/>
      <w:lvlText w:val="%4."/>
      <w:lvlJc w:val="left"/>
      <w:pPr>
        <w:tabs>
          <w:tab w:val="num" w:pos="1728"/>
        </w:tabs>
        <w:ind w:left="1584" w:firstLine="0"/>
      </w:pPr>
      <w:rPr>
        <w:rFonts w:ascii="Arial Bold" w:hAnsi="Arial Bold" w:hint="default"/>
        <w:b/>
        <w:i w:val="0"/>
        <w:caps w:val="0"/>
        <w:strike w:val="0"/>
        <w:dstrike w:val="0"/>
        <w:vanish w:val="0"/>
        <w:color w:val="auto"/>
        <w:sz w:val="20"/>
        <w:u w:val="none"/>
        <w:vertAlign w:val="baseline"/>
      </w:rPr>
    </w:lvl>
    <w:lvl w:ilvl="4">
      <w:start w:val="1"/>
      <w:numFmt w:val="lowerRoman"/>
      <w:lvlText w:val="(%5)."/>
      <w:lvlJc w:val="left"/>
      <w:pPr>
        <w:tabs>
          <w:tab w:val="num" w:pos="2304"/>
        </w:tabs>
        <w:ind w:left="1872" w:firstLine="0"/>
      </w:pPr>
      <w:rPr>
        <w:rFonts w:ascii="Arial Bold" w:hAnsi="Arial Bold" w:hint="default"/>
        <w:b/>
        <w:bCs w:val="0"/>
        <w:i w:val="0"/>
        <w:sz w:val="20"/>
      </w:rPr>
    </w:lvl>
    <w:lvl w:ilvl="5">
      <w:start w:val="1"/>
      <w:numFmt w:val="lowerLetter"/>
      <w:lvlText w:val="(%6)"/>
      <w:lvlJc w:val="left"/>
      <w:pPr>
        <w:tabs>
          <w:tab w:val="num" w:pos="2088"/>
        </w:tabs>
        <w:ind w:left="2088" w:firstLine="0"/>
      </w:pPr>
      <w:rPr>
        <w:rFonts w:ascii="Arial Bold" w:hAnsi="Arial Bold" w:hint="default"/>
        <w:b/>
        <w:i w:val="0"/>
        <w:sz w:val="20"/>
      </w:rPr>
    </w:lvl>
    <w:lvl w:ilvl="6">
      <w:start w:val="1"/>
      <w:numFmt w:val="decimalZero"/>
      <w:lvlText w:val="(%7)"/>
      <w:lvlJc w:val="left"/>
      <w:pPr>
        <w:tabs>
          <w:tab w:val="num" w:pos="2736"/>
        </w:tabs>
        <w:ind w:left="2736" w:firstLine="0"/>
      </w:pPr>
      <w:rPr>
        <w:rFonts w:ascii="Arial Bold" w:hAnsi="Arial Bold" w:hint="default"/>
        <w:b/>
        <w:i w:val="0"/>
        <w:caps w:val="0"/>
        <w:strike w:val="0"/>
        <w:dstrike w:val="0"/>
        <w:vanish w:val="0"/>
        <w:color w:val="auto"/>
        <w:sz w:val="20"/>
        <w:u w:val="none"/>
        <w:vertAlign w:val="baseline"/>
      </w:rPr>
    </w:lvl>
    <w:lvl w:ilvl="7">
      <w:start w:val="1"/>
      <w:numFmt w:val="bullet"/>
      <w:lvlText w:val=""/>
      <w:lvlJc w:val="left"/>
      <w:pPr>
        <w:tabs>
          <w:tab w:val="num" w:pos="3456"/>
        </w:tabs>
        <w:ind w:left="3024" w:firstLine="0"/>
      </w:pPr>
      <w:rPr>
        <w:rFonts w:ascii="Symbol" w:hAnsi="Symbol" w:hint="default"/>
        <w:b w:val="0"/>
        <w:i w:val="0"/>
        <w:caps w:val="0"/>
        <w:strike w:val="0"/>
        <w:dstrike w:val="0"/>
        <w:vanish w:val="0"/>
        <w:color w:val="auto"/>
        <w:sz w:val="24"/>
        <w:u w:val="none"/>
        <w:vertAlign w:val="baseline"/>
      </w:rPr>
    </w:lvl>
    <w:lvl w:ilvl="8">
      <w:start w:val="1"/>
      <w:numFmt w:val="bullet"/>
      <w:lvlText w:val=""/>
      <w:lvlJc w:val="left"/>
      <w:pPr>
        <w:tabs>
          <w:tab w:val="num" w:pos="3744"/>
        </w:tabs>
        <w:ind w:left="3384" w:firstLine="0"/>
      </w:pPr>
      <w:rPr>
        <w:rFonts w:ascii="Symbol" w:hAnsi="Symbol" w:hint="default"/>
        <w:strike w:val="0"/>
        <w:dstrike w:val="0"/>
        <w:color w:val="auto"/>
      </w:rPr>
    </w:lvl>
  </w:abstractNum>
  <w:abstractNum w:abstractNumId="27" w15:restartNumberingAfterBreak="0">
    <w:nsid w:val="40AD7ADF"/>
    <w:multiLevelType w:val="multilevel"/>
    <w:tmpl w:val="57281346"/>
    <w:lvl w:ilvl="0">
      <w:start w:val="1"/>
      <w:numFmt w:val="decimal"/>
      <w:lvlText w:val="Part %1."/>
      <w:lvlJc w:val="left"/>
      <w:pPr>
        <w:tabs>
          <w:tab w:val="num" w:pos="1026"/>
        </w:tabs>
        <w:ind w:left="1026" w:hanging="936"/>
      </w:pPr>
      <w:rPr>
        <w:rFonts w:ascii="Arial Bold" w:hAnsi="Arial Bold" w:cs="Times New Roman" w:hint="default"/>
        <w:b/>
        <w:bCs w:val="0"/>
        <w:i w:val="0"/>
        <w:iCs w:val="0"/>
        <w:caps/>
        <w:smallCaps w:val="0"/>
        <w:strike w:val="0"/>
        <w:dstrike w:val="0"/>
        <w:outline w:val="0"/>
        <w:shadow w:val="0"/>
        <w:emboss w:val="0"/>
        <w:imprint w:val="0"/>
        <w:noProof w:val="0"/>
        <w:vanish w:val="0"/>
        <w:position w:val="0"/>
        <w:sz w:val="2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2"/>
      <w:numFmt w:val="decimal"/>
      <w:isLgl/>
      <w:lvlText w:val="%1.%2"/>
      <w:lvlJc w:val="left"/>
      <w:pPr>
        <w:tabs>
          <w:tab w:val="num" w:pos="720"/>
        </w:tabs>
        <w:ind w:left="0" w:firstLine="0"/>
      </w:pPr>
      <w:rPr>
        <w:rFonts w:ascii="Arial" w:hAnsi="Arial" w:hint="default"/>
        <w:b/>
        <w:i w:val="0"/>
        <w:caps/>
        <w:strike w:val="0"/>
        <w:dstrike w:val="0"/>
        <w:vanish w:val="0"/>
        <w:color w:val="000000" w:themeColor="text1"/>
        <w:sz w:val="20"/>
        <w:u w:val="none"/>
        <w:vertAlign w:val="baseline"/>
      </w:rPr>
    </w:lvl>
    <w:lvl w:ilvl="2">
      <w:start w:val="3"/>
      <w:numFmt w:val="decimal"/>
      <w:isLgl/>
      <w:lvlText w:val="%1.%2.%3."/>
      <w:lvlJc w:val="left"/>
      <w:pPr>
        <w:tabs>
          <w:tab w:val="num" w:pos="1368"/>
        </w:tabs>
        <w:ind w:left="720" w:firstLine="0"/>
      </w:pPr>
      <w:rPr>
        <w:rFonts w:ascii="Arial" w:hAnsi="Arial" w:hint="default"/>
        <w:b/>
        <w:i w:val="0"/>
        <w:caps w:val="0"/>
        <w:strike w:val="0"/>
        <w:dstrike w:val="0"/>
        <w:vanish w:val="0"/>
        <w:color w:val="000000" w:themeColor="text1"/>
        <w:sz w:val="20"/>
        <w:u w:val="none"/>
        <w:vertAlign w:val="baseline"/>
      </w:rPr>
    </w:lvl>
    <w:lvl w:ilvl="3">
      <w:start w:val="1"/>
      <w:numFmt w:val="lowerRoman"/>
      <w:lvlText w:val="(%4)"/>
      <w:lvlJc w:val="left"/>
      <w:pPr>
        <w:tabs>
          <w:tab w:val="num" w:pos="1944"/>
        </w:tabs>
        <w:ind w:left="1440" w:firstLine="0"/>
      </w:pPr>
      <w:rPr>
        <w:rFonts w:hint="default"/>
        <w:b/>
        <w:i w:val="0"/>
        <w:caps w:val="0"/>
        <w:strike w:val="0"/>
        <w:dstrike w:val="0"/>
        <w:vanish w:val="0"/>
        <w:color w:val="000000" w:themeColor="text1"/>
        <w:sz w:val="20"/>
        <w:u w:val="none"/>
        <w:vertAlign w:val="baseline"/>
      </w:rPr>
    </w:lvl>
    <w:lvl w:ilvl="4">
      <w:start w:val="1"/>
      <w:numFmt w:val="lowerLetter"/>
      <w:lvlText w:val="(%5)"/>
      <w:lvlJc w:val="left"/>
      <w:pPr>
        <w:tabs>
          <w:tab w:val="num" w:pos="2448"/>
        </w:tabs>
        <w:ind w:left="1944" w:firstLine="0"/>
      </w:pPr>
      <w:rPr>
        <w:rFonts w:ascii="Arial" w:hAnsi="Arial" w:hint="default"/>
        <w:b/>
        <w:i w:val="0"/>
        <w:caps w:val="0"/>
        <w:strike w:val="0"/>
        <w:dstrike w:val="0"/>
        <w:vanish w:val="0"/>
        <w:color w:val="000000" w:themeColor="text1"/>
        <w:sz w:val="20"/>
        <w:u w:val="none"/>
        <w:vertAlign w:val="baseline"/>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1AB6FD6"/>
    <w:multiLevelType w:val="multilevel"/>
    <w:tmpl w:val="2BC21316"/>
    <w:lvl w:ilvl="0">
      <w:start w:val="6"/>
      <w:numFmt w:val="decimal"/>
      <w:lvlText w:val="%1."/>
      <w:lvlJc w:val="left"/>
      <w:pPr>
        <w:tabs>
          <w:tab w:val="num" w:pos="360"/>
        </w:tabs>
        <w:ind w:left="360" w:hanging="360"/>
      </w:pPr>
      <w:rPr>
        <w:b w:val="0"/>
        <w:bCs w:val="0"/>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9" w15:restartNumberingAfterBreak="0">
    <w:nsid w:val="43C942E7"/>
    <w:multiLevelType w:val="multilevel"/>
    <w:tmpl w:val="CC4AA878"/>
    <w:lvl w:ilvl="0">
      <w:start w:val="1"/>
      <w:numFmt w:val="decimal"/>
      <w:lvlText w:val="Part %1."/>
      <w:lvlJc w:val="left"/>
      <w:pPr>
        <w:tabs>
          <w:tab w:val="num" w:pos="1116"/>
        </w:tabs>
        <w:ind w:left="1116" w:hanging="936"/>
      </w:pPr>
      <w:rPr>
        <w:rFonts w:hint="default"/>
        <w:b/>
        <w:bCs w:val="0"/>
        <w:i w:val="0"/>
        <w:iCs w:val="0"/>
        <w:caps/>
        <w:smallCaps w:val="0"/>
        <w:strike w:val="0"/>
        <w:dstrike w:val="0"/>
        <w:outline w:val="0"/>
        <w:shadow w:val="0"/>
        <w:emboss w:val="0"/>
        <w:imprint w:val="0"/>
        <w:vanish w:val="0"/>
        <w:position w:val="0"/>
        <w:sz w:val="20"/>
        <w:u w:val="none"/>
        <w:effect w:val="none"/>
        <w:vertAlign w:val="baseline"/>
        <w14:ligatures w14:val="none"/>
        <w14:numForm w14:val="default"/>
        <w14:numSpacing w14:val="default"/>
        <w14:stylisticSets/>
        <w14:cntxtAlts w14:val="0"/>
      </w:rPr>
    </w:lvl>
    <w:lvl w:ilvl="1">
      <w:start w:val="1"/>
      <w:numFmt w:val="decimal"/>
      <w:lvlText w:val="%1.%2"/>
      <w:lvlJc w:val="left"/>
      <w:pPr>
        <w:tabs>
          <w:tab w:val="num" w:pos="720"/>
        </w:tabs>
        <w:ind w:left="0" w:firstLine="0"/>
      </w:pPr>
      <w:rPr>
        <w:rFonts w:hint="default"/>
        <w:b/>
        <w:i w:val="0"/>
        <w:caps/>
        <w:strike w:val="0"/>
        <w:dstrike w:val="0"/>
        <w:vanish w:val="0"/>
        <w:color w:val="000000" w:themeColor="text1"/>
        <w:sz w:val="20"/>
        <w:u w:val="none"/>
        <w:vertAlign w:val="baseline"/>
      </w:rPr>
    </w:lvl>
    <w:lvl w:ilvl="2">
      <w:start w:val="1"/>
      <w:numFmt w:val="decimal"/>
      <w:lvlText w:val="%1.%2.%3."/>
      <w:lvlJc w:val="left"/>
      <w:pPr>
        <w:tabs>
          <w:tab w:val="num" w:pos="1998"/>
        </w:tabs>
        <w:ind w:left="1350" w:firstLine="0"/>
      </w:pPr>
      <w:rPr>
        <w:rFonts w:hint="default"/>
        <w:b/>
        <w:bCs/>
      </w:rPr>
    </w:lvl>
    <w:lvl w:ilvl="3">
      <w:start w:val="2"/>
      <w:numFmt w:val="lowerRoman"/>
      <w:lvlText w:val="(%4)"/>
      <w:lvlJc w:val="left"/>
      <w:pPr>
        <w:tabs>
          <w:tab w:val="num" w:pos="1944"/>
        </w:tabs>
        <w:ind w:left="1440" w:firstLine="0"/>
      </w:pPr>
      <w:rPr>
        <w:rFonts w:hint="default"/>
        <w:b/>
        <w:i w:val="0"/>
        <w:caps w:val="0"/>
        <w:strike w:val="0"/>
        <w:dstrike w:val="0"/>
        <w:vanish w:val="0"/>
        <w:color w:val="000000" w:themeColor="text1"/>
        <w:sz w:val="20"/>
        <w:u w:val="none"/>
        <w:vertAlign w:val="baseline"/>
      </w:rPr>
    </w:lvl>
    <w:lvl w:ilvl="4">
      <w:start w:val="1"/>
      <w:numFmt w:val="lowerLetter"/>
      <w:lvlText w:val="(%5)"/>
      <w:lvlJc w:val="left"/>
      <w:pPr>
        <w:tabs>
          <w:tab w:val="num" w:pos="2448"/>
        </w:tabs>
        <w:ind w:left="1944" w:firstLine="0"/>
      </w:pPr>
      <w:rPr>
        <w:rFonts w:hint="default"/>
        <w:b/>
        <w:i w:val="0"/>
        <w:caps w:val="0"/>
        <w:strike w:val="0"/>
        <w:dstrike w:val="0"/>
        <w:vanish w:val="0"/>
        <w:color w:val="000000" w:themeColor="text1"/>
        <w:sz w:val="20"/>
        <w:u w:val="none"/>
        <w:vertAlign w:val="baseline"/>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C7E46C8"/>
    <w:multiLevelType w:val="multilevel"/>
    <w:tmpl w:val="2576A890"/>
    <w:lvl w:ilvl="0">
      <w:start w:val="1"/>
      <w:numFmt w:val="decimal"/>
      <w:isLgl/>
      <w:lvlText w:val="PART %1."/>
      <w:lvlJc w:val="left"/>
      <w:pPr>
        <w:tabs>
          <w:tab w:val="num" w:pos="1152"/>
        </w:tabs>
        <w:ind w:left="1152" w:hanging="1152"/>
      </w:pPr>
      <w:rPr>
        <w:rFonts w:ascii="Arial Bold" w:hAnsi="Arial Bold" w:hint="default"/>
        <w:b/>
        <w:i w:val="0"/>
        <w:caps/>
        <w:strike w:val="0"/>
        <w:dstrike w:val="0"/>
        <w:vanish w:val="0"/>
        <w:color w:val="auto"/>
        <w:sz w:val="20"/>
        <w:u w:val="single"/>
        <w:vertAlign w:val="baseline"/>
      </w:rPr>
    </w:lvl>
    <w:lvl w:ilvl="1">
      <w:start w:val="1"/>
      <w:numFmt w:val="decimal"/>
      <w:isLgl/>
      <w:lvlText w:val="%1.%2."/>
      <w:lvlJc w:val="left"/>
      <w:pPr>
        <w:tabs>
          <w:tab w:val="num" w:pos="1152"/>
        </w:tabs>
        <w:ind w:left="1152" w:hanging="576"/>
      </w:pPr>
      <w:rPr>
        <w:rFonts w:ascii="Arial Bold" w:hAnsi="Arial Bold" w:hint="default"/>
        <w:b/>
        <w:i w:val="0"/>
        <w:caps w:val="0"/>
        <w:strike w:val="0"/>
        <w:dstrike w:val="0"/>
        <w:vanish w:val="0"/>
        <w:color w:val="auto"/>
        <w:sz w:val="20"/>
        <w:u w:val="none"/>
        <w:vertAlign w:val="baseline"/>
      </w:rPr>
    </w:lvl>
    <w:lvl w:ilvl="2">
      <w:start w:val="1"/>
      <w:numFmt w:val="decimal"/>
      <w:isLgl/>
      <w:lvlText w:val="%1.%2.%3."/>
      <w:lvlJc w:val="left"/>
      <w:pPr>
        <w:tabs>
          <w:tab w:val="num" w:pos="1872"/>
        </w:tabs>
        <w:ind w:left="1152" w:firstLine="0"/>
      </w:pPr>
      <w:rPr>
        <w:rFonts w:ascii="Arial Bold" w:hAnsi="Arial Bold" w:hint="default"/>
        <w:b w:val="0"/>
        <w:bCs/>
        <w:i w:val="0"/>
        <w:caps w:val="0"/>
        <w:strike w:val="0"/>
        <w:dstrike w:val="0"/>
        <w:vanish w:val="0"/>
        <w:color w:val="auto"/>
        <w:sz w:val="20"/>
        <w:u w:val="none"/>
        <w:vertAlign w:val="baseline"/>
      </w:rPr>
    </w:lvl>
    <w:lvl w:ilvl="3">
      <w:start w:val="1"/>
      <w:numFmt w:val="upperLetter"/>
      <w:lvlText w:val="%4."/>
      <w:lvlJc w:val="left"/>
      <w:pPr>
        <w:tabs>
          <w:tab w:val="num" w:pos="1728"/>
        </w:tabs>
        <w:ind w:left="1584" w:firstLine="0"/>
      </w:pPr>
      <w:rPr>
        <w:rFonts w:ascii="Arial Bold" w:hAnsi="Arial Bold" w:hint="default"/>
        <w:b w:val="0"/>
        <w:bCs/>
        <w:i w:val="0"/>
        <w:caps w:val="0"/>
        <w:strike w:val="0"/>
        <w:dstrike w:val="0"/>
        <w:vanish w:val="0"/>
        <w:color w:val="auto"/>
        <w:sz w:val="20"/>
        <w:u w:val="none"/>
        <w:vertAlign w:val="baseline"/>
      </w:rPr>
    </w:lvl>
    <w:lvl w:ilvl="4">
      <w:start w:val="1"/>
      <w:numFmt w:val="lowerRoman"/>
      <w:lvlText w:val="(%5)."/>
      <w:lvlJc w:val="left"/>
      <w:pPr>
        <w:tabs>
          <w:tab w:val="num" w:pos="2304"/>
        </w:tabs>
        <w:ind w:left="1872" w:firstLine="0"/>
      </w:pPr>
      <w:rPr>
        <w:rFonts w:ascii="Arial Bold" w:hAnsi="Arial Bold" w:hint="default"/>
        <w:b/>
        <w:bCs w:val="0"/>
        <w:i w:val="0"/>
        <w:sz w:val="20"/>
      </w:rPr>
    </w:lvl>
    <w:lvl w:ilvl="5">
      <w:start w:val="1"/>
      <w:numFmt w:val="lowerLetter"/>
      <w:lvlText w:val="(%6)"/>
      <w:lvlJc w:val="left"/>
      <w:pPr>
        <w:tabs>
          <w:tab w:val="num" w:pos="2088"/>
        </w:tabs>
        <w:ind w:left="2088" w:firstLine="0"/>
      </w:pPr>
      <w:rPr>
        <w:rFonts w:ascii="Arial Bold" w:hAnsi="Arial Bold" w:hint="default"/>
        <w:b/>
        <w:i w:val="0"/>
        <w:sz w:val="20"/>
      </w:rPr>
    </w:lvl>
    <w:lvl w:ilvl="6">
      <w:start w:val="1"/>
      <w:numFmt w:val="decimalZero"/>
      <w:lvlText w:val="(%7)"/>
      <w:lvlJc w:val="left"/>
      <w:pPr>
        <w:tabs>
          <w:tab w:val="num" w:pos="2736"/>
        </w:tabs>
        <w:ind w:left="2736" w:firstLine="0"/>
      </w:pPr>
      <w:rPr>
        <w:rFonts w:ascii="Arial Bold" w:hAnsi="Arial Bold" w:hint="default"/>
        <w:b/>
        <w:i w:val="0"/>
        <w:caps w:val="0"/>
        <w:strike w:val="0"/>
        <w:dstrike w:val="0"/>
        <w:vanish w:val="0"/>
        <w:color w:val="auto"/>
        <w:sz w:val="20"/>
        <w:u w:val="none"/>
        <w:vertAlign w:val="baseline"/>
      </w:rPr>
    </w:lvl>
    <w:lvl w:ilvl="7">
      <w:start w:val="1"/>
      <w:numFmt w:val="bullet"/>
      <w:lvlText w:val=""/>
      <w:lvlJc w:val="left"/>
      <w:pPr>
        <w:tabs>
          <w:tab w:val="num" w:pos="3456"/>
        </w:tabs>
        <w:ind w:left="3024" w:firstLine="0"/>
      </w:pPr>
      <w:rPr>
        <w:rFonts w:ascii="Symbol" w:hAnsi="Symbol" w:hint="default"/>
        <w:b w:val="0"/>
        <w:i w:val="0"/>
        <w:caps w:val="0"/>
        <w:strike w:val="0"/>
        <w:dstrike w:val="0"/>
        <w:vanish w:val="0"/>
        <w:color w:val="auto"/>
        <w:sz w:val="24"/>
        <w:u w:val="none"/>
        <w:vertAlign w:val="baseline"/>
      </w:rPr>
    </w:lvl>
    <w:lvl w:ilvl="8">
      <w:start w:val="1"/>
      <w:numFmt w:val="bullet"/>
      <w:lvlText w:val=""/>
      <w:lvlJc w:val="left"/>
      <w:pPr>
        <w:tabs>
          <w:tab w:val="num" w:pos="3744"/>
        </w:tabs>
        <w:ind w:left="3384" w:firstLine="0"/>
      </w:pPr>
      <w:rPr>
        <w:rFonts w:ascii="Symbol" w:hAnsi="Symbol" w:hint="default"/>
        <w:strike w:val="0"/>
        <w:dstrike w:val="0"/>
        <w:color w:val="auto"/>
      </w:rPr>
    </w:lvl>
  </w:abstractNum>
  <w:abstractNum w:abstractNumId="31" w15:restartNumberingAfterBreak="0">
    <w:nsid w:val="5DF25CC3"/>
    <w:multiLevelType w:val="multilevel"/>
    <w:tmpl w:val="CC4AA878"/>
    <w:lvl w:ilvl="0">
      <w:start w:val="1"/>
      <w:numFmt w:val="decimal"/>
      <w:lvlText w:val="Part %1."/>
      <w:lvlJc w:val="left"/>
      <w:pPr>
        <w:tabs>
          <w:tab w:val="num" w:pos="1116"/>
        </w:tabs>
        <w:ind w:left="1116" w:hanging="936"/>
      </w:pPr>
      <w:rPr>
        <w:rFonts w:hint="default"/>
        <w:b/>
        <w:bCs w:val="0"/>
        <w:i w:val="0"/>
        <w:iCs w:val="0"/>
        <w:caps/>
        <w:smallCaps w:val="0"/>
        <w:strike w:val="0"/>
        <w:dstrike w:val="0"/>
        <w:outline w:val="0"/>
        <w:shadow w:val="0"/>
        <w:emboss w:val="0"/>
        <w:imprint w:val="0"/>
        <w:vanish w:val="0"/>
        <w:position w:val="0"/>
        <w:sz w:val="20"/>
        <w:u w:val="none"/>
        <w:effect w:val="none"/>
        <w:vertAlign w:val="baseline"/>
        <w14:ligatures w14:val="none"/>
        <w14:numForm w14:val="default"/>
        <w14:numSpacing w14:val="default"/>
        <w14:stylisticSets/>
        <w14:cntxtAlts w14:val="0"/>
      </w:rPr>
    </w:lvl>
    <w:lvl w:ilvl="1">
      <w:start w:val="1"/>
      <w:numFmt w:val="decimal"/>
      <w:lvlText w:val="%1.%2"/>
      <w:lvlJc w:val="left"/>
      <w:pPr>
        <w:tabs>
          <w:tab w:val="num" w:pos="720"/>
        </w:tabs>
        <w:ind w:left="0" w:firstLine="0"/>
      </w:pPr>
      <w:rPr>
        <w:rFonts w:hint="default"/>
        <w:b/>
        <w:i w:val="0"/>
        <w:caps/>
        <w:strike w:val="0"/>
        <w:dstrike w:val="0"/>
        <w:vanish w:val="0"/>
        <w:color w:val="000000" w:themeColor="text1"/>
        <w:sz w:val="20"/>
        <w:u w:val="none"/>
        <w:vertAlign w:val="baseline"/>
      </w:rPr>
    </w:lvl>
    <w:lvl w:ilvl="2">
      <w:start w:val="1"/>
      <w:numFmt w:val="decimal"/>
      <w:lvlText w:val="%1.%2.%3."/>
      <w:lvlJc w:val="left"/>
      <w:pPr>
        <w:tabs>
          <w:tab w:val="num" w:pos="1998"/>
        </w:tabs>
        <w:ind w:left="1350" w:firstLine="0"/>
      </w:pPr>
      <w:rPr>
        <w:rFonts w:hint="default"/>
        <w:b/>
        <w:bCs/>
      </w:rPr>
    </w:lvl>
    <w:lvl w:ilvl="3">
      <w:start w:val="2"/>
      <w:numFmt w:val="lowerRoman"/>
      <w:lvlText w:val="(%4)"/>
      <w:lvlJc w:val="left"/>
      <w:pPr>
        <w:tabs>
          <w:tab w:val="num" w:pos="1944"/>
        </w:tabs>
        <w:ind w:left="1440" w:firstLine="0"/>
      </w:pPr>
      <w:rPr>
        <w:rFonts w:hint="default"/>
        <w:b/>
        <w:i w:val="0"/>
        <w:caps w:val="0"/>
        <w:strike w:val="0"/>
        <w:dstrike w:val="0"/>
        <w:vanish w:val="0"/>
        <w:color w:val="000000" w:themeColor="text1"/>
        <w:sz w:val="20"/>
        <w:u w:val="none"/>
        <w:vertAlign w:val="baseline"/>
      </w:rPr>
    </w:lvl>
    <w:lvl w:ilvl="4">
      <w:start w:val="1"/>
      <w:numFmt w:val="lowerLetter"/>
      <w:lvlText w:val="(%5)"/>
      <w:lvlJc w:val="left"/>
      <w:pPr>
        <w:tabs>
          <w:tab w:val="num" w:pos="2448"/>
        </w:tabs>
        <w:ind w:left="1944" w:firstLine="0"/>
      </w:pPr>
      <w:rPr>
        <w:rFonts w:hint="default"/>
        <w:b/>
        <w:i w:val="0"/>
        <w:caps w:val="0"/>
        <w:strike w:val="0"/>
        <w:dstrike w:val="0"/>
        <w:vanish w:val="0"/>
        <w:color w:val="000000" w:themeColor="text1"/>
        <w:sz w:val="20"/>
        <w:u w:val="none"/>
        <w:vertAlign w:val="baseline"/>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0056281"/>
    <w:multiLevelType w:val="multilevel"/>
    <w:tmpl w:val="2278972E"/>
    <w:styleLink w:val="zGzListStyle3"/>
    <w:lvl w:ilvl="0">
      <w:start w:val="1"/>
      <w:numFmt w:val="none"/>
      <w:lvlText w:val="1."/>
      <w:lvlJc w:val="left"/>
      <w:pPr>
        <w:ind w:left="1440" w:hanging="360"/>
      </w:pPr>
      <w:rPr>
        <w:rFonts w:ascii="Arial Bold" w:hAnsi="Arial Bold" w:hint="default"/>
        <w:b/>
        <w:i w:val="0"/>
        <w:sz w:val="20"/>
      </w:rPr>
    </w:lvl>
    <w:lvl w:ilvl="1">
      <w:start w:val="1"/>
      <w:numFmt w:val="lowerLetter"/>
      <w:lvlText w:val="%2)"/>
      <w:lvlJc w:val="left"/>
      <w:pPr>
        <w:ind w:left="1800" w:hanging="360"/>
      </w:pPr>
      <w:rPr>
        <w:rFonts w:hint="default"/>
      </w:rPr>
    </w:lvl>
    <w:lvl w:ilvl="2">
      <w:start w:val="1"/>
      <w:numFmt w:val="lowerRoman"/>
      <w:lvlText w:val="%3)"/>
      <w:lvlJc w:val="left"/>
      <w:pPr>
        <w:ind w:left="2160" w:hanging="360"/>
      </w:pPr>
      <w:rPr>
        <w:rFonts w:hint="default"/>
      </w:rPr>
    </w:lvl>
    <w:lvl w:ilvl="3">
      <w:start w:val="1"/>
      <w:numFmt w:val="decimal"/>
      <w:lvlText w:val="(%4)"/>
      <w:lvlJc w:val="left"/>
      <w:pPr>
        <w:ind w:left="2520" w:hanging="360"/>
      </w:pPr>
      <w:rPr>
        <w:rFonts w:ascii="Arial" w:hAnsi="Arial" w:hint="default"/>
        <w:b/>
        <w:sz w:val="20"/>
      </w:rPr>
    </w:lvl>
    <w:lvl w:ilvl="4">
      <w:start w:val="1"/>
      <w:numFmt w:val="lowerLetter"/>
      <w:lvlText w:val="(%5)"/>
      <w:lvlJc w:val="left"/>
      <w:pPr>
        <w:ind w:left="2880" w:hanging="360"/>
      </w:pPr>
      <w:rPr>
        <w:rFonts w:hint="default"/>
      </w:rPr>
    </w:lvl>
    <w:lvl w:ilvl="5">
      <w:start w:val="1"/>
      <w:numFmt w:val="lowerRoman"/>
      <w:lvlText w:val="(%6)"/>
      <w:lvlJc w:val="left"/>
      <w:pPr>
        <w:ind w:left="3240" w:hanging="360"/>
      </w:pPr>
      <w:rPr>
        <w:rFonts w:hint="default"/>
      </w:rPr>
    </w:lvl>
    <w:lvl w:ilvl="6">
      <w:start w:val="1"/>
      <w:numFmt w:val="decimal"/>
      <w:lvlText w:val="%7."/>
      <w:lvlJc w:val="left"/>
      <w:pPr>
        <w:ind w:left="3600" w:hanging="360"/>
      </w:pPr>
      <w:rPr>
        <w:rFonts w:hint="default"/>
      </w:rPr>
    </w:lvl>
    <w:lvl w:ilvl="7">
      <w:start w:val="1"/>
      <w:numFmt w:val="lowerLetter"/>
      <w:lvlText w:val="%8."/>
      <w:lvlJc w:val="left"/>
      <w:pPr>
        <w:ind w:left="3960" w:hanging="360"/>
      </w:pPr>
      <w:rPr>
        <w:rFonts w:hint="default"/>
      </w:rPr>
    </w:lvl>
    <w:lvl w:ilvl="8">
      <w:start w:val="1"/>
      <w:numFmt w:val="lowerRoman"/>
      <w:lvlText w:val="%9."/>
      <w:lvlJc w:val="left"/>
      <w:pPr>
        <w:ind w:left="4320" w:hanging="360"/>
      </w:pPr>
      <w:rPr>
        <w:rFonts w:hint="default"/>
      </w:rPr>
    </w:lvl>
  </w:abstractNum>
  <w:abstractNum w:abstractNumId="33" w15:restartNumberingAfterBreak="0">
    <w:nsid w:val="61F373C1"/>
    <w:multiLevelType w:val="multilevel"/>
    <w:tmpl w:val="12FA696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4F313E7"/>
    <w:multiLevelType w:val="multilevel"/>
    <w:tmpl w:val="2576A890"/>
    <w:lvl w:ilvl="0">
      <w:start w:val="1"/>
      <w:numFmt w:val="decimal"/>
      <w:isLgl/>
      <w:lvlText w:val="PART %1."/>
      <w:lvlJc w:val="left"/>
      <w:pPr>
        <w:tabs>
          <w:tab w:val="num" w:pos="1152"/>
        </w:tabs>
        <w:ind w:left="1152" w:hanging="1152"/>
      </w:pPr>
      <w:rPr>
        <w:rFonts w:ascii="Arial Bold" w:hAnsi="Arial Bold" w:hint="default"/>
        <w:b/>
        <w:i w:val="0"/>
        <w:caps/>
        <w:strike w:val="0"/>
        <w:dstrike w:val="0"/>
        <w:vanish w:val="0"/>
        <w:color w:val="auto"/>
        <w:sz w:val="20"/>
        <w:u w:val="single"/>
        <w:vertAlign w:val="baseline"/>
      </w:rPr>
    </w:lvl>
    <w:lvl w:ilvl="1">
      <w:start w:val="1"/>
      <w:numFmt w:val="decimal"/>
      <w:isLgl/>
      <w:lvlText w:val="%1.%2."/>
      <w:lvlJc w:val="left"/>
      <w:pPr>
        <w:tabs>
          <w:tab w:val="num" w:pos="1152"/>
        </w:tabs>
        <w:ind w:left="1152" w:hanging="576"/>
      </w:pPr>
      <w:rPr>
        <w:rFonts w:ascii="Arial Bold" w:hAnsi="Arial Bold" w:hint="default"/>
        <w:b/>
        <w:i w:val="0"/>
        <w:caps w:val="0"/>
        <w:strike w:val="0"/>
        <w:dstrike w:val="0"/>
        <w:vanish w:val="0"/>
        <w:color w:val="auto"/>
        <w:sz w:val="20"/>
        <w:u w:val="none"/>
        <w:vertAlign w:val="baseline"/>
      </w:rPr>
    </w:lvl>
    <w:lvl w:ilvl="2">
      <w:start w:val="1"/>
      <w:numFmt w:val="decimal"/>
      <w:isLgl/>
      <w:lvlText w:val="%1.%2.%3."/>
      <w:lvlJc w:val="left"/>
      <w:pPr>
        <w:tabs>
          <w:tab w:val="num" w:pos="1872"/>
        </w:tabs>
        <w:ind w:left="1152" w:firstLine="0"/>
      </w:pPr>
      <w:rPr>
        <w:rFonts w:ascii="Arial Bold" w:hAnsi="Arial Bold" w:hint="default"/>
        <w:b w:val="0"/>
        <w:bCs/>
        <w:i w:val="0"/>
        <w:caps w:val="0"/>
        <w:strike w:val="0"/>
        <w:dstrike w:val="0"/>
        <w:vanish w:val="0"/>
        <w:color w:val="auto"/>
        <w:sz w:val="20"/>
        <w:u w:val="none"/>
        <w:vertAlign w:val="baseline"/>
      </w:rPr>
    </w:lvl>
    <w:lvl w:ilvl="3">
      <w:start w:val="1"/>
      <w:numFmt w:val="upperLetter"/>
      <w:lvlText w:val="%4."/>
      <w:lvlJc w:val="left"/>
      <w:pPr>
        <w:tabs>
          <w:tab w:val="num" w:pos="1728"/>
        </w:tabs>
        <w:ind w:left="1584" w:firstLine="0"/>
      </w:pPr>
      <w:rPr>
        <w:rFonts w:ascii="Arial Bold" w:hAnsi="Arial Bold" w:hint="default"/>
        <w:b w:val="0"/>
        <w:bCs/>
        <w:i w:val="0"/>
        <w:caps w:val="0"/>
        <w:strike w:val="0"/>
        <w:dstrike w:val="0"/>
        <w:vanish w:val="0"/>
        <w:color w:val="auto"/>
        <w:sz w:val="20"/>
        <w:u w:val="none"/>
        <w:vertAlign w:val="baseline"/>
      </w:rPr>
    </w:lvl>
    <w:lvl w:ilvl="4">
      <w:start w:val="1"/>
      <w:numFmt w:val="lowerRoman"/>
      <w:lvlText w:val="(%5)."/>
      <w:lvlJc w:val="left"/>
      <w:pPr>
        <w:tabs>
          <w:tab w:val="num" w:pos="2304"/>
        </w:tabs>
        <w:ind w:left="1872" w:firstLine="0"/>
      </w:pPr>
      <w:rPr>
        <w:rFonts w:ascii="Arial Bold" w:hAnsi="Arial Bold" w:hint="default"/>
        <w:b/>
        <w:bCs w:val="0"/>
        <w:i w:val="0"/>
        <w:sz w:val="20"/>
      </w:rPr>
    </w:lvl>
    <w:lvl w:ilvl="5">
      <w:start w:val="1"/>
      <w:numFmt w:val="lowerLetter"/>
      <w:lvlText w:val="(%6)"/>
      <w:lvlJc w:val="left"/>
      <w:pPr>
        <w:tabs>
          <w:tab w:val="num" w:pos="2088"/>
        </w:tabs>
        <w:ind w:left="2088" w:firstLine="0"/>
      </w:pPr>
      <w:rPr>
        <w:rFonts w:ascii="Arial Bold" w:hAnsi="Arial Bold" w:hint="default"/>
        <w:b/>
        <w:i w:val="0"/>
        <w:sz w:val="20"/>
      </w:rPr>
    </w:lvl>
    <w:lvl w:ilvl="6">
      <w:start w:val="1"/>
      <w:numFmt w:val="decimalZero"/>
      <w:lvlText w:val="(%7)"/>
      <w:lvlJc w:val="left"/>
      <w:pPr>
        <w:tabs>
          <w:tab w:val="num" w:pos="2736"/>
        </w:tabs>
        <w:ind w:left="2736" w:firstLine="0"/>
      </w:pPr>
      <w:rPr>
        <w:rFonts w:ascii="Arial Bold" w:hAnsi="Arial Bold" w:hint="default"/>
        <w:b/>
        <w:i w:val="0"/>
        <w:caps w:val="0"/>
        <w:strike w:val="0"/>
        <w:dstrike w:val="0"/>
        <w:vanish w:val="0"/>
        <w:color w:val="auto"/>
        <w:sz w:val="20"/>
        <w:u w:val="none"/>
        <w:vertAlign w:val="baseline"/>
      </w:rPr>
    </w:lvl>
    <w:lvl w:ilvl="7">
      <w:start w:val="1"/>
      <w:numFmt w:val="bullet"/>
      <w:lvlText w:val=""/>
      <w:lvlJc w:val="left"/>
      <w:pPr>
        <w:tabs>
          <w:tab w:val="num" w:pos="3456"/>
        </w:tabs>
        <w:ind w:left="3024" w:firstLine="0"/>
      </w:pPr>
      <w:rPr>
        <w:rFonts w:ascii="Symbol" w:hAnsi="Symbol" w:hint="default"/>
        <w:b w:val="0"/>
        <w:i w:val="0"/>
        <w:caps w:val="0"/>
        <w:strike w:val="0"/>
        <w:dstrike w:val="0"/>
        <w:vanish w:val="0"/>
        <w:color w:val="auto"/>
        <w:sz w:val="24"/>
        <w:u w:val="none"/>
        <w:vertAlign w:val="baseline"/>
      </w:rPr>
    </w:lvl>
    <w:lvl w:ilvl="8">
      <w:start w:val="1"/>
      <w:numFmt w:val="bullet"/>
      <w:lvlText w:val=""/>
      <w:lvlJc w:val="left"/>
      <w:pPr>
        <w:tabs>
          <w:tab w:val="num" w:pos="3744"/>
        </w:tabs>
        <w:ind w:left="3384" w:firstLine="0"/>
      </w:pPr>
      <w:rPr>
        <w:rFonts w:ascii="Symbol" w:hAnsi="Symbol" w:hint="default"/>
        <w:strike w:val="0"/>
        <w:dstrike w:val="0"/>
        <w:color w:val="auto"/>
      </w:rPr>
    </w:lvl>
  </w:abstractNum>
  <w:abstractNum w:abstractNumId="35" w15:restartNumberingAfterBreak="0">
    <w:nsid w:val="69331D87"/>
    <w:multiLevelType w:val="hybridMultilevel"/>
    <w:tmpl w:val="D92C270A"/>
    <w:name w:val="Heading3"/>
    <w:lvl w:ilvl="0" w:tplc="2ECEDA62">
      <w:start w:val="1"/>
      <w:numFmt w:val="bullet"/>
      <w:lvlText w:val=""/>
      <w:lvlJc w:val="left"/>
      <w:pPr>
        <w:ind w:left="1440" w:hanging="360"/>
      </w:pPr>
      <w:rPr>
        <w:rFonts w:ascii="Wingdings" w:hAnsi="Wingdings" w:hint="default"/>
      </w:rPr>
    </w:lvl>
    <w:lvl w:ilvl="1" w:tplc="5DF60B9E" w:tentative="1">
      <w:start w:val="1"/>
      <w:numFmt w:val="bullet"/>
      <w:lvlText w:val="o"/>
      <w:lvlJc w:val="left"/>
      <w:pPr>
        <w:ind w:left="2160" w:hanging="360"/>
      </w:pPr>
      <w:rPr>
        <w:rFonts w:ascii="Courier New" w:hAnsi="Courier New" w:cs="Courier New" w:hint="default"/>
      </w:rPr>
    </w:lvl>
    <w:lvl w:ilvl="2" w:tplc="1668F51A" w:tentative="1">
      <w:start w:val="1"/>
      <w:numFmt w:val="bullet"/>
      <w:lvlText w:val=""/>
      <w:lvlJc w:val="left"/>
      <w:pPr>
        <w:ind w:left="2880" w:hanging="360"/>
      </w:pPr>
      <w:rPr>
        <w:rFonts w:ascii="Wingdings" w:hAnsi="Wingdings" w:hint="default"/>
      </w:rPr>
    </w:lvl>
    <w:lvl w:ilvl="3" w:tplc="7CA6485E" w:tentative="1">
      <w:start w:val="1"/>
      <w:numFmt w:val="bullet"/>
      <w:lvlText w:val=""/>
      <w:lvlJc w:val="left"/>
      <w:pPr>
        <w:ind w:left="3600" w:hanging="360"/>
      </w:pPr>
      <w:rPr>
        <w:rFonts w:ascii="Symbol" w:hAnsi="Symbol" w:hint="default"/>
      </w:rPr>
    </w:lvl>
    <w:lvl w:ilvl="4" w:tplc="CDA8281C" w:tentative="1">
      <w:start w:val="1"/>
      <w:numFmt w:val="bullet"/>
      <w:lvlText w:val="o"/>
      <w:lvlJc w:val="left"/>
      <w:pPr>
        <w:ind w:left="4320" w:hanging="360"/>
      </w:pPr>
      <w:rPr>
        <w:rFonts w:ascii="Courier New" w:hAnsi="Courier New" w:cs="Courier New" w:hint="default"/>
      </w:rPr>
    </w:lvl>
    <w:lvl w:ilvl="5" w:tplc="028E6954" w:tentative="1">
      <w:start w:val="1"/>
      <w:numFmt w:val="bullet"/>
      <w:lvlText w:val=""/>
      <w:lvlJc w:val="left"/>
      <w:pPr>
        <w:ind w:left="5040" w:hanging="360"/>
      </w:pPr>
      <w:rPr>
        <w:rFonts w:ascii="Wingdings" w:hAnsi="Wingdings" w:hint="default"/>
      </w:rPr>
    </w:lvl>
    <w:lvl w:ilvl="6" w:tplc="41908182" w:tentative="1">
      <w:start w:val="1"/>
      <w:numFmt w:val="bullet"/>
      <w:lvlText w:val=""/>
      <w:lvlJc w:val="left"/>
      <w:pPr>
        <w:ind w:left="5760" w:hanging="360"/>
      </w:pPr>
      <w:rPr>
        <w:rFonts w:ascii="Symbol" w:hAnsi="Symbol" w:hint="default"/>
      </w:rPr>
    </w:lvl>
    <w:lvl w:ilvl="7" w:tplc="E19CC51E" w:tentative="1">
      <w:start w:val="1"/>
      <w:numFmt w:val="bullet"/>
      <w:lvlText w:val="o"/>
      <w:lvlJc w:val="left"/>
      <w:pPr>
        <w:ind w:left="6480" w:hanging="360"/>
      </w:pPr>
      <w:rPr>
        <w:rFonts w:ascii="Courier New" w:hAnsi="Courier New" w:cs="Courier New" w:hint="default"/>
      </w:rPr>
    </w:lvl>
    <w:lvl w:ilvl="8" w:tplc="8A4E3F00" w:tentative="1">
      <w:start w:val="1"/>
      <w:numFmt w:val="bullet"/>
      <w:lvlText w:val=""/>
      <w:lvlJc w:val="left"/>
      <w:pPr>
        <w:ind w:left="7200" w:hanging="360"/>
      </w:pPr>
      <w:rPr>
        <w:rFonts w:ascii="Wingdings" w:hAnsi="Wingdings" w:hint="default"/>
      </w:rPr>
    </w:lvl>
  </w:abstractNum>
  <w:abstractNum w:abstractNumId="36" w15:restartNumberingAfterBreak="0">
    <w:nsid w:val="6D756D7F"/>
    <w:multiLevelType w:val="multilevel"/>
    <w:tmpl w:val="499401DA"/>
    <w:styleLink w:val="zGzListStyle1"/>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37519BE"/>
    <w:multiLevelType w:val="multilevel"/>
    <w:tmpl w:val="2576A890"/>
    <w:lvl w:ilvl="0">
      <w:start w:val="1"/>
      <w:numFmt w:val="decimal"/>
      <w:isLgl/>
      <w:lvlText w:val="PART %1."/>
      <w:lvlJc w:val="left"/>
      <w:pPr>
        <w:tabs>
          <w:tab w:val="num" w:pos="1152"/>
        </w:tabs>
        <w:ind w:left="1152" w:hanging="1152"/>
      </w:pPr>
      <w:rPr>
        <w:rFonts w:ascii="Arial Bold" w:hAnsi="Arial Bold" w:hint="default"/>
        <w:b/>
        <w:i w:val="0"/>
        <w:caps/>
        <w:strike w:val="0"/>
        <w:dstrike w:val="0"/>
        <w:vanish w:val="0"/>
        <w:color w:val="auto"/>
        <w:sz w:val="20"/>
        <w:u w:val="single"/>
        <w:vertAlign w:val="baseline"/>
      </w:rPr>
    </w:lvl>
    <w:lvl w:ilvl="1">
      <w:start w:val="1"/>
      <w:numFmt w:val="decimal"/>
      <w:isLgl/>
      <w:lvlText w:val="%1.%2."/>
      <w:lvlJc w:val="left"/>
      <w:pPr>
        <w:tabs>
          <w:tab w:val="num" w:pos="1152"/>
        </w:tabs>
        <w:ind w:left="1152" w:hanging="576"/>
      </w:pPr>
      <w:rPr>
        <w:rFonts w:ascii="Arial Bold" w:hAnsi="Arial Bold" w:hint="default"/>
        <w:b/>
        <w:i w:val="0"/>
        <w:caps w:val="0"/>
        <w:strike w:val="0"/>
        <w:dstrike w:val="0"/>
        <w:vanish w:val="0"/>
        <w:color w:val="auto"/>
        <w:sz w:val="20"/>
        <w:u w:val="none"/>
        <w:vertAlign w:val="baseline"/>
      </w:rPr>
    </w:lvl>
    <w:lvl w:ilvl="2">
      <w:start w:val="1"/>
      <w:numFmt w:val="decimal"/>
      <w:isLgl/>
      <w:lvlText w:val="%1.%2.%3."/>
      <w:lvlJc w:val="left"/>
      <w:pPr>
        <w:tabs>
          <w:tab w:val="num" w:pos="1872"/>
        </w:tabs>
        <w:ind w:left="1152" w:firstLine="0"/>
      </w:pPr>
      <w:rPr>
        <w:rFonts w:ascii="Arial Bold" w:hAnsi="Arial Bold" w:hint="default"/>
        <w:b w:val="0"/>
        <w:bCs/>
        <w:i w:val="0"/>
        <w:caps w:val="0"/>
        <w:strike w:val="0"/>
        <w:dstrike w:val="0"/>
        <w:vanish w:val="0"/>
        <w:color w:val="auto"/>
        <w:sz w:val="20"/>
        <w:u w:val="none"/>
        <w:vertAlign w:val="baseline"/>
      </w:rPr>
    </w:lvl>
    <w:lvl w:ilvl="3">
      <w:start w:val="1"/>
      <w:numFmt w:val="upperLetter"/>
      <w:lvlText w:val="%4."/>
      <w:lvlJc w:val="left"/>
      <w:pPr>
        <w:tabs>
          <w:tab w:val="num" w:pos="1728"/>
        </w:tabs>
        <w:ind w:left="1584" w:firstLine="0"/>
      </w:pPr>
      <w:rPr>
        <w:rFonts w:ascii="Arial Bold" w:hAnsi="Arial Bold" w:hint="default"/>
        <w:b w:val="0"/>
        <w:bCs/>
        <w:i w:val="0"/>
        <w:caps w:val="0"/>
        <w:strike w:val="0"/>
        <w:dstrike w:val="0"/>
        <w:vanish w:val="0"/>
        <w:color w:val="auto"/>
        <w:sz w:val="20"/>
        <w:u w:val="none"/>
        <w:vertAlign w:val="baseline"/>
      </w:rPr>
    </w:lvl>
    <w:lvl w:ilvl="4">
      <w:start w:val="1"/>
      <w:numFmt w:val="lowerRoman"/>
      <w:lvlText w:val="(%5)."/>
      <w:lvlJc w:val="left"/>
      <w:pPr>
        <w:tabs>
          <w:tab w:val="num" w:pos="2304"/>
        </w:tabs>
        <w:ind w:left="1872" w:firstLine="0"/>
      </w:pPr>
      <w:rPr>
        <w:rFonts w:ascii="Arial Bold" w:hAnsi="Arial Bold" w:hint="default"/>
        <w:b/>
        <w:bCs w:val="0"/>
        <w:i w:val="0"/>
        <w:sz w:val="20"/>
      </w:rPr>
    </w:lvl>
    <w:lvl w:ilvl="5">
      <w:start w:val="1"/>
      <w:numFmt w:val="lowerLetter"/>
      <w:lvlText w:val="(%6)"/>
      <w:lvlJc w:val="left"/>
      <w:pPr>
        <w:tabs>
          <w:tab w:val="num" w:pos="2088"/>
        </w:tabs>
        <w:ind w:left="2088" w:firstLine="0"/>
      </w:pPr>
      <w:rPr>
        <w:rFonts w:ascii="Arial Bold" w:hAnsi="Arial Bold" w:hint="default"/>
        <w:b/>
        <w:i w:val="0"/>
        <w:sz w:val="20"/>
      </w:rPr>
    </w:lvl>
    <w:lvl w:ilvl="6">
      <w:start w:val="1"/>
      <w:numFmt w:val="decimalZero"/>
      <w:lvlText w:val="(%7)"/>
      <w:lvlJc w:val="left"/>
      <w:pPr>
        <w:tabs>
          <w:tab w:val="num" w:pos="2736"/>
        </w:tabs>
        <w:ind w:left="2736" w:firstLine="0"/>
      </w:pPr>
      <w:rPr>
        <w:rFonts w:ascii="Arial Bold" w:hAnsi="Arial Bold" w:hint="default"/>
        <w:b/>
        <w:i w:val="0"/>
        <w:caps w:val="0"/>
        <w:strike w:val="0"/>
        <w:dstrike w:val="0"/>
        <w:vanish w:val="0"/>
        <w:color w:val="auto"/>
        <w:sz w:val="20"/>
        <w:u w:val="none"/>
        <w:vertAlign w:val="baseline"/>
      </w:rPr>
    </w:lvl>
    <w:lvl w:ilvl="7">
      <w:start w:val="1"/>
      <w:numFmt w:val="bullet"/>
      <w:lvlText w:val=""/>
      <w:lvlJc w:val="left"/>
      <w:pPr>
        <w:tabs>
          <w:tab w:val="num" w:pos="3456"/>
        </w:tabs>
        <w:ind w:left="3024" w:firstLine="0"/>
      </w:pPr>
      <w:rPr>
        <w:rFonts w:ascii="Symbol" w:hAnsi="Symbol" w:hint="default"/>
        <w:b w:val="0"/>
        <w:i w:val="0"/>
        <w:caps w:val="0"/>
        <w:strike w:val="0"/>
        <w:dstrike w:val="0"/>
        <w:vanish w:val="0"/>
        <w:color w:val="auto"/>
        <w:sz w:val="24"/>
        <w:u w:val="none"/>
        <w:vertAlign w:val="baseline"/>
      </w:rPr>
    </w:lvl>
    <w:lvl w:ilvl="8">
      <w:start w:val="1"/>
      <w:numFmt w:val="bullet"/>
      <w:lvlText w:val=""/>
      <w:lvlJc w:val="left"/>
      <w:pPr>
        <w:tabs>
          <w:tab w:val="num" w:pos="3744"/>
        </w:tabs>
        <w:ind w:left="3384" w:firstLine="0"/>
      </w:pPr>
      <w:rPr>
        <w:rFonts w:ascii="Symbol" w:hAnsi="Symbol" w:hint="default"/>
        <w:strike w:val="0"/>
        <w:dstrike w:val="0"/>
        <w:color w:val="auto"/>
      </w:rPr>
    </w:lvl>
  </w:abstractNum>
  <w:abstractNum w:abstractNumId="38" w15:restartNumberingAfterBreak="0">
    <w:nsid w:val="74F123A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C593E79"/>
    <w:multiLevelType w:val="multilevel"/>
    <w:tmpl w:val="6C989ED6"/>
    <w:name w:val="zGBody2"/>
    <w:lvl w:ilvl="0">
      <w:start w:val="1"/>
      <w:numFmt w:val="decimal"/>
      <w:isLgl/>
      <w:lvlText w:val="PART %1."/>
      <w:lvlJc w:val="left"/>
      <w:pPr>
        <w:tabs>
          <w:tab w:val="num" w:pos="1152"/>
        </w:tabs>
        <w:ind w:left="1152" w:hanging="1152"/>
      </w:pPr>
      <w:rPr>
        <w:rFonts w:ascii="Arial Bold" w:hAnsi="Arial Bold" w:hint="default"/>
        <w:b/>
        <w:i w:val="0"/>
        <w:caps/>
        <w:strike w:val="0"/>
        <w:dstrike w:val="0"/>
        <w:vanish w:val="0"/>
        <w:color w:val="auto"/>
        <w:sz w:val="20"/>
        <w:u w:val="single"/>
        <w:vertAlign w:val="baseline"/>
      </w:rPr>
    </w:lvl>
    <w:lvl w:ilvl="1">
      <w:start w:val="1"/>
      <w:numFmt w:val="decimal"/>
      <w:isLgl/>
      <w:lvlText w:val="%1.%2."/>
      <w:lvlJc w:val="left"/>
      <w:pPr>
        <w:tabs>
          <w:tab w:val="num" w:pos="1152"/>
        </w:tabs>
        <w:ind w:left="1152" w:hanging="576"/>
      </w:pPr>
      <w:rPr>
        <w:rFonts w:ascii="Arial Bold" w:hAnsi="Arial Bold" w:hint="default"/>
        <w:b/>
        <w:i w:val="0"/>
        <w:caps w:val="0"/>
        <w:strike w:val="0"/>
        <w:dstrike w:val="0"/>
        <w:vanish w:val="0"/>
        <w:color w:val="auto"/>
        <w:sz w:val="20"/>
        <w:u w:val="none"/>
        <w:vertAlign w:val="baseline"/>
      </w:rPr>
    </w:lvl>
    <w:lvl w:ilvl="2">
      <w:start w:val="1"/>
      <w:numFmt w:val="decimal"/>
      <w:isLgl/>
      <w:lvlText w:val="%1.%2.%3."/>
      <w:lvlJc w:val="left"/>
      <w:pPr>
        <w:tabs>
          <w:tab w:val="num" w:pos="1872"/>
        </w:tabs>
        <w:ind w:left="1152" w:firstLine="0"/>
      </w:pPr>
      <w:rPr>
        <w:rFonts w:ascii="Arial Bold" w:hAnsi="Arial Bold" w:hint="default"/>
        <w:b/>
        <w:i w:val="0"/>
        <w:caps w:val="0"/>
        <w:strike w:val="0"/>
        <w:dstrike w:val="0"/>
        <w:vanish w:val="0"/>
        <w:color w:val="auto"/>
        <w:sz w:val="20"/>
        <w:u w:val="none"/>
        <w:vertAlign w:val="baseline"/>
      </w:rPr>
    </w:lvl>
    <w:lvl w:ilvl="3">
      <w:start w:val="1"/>
      <w:numFmt w:val="upperLetter"/>
      <w:lvlText w:val="%4."/>
      <w:lvlJc w:val="left"/>
      <w:pPr>
        <w:tabs>
          <w:tab w:val="num" w:pos="1728"/>
        </w:tabs>
        <w:ind w:left="1584" w:firstLine="0"/>
      </w:pPr>
      <w:rPr>
        <w:rFonts w:ascii="Arial Bold" w:hAnsi="Arial Bold" w:hint="default"/>
        <w:b/>
        <w:i w:val="0"/>
        <w:caps w:val="0"/>
        <w:strike w:val="0"/>
        <w:dstrike w:val="0"/>
        <w:vanish w:val="0"/>
        <w:color w:val="auto"/>
        <w:sz w:val="20"/>
        <w:u w:val="none"/>
        <w:vertAlign w:val="baseline"/>
      </w:rPr>
    </w:lvl>
    <w:lvl w:ilvl="4">
      <w:start w:val="1"/>
      <w:numFmt w:val="lowerRoman"/>
      <w:lvlText w:val="(%5)."/>
      <w:lvlJc w:val="left"/>
      <w:pPr>
        <w:tabs>
          <w:tab w:val="num" w:pos="2304"/>
        </w:tabs>
        <w:ind w:left="1872" w:firstLine="0"/>
      </w:pPr>
      <w:rPr>
        <w:rFonts w:ascii="Arial Bold" w:hAnsi="Arial Bold" w:hint="default"/>
        <w:b/>
        <w:bCs w:val="0"/>
        <w:i w:val="0"/>
        <w:sz w:val="20"/>
      </w:rPr>
    </w:lvl>
    <w:lvl w:ilvl="5">
      <w:start w:val="1"/>
      <w:numFmt w:val="lowerLetter"/>
      <w:lvlText w:val="(%6)"/>
      <w:lvlJc w:val="left"/>
      <w:pPr>
        <w:tabs>
          <w:tab w:val="num" w:pos="2088"/>
        </w:tabs>
        <w:ind w:left="2088" w:firstLine="0"/>
      </w:pPr>
      <w:rPr>
        <w:rFonts w:ascii="Arial Bold" w:hAnsi="Arial Bold" w:hint="default"/>
        <w:b/>
        <w:i w:val="0"/>
        <w:sz w:val="20"/>
      </w:rPr>
    </w:lvl>
    <w:lvl w:ilvl="6">
      <w:start w:val="1"/>
      <w:numFmt w:val="decimalZero"/>
      <w:lvlText w:val="(%7)"/>
      <w:lvlJc w:val="left"/>
      <w:pPr>
        <w:tabs>
          <w:tab w:val="num" w:pos="2736"/>
        </w:tabs>
        <w:ind w:left="2736" w:firstLine="0"/>
      </w:pPr>
      <w:rPr>
        <w:rFonts w:ascii="Arial Bold" w:hAnsi="Arial Bold" w:hint="default"/>
        <w:b/>
        <w:i w:val="0"/>
        <w:caps w:val="0"/>
        <w:strike w:val="0"/>
        <w:dstrike w:val="0"/>
        <w:vanish w:val="0"/>
        <w:color w:val="auto"/>
        <w:sz w:val="20"/>
        <w:u w:val="none"/>
        <w:vertAlign w:val="baseline"/>
      </w:rPr>
    </w:lvl>
    <w:lvl w:ilvl="7">
      <w:start w:val="1"/>
      <w:numFmt w:val="bullet"/>
      <w:lvlText w:val=""/>
      <w:lvlJc w:val="left"/>
      <w:pPr>
        <w:tabs>
          <w:tab w:val="num" w:pos="3456"/>
        </w:tabs>
        <w:ind w:left="3024" w:firstLine="0"/>
      </w:pPr>
      <w:rPr>
        <w:rFonts w:ascii="Symbol" w:hAnsi="Symbol" w:hint="default"/>
        <w:b w:val="0"/>
        <w:i w:val="0"/>
        <w:caps w:val="0"/>
        <w:strike w:val="0"/>
        <w:dstrike w:val="0"/>
        <w:vanish w:val="0"/>
        <w:color w:val="auto"/>
        <w:sz w:val="24"/>
        <w:u w:val="none"/>
        <w:vertAlign w:val="baseline"/>
      </w:rPr>
    </w:lvl>
    <w:lvl w:ilvl="8">
      <w:start w:val="1"/>
      <w:numFmt w:val="bullet"/>
      <w:lvlText w:val=""/>
      <w:lvlJc w:val="left"/>
      <w:pPr>
        <w:tabs>
          <w:tab w:val="num" w:pos="3744"/>
        </w:tabs>
        <w:ind w:left="3384" w:firstLine="0"/>
      </w:pPr>
      <w:rPr>
        <w:rFonts w:ascii="Symbol" w:hAnsi="Symbol" w:hint="default"/>
        <w:strike w:val="0"/>
        <w:dstrike w:val="0"/>
        <w:color w:val="auto"/>
      </w:rPr>
    </w:lvl>
  </w:abstractNum>
  <w:abstractNum w:abstractNumId="40" w15:restartNumberingAfterBreak="0">
    <w:nsid w:val="7CB750C0"/>
    <w:multiLevelType w:val="hybridMultilevel"/>
    <w:tmpl w:val="36EAF9D2"/>
    <w:styleLink w:val="CurrentList1"/>
    <w:lvl w:ilvl="0" w:tplc="ABCAEB7A">
      <w:start w:val="1"/>
      <w:numFmt w:val="upperRoman"/>
      <w:lvlText w:val="%1."/>
      <w:lvlJc w:val="right"/>
      <w:pPr>
        <w:ind w:left="1080" w:hanging="360"/>
      </w:pPr>
    </w:lvl>
    <w:lvl w:ilvl="1" w:tplc="6E54F90E">
      <w:start w:val="1"/>
      <w:numFmt w:val="upperRoman"/>
      <w:lvlText w:val="%2."/>
      <w:lvlJc w:val="right"/>
      <w:pPr>
        <w:ind w:left="1080" w:hanging="360"/>
      </w:pPr>
    </w:lvl>
    <w:lvl w:ilvl="2" w:tplc="1110FAA0">
      <w:start w:val="1"/>
      <w:numFmt w:val="upperRoman"/>
      <w:lvlText w:val="%3."/>
      <w:lvlJc w:val="right"/>
      <w:pPr>
        <w:ind w:left="1080" w:hanging="360"/>
      </w:pPr>
    </w:lvl>
    <w:lvl w:ilvl="3" w:tplc="8E525F02">
      <w:start w:val="1"/>
      <w:numFmt w:val="upperRoman"/>
      <w:lvlText w:val="%4."/>
      <w:lvlJc w:val="right"/>
      <w:pPr>
        <w:ind w:left="1080" w:hanging="360"/>
      </w:pPr>
    </w:lvl>
    <w:lvl w:ilvl="4" w:tplc="560A2AD6">
      <w:start w:val="1"/>
      <w:numFmt w:val="upperRoman"/>
      <w:lvlText w:val="%5."/>
      <w:lvlJc w:val="right"/>
      <w:pPr>
        <w:ind w:left="1080" w:hanging="360"/>
      </w:pPr>
    </w:lvl>
    <w:lvl w:ilvl="5" w:tplc="BFE086B6">
      <w:start w:val="1"/>
      <w:numFmt w:val="upperRoman"/>
      <w:lvlText w:val="%6."/>
      <w:lvlJc w:val="right"/>
      <w:pPr>
        <w:ind w:left="1080" w:hanging="360"/>
      </w:pPr>
    </w:lvl>
    <w:lvl w:ilvl="6" w:tplc="97DEA5F4">
      <w:start w:val="1"/>
      <w:numFmt w:val="upperRoman"/>
      <w:lvlText w:val="%7."/>
      <w:lvlJc w:val="right"/>
      <w:pPr>
        <w:ind w:left="1080" w:hanging="360"/>
      </w:pPr>
    </w:lvl>
    <w:lvl w:ilvl="7" w:tplc="0B5051FE">
      <w:start w:val="1"/>
      <w:numFmt w:val="upperRoman"/>
      <w:lvlText w:val="%8."/>
      <w:lvlJc w:val="right"/>
      <w:pPr>
        <w:ind w:left="1080" w:hanging="360"/>
      </w:pPr>
    </w:lvl>
    <w:lvl w:ilvl="8" w:tplc="171A832A">
      <w:start w:val="1"/>
      <w:numFmt w:val="upperRoman"/>
      <w:lvlText w:val="%9."/>
      <w:lvlJc w:val="right"/>
      <w:pPr>
        <w:ind w:left="1080" w:hanging="360"/>
      </w:pPr>
    </w:lvl>
  </w:abstractNum>
  <w:abstractNum w:abstractNumId="41" w15:restartNumberingAfterBreak="0">
    <w:nsid w:val="7DF57309"/>
    <w:multiLevelType w:val="multilevel"/>
    <w:tmpl w:val="D618190C"/>
    <w:lvl w:ilvl="0">
      <w:start w:val="1"/>
      <w:numFmt w:val="decimal"/>
      <w:isLgl/>
      <w:lvlText w:val="PART %1."/>
      <w:lvlJc w:val="left"/>
      <w:pPr>
        <w:tabs>
          <w:tab w:val="num" w:pos="1152"/>
        </w:tabs>
        <w:ind w:left="1152" w:hanging="1152"/>
      </w:pPr>
      <w:rPr>
        <w:rFonts w:ascii="Arial Bold" w:hAnsi="Arial Bold" w:hint="default"/>
        <w:b/>
        <w:i w:val="0"/>
        <w:caps/>
        <w:strike w:val="0"/>
        <w:dstrike w:val="0"/>
        <w:vanish w:val="0"/>
        <w:color w:val="auto"/>
        <w:sz w:val="20"/>
        <w:u w:val="singl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152"/>
        </w:tabs>
        <w:ind w:left="1152" w:hanging="576"/>
      </w:pPr>
      <w:rPr>
        <w:rFonts w:ascii="Arial Bold" w:hAnsi="Arial Bold" w:hint="default"/>
        <w:b/>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1872"/>
        </w:tabs>
        <w:ind w:left="1152" w:firstLine="0"/>
      </w:pPr>
      <w:rPr>
        <w:rFonts w:ascii="Arial Bold" w:hAnsi="Arial Bold" w:hint="default"/>
        <w:b w:val="0"/>
        <w:bCs/>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upperLetter"/>
      <w:lvlText w:val="%4."/>
      <w:lvlJc w:val="left"/>
      <w:pPr>
        <w:tabs>
          <w:tab w:val="num" w:pos="1728"/>
        </w:tabs>
        <w:ind w:left="1584" w:firstLine="0"/>
      </w:pPr>
      <w:rPr>
        <w:rFonts w:ascii="Arial Bold" w:hAnsi="Arial Bold" w:hint="default"/>
        <w:b w:val="0"/>
        <w:bCs/>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2304"/>
        </w:tabs>
        <w:ind w:left="1872" w:firstLine="0"/>
      </w:pPr>
      <w:rPr>
        <w:rFonts w:ascii="Arial Bold" w:hAnsi="Arial Bold" w:hint="default"/>
        <w:b/>
        <w:bCs w:val="0"/>
        <w:i w:val="0"/>
        <w:sz w:val="20"/>
      </w:rPr>
    </w:lvl>
    <w:lvl w:ilvl="5">
      <w:start w:val="1"/>
      <w:numFmt w:val="lowerLetter"/>
      <w:lvlText w:val="(%6)"/>
      <w:lvlJc w:val="left"/>
      <w:pPr>
        <w:tabs>
          <w:tab w:val="num" w:pos="2088"/>
        </w:tabs>
        <w:ind w:left="2088" w:firstLine="0"/>
      </w:pPr>
      <w:rPr>
        <w:rFonts w:ascii="Arial Bold" w:hAnsi="Arial Bold" w:hint="default"/>
        <w:b/>
        <w:i w:val="0"/>
        <w:sz w:val="20"/>
      </w:rPr>
    </w:lvl>
    <w:lvl w:ilvl="6">
      <w:start w:val="1"/>
      <w:numFmt w:val="decimalZero"/>
      <w:lvlText w:val="(%7)"/>
      <w:lvlJc w:val="left"/>
      <w:pPr>
        <w:tabs>
          <w:tab w:val="num" w:pos="2736"/>
        </w:tabs>
        <w:ind w:left="2736" w:firstLine="0"/>
      </w:pPr>
      <w:rPr>
        <w:rFonts w:ascii="Arial Bold" w:hAnsi="Arial Bold" w:hint="default"/>
        <w:b/>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
      <w:lvlJc w:val="left"/>
      <w:pPr>
        <w:tabs>
          <w:tab w:val="num" w:pos="3456"/>
        </w:tabs>
        <w:ind w:left="3024" w:firstLine="0"/>
      </w:pPr>
      <w:rPr>
        <w:rFonts w:ascii="Symbol" w:hAnsi="Symbol"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3744"/>
        </w:tabs>
        <w:ind w:left="3384" w:firstLine="0"/>
      </w:pPr>
      <w:rPr>
        <w:rFonts w:ascii="Symbol" w:hAnsi="Symbol" w:hint="default"/>
        <w:strike w:val="0"/>
        <w:dstrike w:val="0"/>
        <w:color w:val="auto"/>
      </w:rPr>
    </w:lvl>
  </w:abstractNum>
  <w:abstractNum w:abstractNumId="42" w15:restartNumberingAfterBreak="0">
    <w:nsid w:val="7E054865"/>
    <w:multiLevelType w:val="multilevel"/>
    <w:tmpl w:val="6932FF28"/>
    <w:styleLink w:val="zGList"/>
    <w:lvl w:ilvl="0">
      <w:start w:val="3"/>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3" w15:restartNumberingAfterBreak="0">
    <w:nsid w:val="7E665B67"/>
    <w:multiLevelType w:val="multilevel"/>
    <w:tmpl w:val="FFF623EA"/>
    <w:lvl w:ilvl="0">
      <w:start w:val="1"/>
      <w:numFmt w:val="decimal"/>
      <w:isLgl/>
      <w:lvlText w:val="PART %1."/>
      <w:lvlJc w:val="left"/>
      <w:pPr>
        <w:tabs>
          <w:tab w:val="num" w:pos="1152"/>
        </w:tabs>
        <w:ind w:left="1152" w:hanging="1152"/>
      </w:pPr>
      <w:rPr>
        <w:rFonts w:ascii="Arial Bold" w:hAnsi="Arial Bold" w:hint="default"/>
        <w:b/>
        <w:i w:val="0"/>
        <w:caps/>
        <w:strike w:val="0"/>
        <w:dstrike w:val="0"/>
        <w:vanish w:val="0"/>
        <w:color w:val="auto"/>
        <w:sz w:val="20"/>
        <w:u w:val="single"/>
        <w:vertAlign w:val="baseline"/>
      </w:rPr>
    </w:lvl>
    <w:lvl w:ilvl="1">
      <w:start w:val="3"/>
      <w:numFmt w:val="decimal"/>
      <w:isLgl/>
      <w:lvlText w:val="%1.%2."/>
      <w:lvlJc w:val="left"/>
      <w:pPr>
        <w:tabs>
          <w:tab w:val="num" w:pos="1152"/>
        </w:tabs>
        <w:ind w:left="1152" w:hanging="576"/>
      </w:pPr>
      <w:rPr>
        <w:rFonts w:ascii="Arial Bold" w:hAnsi="Arial Bold" w:hint="default"/>
        <w:b/>
        <w:i w:val="0"/>
        <w:caps w:val="0"/>
        <w:strike w:val="0"/>
        <w:dstrike w:val="0"/>
        <w:vanish w:val="0"/>
        <w:color w:val="auto"/>
        <w:sz w:val="20"/>
        <w:u w:val="none"/>
        <w:vertAlign w:val="baseline"/>
      </w:rPr>
    </w:lvl>
    <w:lvl w:ilvl="2">
      <w:start w:val="2"/>
      <w:numFmt w:val="decimal"/>
      <w:isLgl/>
      <w:lvlText w:val="%1.%2.%3."/>
      <w:lvlJc w:val="left"/>
      <w:pPr>
        <w:tabs>
          <w:tab w:val="num" w:pos="1872"/>
        </w:tabs>
        <w:ind w:left="1152" w:firstLine="0"/>
      </w:pPr>
      <w:rPr>
        <w:rFonts w:ascii="Arial Bold" w:hAnsi="Arial Bold" w:hint="default"/>
        <w:b w:val="0"/>
        <w:bCs/>
        <w:i w:val="0"/>
        <w:caps w:val="0"/>
        <w:strike w:val="0"/>
        <w:dstrike w:val="0"/>
        <w:vanish w:val="0"/>
        <w:color w:val="auto"/>
        <w:sz w:val="20"/>
        <w:u w:val="none"/>
        <w:vertAlign w:val="baseline"/>
      </w:rPr>
    </w:lvl>
    <w:lvl w:ilvl="3">
      <w:start w:val="1"/>
      <w:numFmt w:val="upperLetter"/>
      <w:lvlText w:val="%4."/>
      <w:lvlJc w:val="left"/>
      <w:pPr>
        <w:tabs>
          <w:tab w:val="num" w:pos="1728"/>
        </w:tabs>
        <w:ind w:left="1584" w:firstLine="0"/>
      </w:pPr>
      <w:rPr>
        <w:rFonts w:ascii="Arial Bold" w:hAnsi="Arial Bold" w:hint="default"/>
        <w:b w:val="0"/>
        <w:bCs/>
        <w:i w:val="0"/>
        <w:caps w:val="0"/>
        <w:strike w:val="0"/>
        <w:dstrike w:val="0"/>
        <w:vanish w:val="0"/>
        <w:color w:val="auto"/>
        <w:sz w:val="20"/>
        <w:u w:val="none"/>
        <w:vertAlign w:val="baseline"/>
      </w:rPr>
    </w:lvl>
    <w:lvl w:ilvl="4">
      <w:start w:val="1"/>
      <w:numFmt w:val="lowerRoman"/>
      <w:lvlText w:val="(%5)."/>
      <w:lvlJc w:val="left"/>
      <w:pPr>
        <w:tabs>
          <w:tab w:val="num" w:pos="2304"/>
        </w:tabs>
        <w:ind w:left="1872" w:firstLine="0"/>
      </w:pPr>
      <w:rPr>
        <w:rFonts w:ascii="Arial Bold" w:hAnsi="Arial Bold" w:hint="default"/>
        <w:b/>
        <w:bCs w:val="0"/>
        <w:i w:val="0"/>
        <w:sz w:val="20"/>
      </w:rPr>
    </w:lvl>
    <w:lvl w:ilvl="5">
      <w:start w:val="1"/>
      <w:numFmt w:val="lowerLetter"/>
      <w:lvlText w:val="(%6)"/>
      <w:lvlJc w:val="left"/>
      <w:pPr>
        <w:tabs>
          <w:tab w:val="num" w:pos="2088"/>
        </w:tabs>
        <w:ind w:left="2088" w:firstLine="0"/>
      </w:pPr>
      <w:rPr>
        <w:rFonts w:ascii="Arial Bold" w:hAnsi="Arial Bold" w:hint="default"/>
        <w:b/>
        <w:i w:val="0"/>
        <w:sz w:val="20"/>
      </w:rPr>
    </w:lvl>
    <w:lvl w:ilvl="6">
      <w:start w:val="1"/>
      <w:numFmt w:val="decimalZero"/>
      <w:lvlText w:val="(%7)"/>
      <w:lvlJc w:val="left"/>
      <w:pPr>
        <w:tabs>
          <w:tab w:val="num" w:pos="2736"/>
        </w:tabs>
        <w:ind w:left="2736" w:firstLine="0"/>
      </w:pPr>
      <w:rPr>
        <w:rFonts w:ascii="Arial Bold" w:hAnsi="Arial Bold" w:hint="default"/>
        <w:b/>
        <w:i w:val="0"/>
        <w:caps w:val="0"/>
        <w:strike w:val="0"/>
        <w:dstrike w:val="0"/>
        <w:vanish w:val="0"/>
        <w:color w:val="auto"/>
        <w:sz w:val="20"/>
        <w:u w:val="none"/>
        <w:vertAlign w:val="baseline"/>
      </w:rPr>
    </w:lvl>
    <w:lvl w:ilvl="7">
      <w:start w:val="1"/>
      <w:numFmt w:val="bullet"/>
      <w:lvlText w:val=""/>
      <w:lvlJc w:val="left"/>
      <w:pPr>
        <w:tabs>
          <w:tab w:val="num" w:pos="3456"/>
        </w:tabs>
        <w:ind w:left="3024" w:firstLine="0"/>
      </w:pPr>
      <w:rPr>
        <w:rFonts w:ascii="Symbol" w:hAnsi="Symbol" w:hint="default"/>
        <w:b w:val="0"/>
        <w:i w:val="0"/>
        <w:caps w:val="0"/>
        <w:strike w:val="0"/>
        <w:dstrike w:val="0"/>
        <w:vanish w:val="0"/>
        <w:color w:val="auto"/>
        <w:sz w:val="24"/>
        <w:u w:val="none"/>
        <w:vertAlign w:val="baseline"/>
      </w:rPr>
    </w:lvl>
    <w:lvl w:ilvl="8">
      <w:start w:val="1"/>
      <w:numFmt w:val="bullet"/>
      <w:lvlText w:val=""/>
      <w:lvlJc w:val="left"/>
      <w:pPr>
        <w:tabs>
          <w:tab w:val="num" w:pos="3744"/>
        </w:tabs>
        <w:ind w:left="3384" w:firstLine="0"/>
      </w:pPr>
      <w:rPr>
        <w:rFonts w:ascii="Symbol" w:hAnsi="Symbol" w:hint="default"/>
        <w:strike w:val="0"/>
        <w:dstrike w:val="0"/>
        <w:color w:val="auto"/>
      </w:rPr>
    </w:lvl>
  </w:abstractNum>
  <w:num w:numId="1" w16cid:durableId="1665281917">
    <w:abstractNumId w:val="12"/>
  </w:num>
  <w:num w:numId="2" w16cid:durableId="1910312110">
    <w:abstractNumId w:val="21"/>
  </w:num>
  <w:num w:numId="3" w16cid:durableId="1095515702">
    <w:abstractNumId w:val="36"/>
  </w:num>
  <w:num w:numId="4" w16cid:durableId="1887524099">
    <w:abstractNumId w:val="33"/>
  </w:num>
  <w:num w:numId="5" w16cid:durableId="361513701">
    <w:abstractNumId w:val="25"/>
  </w:num>
  <w:num w:numId="6" w16cid:durableId="1413775035">
    <w:abstractNumId w:val="42"/>
  </w:num>
  <w:num w:numId="7" w16cid:durableId="736168698">
    <w:abstractNumId w:val="28"/>
  </w:num>
  <w:num w:numId="8" w16cid:durableId="773787742">
    <w:abstractNumId w:val="23"/>
    <w:lvlOverride w:ilvl="0">
      <w:lvl w:ilvl="0">
        <w:start w:val="1"/>
        <w:numFmt w:val="decimal"/>
        <w:lvlText w:val="Part %1."/>
        <w:lvlJc w:val="left"/>
        <w:pPr>
          <w:tabs>
            <w:tab w:val="num" w:pos="1116"/>
          </w:tabs>
          <w:ind w:left="1116" w:hanging="936"/>
        </w:pPr>
        <w:rPr>
          <w:rFonts w:hint="default"/>
          <w:b/>
          <w:bCs w:val="0"/>
          <w:i w:val="0"/>
          <w:iCs w:val="0"/>
          <w:caps/>
          <w:smallCaps w:val="0"/>
          <w:strike w:val="0"/>
          <w:dstrike w:val="0"/>
          <w:outline w:val="0"/>
          <w:shadow w:val="0"/>
          <w:emboss w:val="0"/>
          <w:imprint w:val="0"/>
          <w:noProof w:val="0"/>
          <w:vanish w:val="0"/>
          <w:position w:val="0"/>
          <w:sz w:val="2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Override>
    <w:lvlOverride w:ilvl="1">
      <w:lvl w:ilvl="1">
        <w:start w:val="1"/>
        <w:numFmt w:val="decimal"/>
        <w:lvlText w:val="%1.%2"/>
        <w:lvlJc w:val="left"/>
        <w:pPr>
          <w:tabs>
            <w:tab w:val="num" w:pos="720"/>
          </w:tabs>
          <w:ind w:left="0" w:firstLine="0"/>
        </w:pPr>
        <w:rPr>
          <w:rFonts w:hint="default"/>
          <w:b/>
          <w:i w:val="0"/>
          <w:caps/>
          <w:strike w:val="0"/>
          <w:dstrike w:val="0"/>
          <w:vanish w:val="0"/>
          <w:color w:val="000000" w:themeColor="text1"/>
          <w:sz w:val="20"/>
          <w:u w:val="none"/>
          <w:vertAlign w:val="baseline"/>
        </w:rPr>
      </w:lvl>
    </w:lvlOverride>
    <w:lvlOverride w:ilvl="2">
      <w:lvl w:ilvl="2">
        <w:start w:val="1"/>
        <w:numFmt w:val="decimal"/>
        <w:lvlText w:val="%1.%2.%3."/>
        <w:lvlJc w:val="left"/>
        <w:pPr>
          <w:tabs>
            <w:tab w:val="num" w:pos="1998"/>
          </w:tabs>
          <w:ind w:left="1350" w:firstLine="0"/>
        </w:pPr>
        <w:rPr>
          <w:rFonts w:hint="default"/>
          <w:b/>
          <w:bCs/>
        </w:rPr>
      </w:lvl>
    </w:lvlOverride>
    <w:lvlOverride w:ilvl="3">
      <w:lvl w:ilvl="3">
        <w:start w:val="1"/>
        <w:numFmt w:val="lowerRoman"/>
        <w:lvlText w:val="(%4)"/>
        <w:lvlJc w:val="left"/>
        <w:pPr>
          <w:tabs>
            <w:tab w:val="num" w:pos="1944"/>
          </w:tabs>
          <w:ind w:left="1440" w:firstLine="0"/>
        </w:pPr>
        <w:rPr>
          <w:rFonts w:hint="default"/>
          <w:b/>
          <w:i w:val="0"/>
          <w:caps w:val="0"/>
          <w:strike w:val="0"/>
          <w:dstrike w:val="0"/>
          <w:vanish w:val="0"/>
          <w:color w:val="000000" w:themeColor="text1"/>
          <w:sz w:val="20"/>
          <w:u w:val="none"/>
          <w:vertAlign w:val="baseline"/>
        </w:rPr>
      </w:lvl>
    </w:lvlOverride>
    <w:lvlOverride w:ilvl="4">
      <w:lvl w:ilvl="4">
        <w:start w:val="1"/>
        <w:numFmt w:val="lowerLetter"/>
        <w:lvlText w:val="(%5)"/>
        <w:lvlJc w:val="left"/>
        <w:pPr>
          <w:tabs>
            <w:tab w:val="num" w:pos="2448"/>
          </w:tabs>
          <w:ind w:left="1944" w:firstLine="0"/>
        </w:pPr>
        <w:rPr>
          <w:rFonts w:hint="default"/>
          <w:b/>
          <w:i w:val="0"/>
          <w:caps w:val="0"/>
          <w:strike w:val="0"/>
          <w:dstrike w:val="0"/>
          <w:vanish w:val="0"/>
          <w:color w:val="000000" w:themeColor="text1"/>
          <w:sz w:val="20"/>
          <w:u w:val="none"/>
          <w:vertAlign w:val="baseline"/>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9" w16cid:durableId="845873374">
    <w:abstractNumId w:val="23"/>
    <w:lvlOverride w:ilvl="0">
      <w:startOverride w:val="1"/>
      <w:lvl w:ilvl="0">
        <w:start w:val="1"/>
        <w:numFmt w:val="decimal"/>
        <w:lvlText w:val="Part %1."/>
        <w:lvlJc w:val="left"/>
        <w:pPr>
          <w:tabs>
            <w:tab w:val="num" w:pos="1116"/>
          </w:tabs>
          <w:ind w:left="1116" w:hanging="936"/>
        </w:pPr>
        <w:rPr>
          <w:rFonts w:hint="default"/>
          <w:b/>
          <w:bCs w:val="0"/>
          <w:i w:val="0"/>
          <w:iCs w:val="0"/>
          <w:caps/>
          <w:smallCaps w:val="0"/>
          <w:strike w:val="0"/>
          <w:dstrike w:val="0"/>
          <w:outline w:val="0"/>
          <w:shadow w:val="0"/>
          <w:emboss w:val="0"/>
          <w:imprint w:val="0"/>
          <w:noProof w:val="0"/>
          <w:vanish w:val="0"/>
          <w:position w:val="0"/>
          <w:sz w:val="2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Override>
    <w:lvlOverride w:ilvl="1">
      <w:startOverride w:val="1"/>
      <w:lvl w:ilvl="1">
        <w:start w:val="1"/>
        <w:numFmt w:val="decimal"/>
        <w:lvlText w:val="%1.%2"/>
        <w:lvlJc w:val="left"/>
        <w:pPr>
          <w:tabs>
            <w:tab w:val="num" w:pos="720"/>
          </w:tabs>
          <w:ind w:left="0" w:firstLine="0"/>
        </w:pPr>
        <w:rPr>
          <w:rFonts w:hint="default"/>
          <w:b/>
          <w:i w:val="0"/>
          <w:caps/>
          <w:strike w:val="0"/>
          <w:dstrike w:val="0"/>
          <w:vanish w:val="0"/>
          <w:color w:val="000000" w:themeColor="text1"/>
          <w:sz w:val="20"/>
          <w:u w:val="none"/>
          <w:vertAlign w:val="baseline"/>
        </w:rPr>
      </w:lvl>
    </w:lvlOverride>
    <w:lvlOverride w:ilvl="2">
      <w:startOverride w:val="1"/>
      <w:lvl w:ilvl="2">
        <w:start w:val="1"/>
        <w:numFmt w:val="decimal"/>
        <w:lvlText w:val="%1.%2.%3."/>
        <w:lvlJc w:val="left"/>
        <w:pPr>
          <w:tabs>
            <w:tab w:val="num" w:pos="1998"/>
          </w:tabs>
          <w:ind w:left="1350" w:firstLine="0"/>
        </w:pPr>
        <w:rPr>
          <w:rFonts w:hint="default"/>
          <w:b/>
          <w:bCs/>
        </w:rPr>
      </w:lvl>
    </w:lvlOverride>
    <w:lvlOverride w:ilvl="3">
      <w:startOverride w:val="1"/>
      <w:lvl w:ilvl="3">
        <w:start w:val="1"/>
        <w:numFmt w:val="lowerRoman"/>
        <w:lvlText w:val="(%4)"/>
        <w:lvlJc w:val="left"/>
        <w:pPr>
          <w:tabs>
            <w:tab w:val="num" w:pos="1944"/>
          </w:tabs>
          <w:ind w:left="1440" w:firstLine="0"/>
        </w:pPr>
        <w:rPr>
          <w:rFonts w:hint="default"/>
          <w:b/>
          <w:i w:val="0"/>
          <w:caps w:val="0"/>
          <w:strike w:val="0"/>
          <w:dstrike w:val="0"/>
          <w:vanish w:val="0"/>
          <w:color w:val="000000" w:themeColor="text1"/>
          <w:sz w:val="20"/>
          <w:u w:val="none"/>
          <w:vertAlign w:val="baseline"/>
        </w:rPr>
      </w:lvl>
    </w:lvlOverride>
    <w:lvlOverride w:ilvl="4">
      <w:startOverride w:val="1"/>
      <w:lvl w:ilvl="4">
        <w:start w:val="1"/>
        <w:numFmt w:val="lowerLetter"/>
        <w:lvlText w:val="(%5)"/>
        <w:lvlJc w:val="left"/>
        <w:pPr>
          <w:tabs>
            <w:tab w:val="num" w:pos="2448"/>
          </w:tabs>
          <w:ind w:left="1944" w:firstLine="0"/>
        </w:pPr>
        <w:rPr>
          <w:rFonts w:hint="default"/>
          <w:b/>
          <w:i w:val="0"/>
          <w:caps w:val="0"/>
          <w:strike w:val="0"/>
          <w:dstrike w:val="0"/>
          <w:vanish w:val="0"/>
          <w:color w:val="000000" w:themeColor="text1"/>
          <w:sz w:val="20"/>
          <w:u w:val="none"/>
          <w:vertAlign w:val="baseline"/>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0" w16cid:durableId="1828013278">
    <w:abstractNumId w:val="23"/>
    <w:lvlOverride w:ilvl="0">
      <w:startOverride w:val="1"/>
      <w:lvl w:ilvl="0">
        <w:start w:val="1"/>
        <w:numFmt w:val="decimal"/>
        <w:lvlText w:val="Part %1."/>
        <w:lvlJc w:val="left"/>
        <w:pPr>
          <w:tabs>
            <w:tab w:val="num" w:pos="1116"/>
          </w:tabs>
          <w:ind w:left="1116" w:hanging="936"/>
        </w:pPr>
        <w:rPr>
          <w:rFonts w:hint="default"/>
          <w:b/>
          <w:bCs w:val="0"/>
          <w:i w:val="0"/>
          <w:iCs w:val="0"/>
          <w:caps/>
          <w:smallCaps w:val="0"/>
          <w:strike w:val="0"/>
          <w:dstrike w:val="0"/>
          <w:outline w:val="0"/>
          <w:shadow w:val="0"/>
          <w:emboss w:val="0"/>
          <w:imprint w:val="0"/>
          <w:noProof w:val="0"/>
          <w:vanish w:val="0"/>
          <w:position w:val="0"/>
          <w:sz w:val="2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Override>
    <w:lvlOverride w:ilvl="1">
      <w:startOverride w:val="1"/>
      <w:lvl w:ilvl="1">
        <w:start w:val="1"/>
        <w:numFmt w:val="decimal"/>
        <w:lvlText w:val="%1.%2"/>
        <w:lvlJc w:val="left"/>
        <w:pPr>
          <w:tabs>
            <w:tab w:val="num" w:pos="720"/>
          </w:tabs>
          <w:ind w:left="0" w:firstLine="0"/>
        </w:pPr>
        <w:rPr>
          <w:rFonts w:hint="default"/>
          <w:b/>
          <w:i w:val="0"/>
          <w:caps/>
          <w:strike w:val="0"/>
          <w:dstrike w:val="0"/>
          <w:vanish w:val="0"/>
          <w:color w:val="000000" w:themeColor="text1"/>
          <w:sz w:val="20"/>
          <w:u w:val="none"/>
          <w:vertAlign w:val="baseline"/>
        </w:rPr>
      </w:lvl>
    </w:lvlOverride>
    <w:lvlOverride w:ilvl="2">
      <w:startOverride w:val="1"/>
      <w:lvl w:ilvl="2">
        <w:start w:val="1"/>
        <w:numFmt w:val="decimal"/>
        <w:lvlText w:val="%1.%2.%3."/>
        <w:lvlJc w:val="left"/>
        <w:pPr>
          <w:tabs>
            <w:tab w:val="num" w:pos="1998"/>
          </w:tabs>
          <w:ind w:left="1350" w:firstLine="0"/>
        </w:pPr>
        <w:rPr>
          <w:rFonts w:hint="default"/>
          <w:b/>
          <w:bCs/>
        </w:rPr>
      </w:lvl>
    </w:lvlOverride>
    <w:lvlOverride w:ilvl="3">
      <w:startOverride w:val="1"/>
      <w:lvl w:ilvl="3">
        <w:start w:val="1"/>
        <w:numFmt w:val="lowerRoman"/>
        <w:lvlText w:val="(%4)"/>
        <w:lvlJc w:val="left"/>
        <w:pPr>
          <w:tabs>
            <w:tab w:val="num" w:pos="1944"/>
          </w:tabs>
          <w:ind w:left="1440" w:firstLine="0"/>
        </w:pPr>
        <w:rPr>
          <w:rFonts w:hint="default"/>
          <w:b/>
          <w:i w:val="0"/>
          <w:caps w:val="0"/>
          <w:strike w:val="0"/>
          <w:dstrike w:val="0"/>
          <w:vanish w:val="0"/>
          <w:color w:val="000000" w:themeColor="text1"/>
          <w:sz w:val="20"/>
          <w:u w:val="none"/>
          <w:vertAlign w:val="baseline"/>
        </w:rPr>
      </w:lvl>
    </w:lvlOverride>
    <w:lvlOverride w:ilvl="4">
      <w:startOverride w:val="1"/>
      <w:lvl w:ilvl="4">
        <w:start w:val="1"/>
        <w:numFmt w:val="lowerLetter"/>
        <w:lvlText w:val="(%5)"/>
        <w:lvlJc w:val="left"/>
        <w:pPr>
          <w:tabs>
            <w:tab w:val="num" w:pos="2448"/>
          </w:tabs>
          <w:ind w:left="1944" w:firstLine="0"/>
        </w:pPr>
        <w:rPr>
          <w:rFonts w:hint="default"/>
          <w:b/>
          <w:i w:val="0"/>
          <w:caps w:val="0"/>
          <w:strike w:val="0"/>
          <w:dstrike w:val="0"/>
          <w:vanish w:val="0"/>
          <w:color w:val="000000" w:themeColor="text1"/>
          <w:sz w:val="20"/>
          <w:u w:val="none"/>
          <w:vertAlign w:val="baseline"/>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1" w16cid:durableId="1727487119">
    <w:abstractNumId w:val="23"/>
    <w:lvlOverride w:ilvl="0">
      <w:startOverride w:val="1"/>
      <w:lvl w:ilvl="0">
        <w:start w:val="1"/>
        <w:numFmt w:val="decimal"/>
        <w:lvlText w:val="Part %1."/>
        <w:lvlJc w:val="left"/>
        <w:pPr>
          <w:tabs>
            <w:tab w:val="num" w:pos="1116"/>
          </w:tabs>
          <w:ind w:left="1116" w:hanging="936"/>
        </w:pPr>
        <w:rPr>
          <w:rFonts w:hint="default"/>
          <w:b/>
          <w:bCs w:val="0"/>
          <w:i w:val="0"/>
          <w:iCs w:val="0"/>
          <w:caps/>
          <w:smallCaps w:val="0"/>
          <w:strike w:val="0"/>
          <w:dstrike w:val="0"/>
          <w:outline w:val="0"/>
          <w:shadow w:val="0"/>
          <w:emboss w:val="0"/>
          <w:imprint w:val="0"/>
          <w:noProof w:val="0"/>
          <w:vanish w:val="0"/>
          <w:position w:val="0"/>
          <w:sz w:val="2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Override>
    <w:lvlOverride w:ilvl="1">
      <w:startOverride w:val="1"/>
      <w:lvl w:ilvl="1">
        <w:start w:val="1"/>
        <w:numFmt w:val="decimal"/>
        <w:lvlText w:val="%1.%2"/>
        <w:lvlJc w:val="left"/>
        <w:pPr>
          <w:tabs>
            <w:tab w:val="num" w:pos="720"/>
          </w:tabs>
          <w:ind w:left="0" w:firstLine="0"/>
        </w:pPr>
        <w:rPr>
          <w:rFonts w:hint="default"/>
          <w:b/>
          <w:i w:val="0"/>
          <w:caps/>
          <w:strike w:val="0"/>
          <w:dstrike w:val="0"/>
          <w:vanish w:val="0"/>
          <w:color w:val="000000" w:themeColor="text1"/>
          <w:sz w:val="20"/>
          <w:u w:val="none"/>
          <w:vertAlign w:val="baseline"/>
        </w:rPr>
      </w:lvl>
    </w:lvlOverride>
    <w:lvlOverride w:ilvl="2">
      <w:startOverride w:val="1"/>
      <w:lvl w:ilvl="2">
        <w:start w:val="1"/>
        <w:numFmt w:val="decimal"/>
        <w:lvlText w:val="%1.%2.%3."/>
        <w:lvlJc w:val="left"/>
        <w:pPr>
          <w:tabs>
            <w:tab w:val="num" w:pos="1998"/>
          </w:tabs>
          <w:ind w:left="1350" w:firstLine="0"/>
        </w:pPr>
        <w:rPr>
          <w:rFonts w:hint="default"/>
          <w:b/>
          <w:bCs/>
        </w:rPr>
      </w:lvl>
    </w:lvlOverride>
    <w:lvlOverride w:ilvl="3">
      <w:startOverride w:val="1"/>
      <w:lvl w:ilvl="3">
        <w:start w:val="1"/>
        <w:numFmt w:val="lowerRoman"/>
        <w:lvlText w:val="(%4)"/>
        <w:lvlJc w:val="left"/>
        <w:pPr>
          <w:tabs>
            <w:tab w:val="num" w:pos="1944"/>
          </w:tabs>
          <w:ind w:left="1440" w:firstLine="0"/>
        </w:pPr>
        <w:rPr>
          <w:rFonts w:hint="default"/>
          <w:b/>
          <w:i w:val="0"/>
          <w:caps w:val="0"/>
          <w:strike w:val="0"/>
          <w:dstrike w:val="0"/>
          <w:vanish w:val="0"/>
          <w:color w:val="000000" w:themeColor="text1"/>
          <w:sz w:val="20"/>
          <w:u w:val="none"/>
          <w:vertAlign w:val="baseline"/>
        </w:rPr>
      </w:lvl>
    </w:lvlOverride>
    <w:lvlOverride w:ilvl="4">
      <w:startOverride w:val="1"/>
      <w:lvl w:ilvl="4">
        <w:start w:val="1"/>
        <w:numFmt w:val="lowerLetter"/>
        <w:lvlText w:val="(%5)"/>
        <w:lvlJc w:val="left"/>
        <w:pPr>
          <w:tabs>
            <w:tab w:val="num" w:pos="2448"/>
          </w:tabs>
          <w:ind w:left="1944" w:firstLine="0"/>
        </w:pPr>
        <w:rPr>
          <w:rFonts w:hint="default"/>
          <w:b/>
          <w:i w:val="0"/>
          <w:caps w:val="0"/>
          <w:strike w:val="0"/>
          <w:dstrike w:val="0"/>
          <w:vanish w:val="0"/>
          <w:color w:val="000000" w:themeColor="text1"/>
          <w:sz w:val="20"/>
          <w:u w:val="none"/>
          <w:vertAlign w:val="baseline"/>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2" w16cid:durableId="788667696">
    <w:abstractNumId w:val="23"/>
    <w:lvlOverride w:ilvl="0">
      <w:startOverride w:val="1"/>
      <w:lvl w:ilvl="0">
        <w:start w:val="1"/>
        <w:numFmt w:val="decimal"/>
        <w:lvlText w:val="Part %1."/>
        <w:lvlJc w:val="left"/>
        <w:pPr>
          <w:tabs>
            <w:tab w:val="num" w:pos="1116"/>
          </w:tabs>
          <w:ind w:left="1116" w:hanging="936"/>
        </w:pPr>
        <w:rPr>
          <w:rFonts w:hint="default"/>
          <w:b/>
          <w:bCs w:val="0"/>
          <w:i w:val="0"/>
          <w:iCs w:val="0"/>
          <w:caps/>
          <w:smallCaps w:val="0"/>
          <w:strike w:val="0"/>
          <w:dstrike w:val="0"/>
          <w:outline w:val="0"/>
          <w:shadow w:val="0"/>
          <w:emboss w:val="0"/>
          <w:imprint w:val="0"/>
          <w:noProof w:val="0"/>
          <w:vanish w:val="0"/>
          <w:position w:val="0"/>
          <w:sz w:val="2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Override>
    <w:lvlOverride w:ilvl="1">
      <w:startOverride w:val="1"/>
      <w:lvl w:ilvl="1">
        <w:start w:val="1"/>
        <w:numFmt w:val="decimal"/>
        <w:lvlText w:val="%1.%2"/>
        <w:lvlJc w:val="left"/>
        <w:pPr>
          <w:tabs>
            <w:tab w:val="num" w:pos="720"/>
          </w:tabs>
          <w:ind w:left="0" w:firstLine="0"/>
        </w:pPr>
        <w:rPr>
          <w:rFonts w:hint="default"/>
          <w:b/>
          <w:i w:val="0"/>
          <w:caps/>
          <w:strike w:val="0"/>
          <w:dstrike w:val="0"/>
          <w:vanish w:val="0"/>
          <w:color w:val="000000" w:themeColor="text1"/>
          <w:sz w:val="20"/>
          <w:u w:val="none"/>
          <w:vertAlign w:val="baseline"/>
        </w:rPr>
      </w:lvl>
    </w:lvlOverride>
    <w:lvlOverride w:ilvl="2">
      <w:startOverride w:val="1"/>
      <w:lvl w:ilvl="2">
        <w:start w:val="1"/>
        <w:numFmt w:val="decimal"/>
        <w:lvlText w:val="%1.%2.%3."/>
        <w:lvlJc w:val="left"/>
        <w:pPr>
          <w:tabs>
            <w:tab w:val="num" w:pos="1998"/>
          </w:tabs>
          <w:ind w:left="1350" w:firstLine="0"/>
        </w:pPr>
        <w:rPr>
          <w:rFonts w:hint="default"/>
          <w:b/>
          <w:bCs/>
        </w:rPr>
      </w:lvl>
    </w:lvlOverride>
    <w:lvlOverride w:ilvl="3">
      <w:startOverride w:val="1"/>
      <w:lvl w:ilvl="3">
        <w:start w:val="1"/>
        <w:numFmt w:val="lowerRoman"/>
        <w:lvlText w:val="(%4)"/>
        <w:lvlJc w:val="left"/>
        <w:pPr>
          <w:tabs>
            <w:tab w:val="num" w:pos="1944"/>
          </w:tabs>
          <w:ind w:left="1440" w:firstLine="0"/>
        </w:pPr>
        <w:rPr>
          <w:rFonts w:hint="default"/>
          <w:b/>
          <w:i w:val="0"/>
          <w:caps w:val="0"/>
          <w:strike w:val="0"/>
          <w:dstrike w:val="0"/>
          <w:vanish w:val="0"/>
          <w:color w:val="000000" w:themeColor="text1"/>
          <w:sz w:val="20"/>
          <w:u w:val="none"/>
          <w:vertAlign w:val="baseline"/>
        </w:rPr>
      </w:lvl>
    </w:lvlOverride>
    <w:lvlOverride w:ilvl="4">
      <w:startOverride w:val="1"/>
      <w:lvl w:ilvl="4">
        <w:start w:val="1"/>
        <w:numFmt w:val="lowerLetter"/>
        <w:lvlText w:val="(%5)"/>
        <w:lvlJc w:val="left"/>
        <w:pPr>
          <w:tabs>
            <w:tab w:val="num" w:pos="2448"/>
          </w:tabs>
          <w:ind w:left="1944" w:firstLine="0"/>
        </w:pPr>
        <w:rPr>
          <w:rFonts w:hint="default"/>
          <w:b/>
          <w:i w:val="0"/>
          <w:caps w:val="0"/>
          <w:strike w:val="0"/>
          <w:dstrike w:val="0"/>
          <w:vanish w:val="0"/>
          <w:color w:val="000000" w:themeColor="text1"/>
          <w:sz w:val="20"/>
          <w:u w:val="none"/>
          <w:vertAlign w:val="baseline"/>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3" w16cid:durableId="1315648555">
    <w:abstractNumId w:val="23"/>
    <w:lvlOverride w:ilvl="0">
      <w:startOverride w:val="1"/>
      <w:lvl w:ilvl="0">
        <w:start w:val="1"/>
        <w:numFmt w:val="decimal"/>
        <w:lvlText w:val="Part %1."/>
        <w:lvlJc w:val="left"/>
        <w:pPr>
          <w:tabs>
            <w:tab w:val="num" w:pos="1116"/>
          </w:tabs>
          <w:ind w:left="1116" w:hanging="936"/>
        </w:pPr>
        <w:rPr>
          <w:rFonts w:hint="default"/>
          <w:b/>
          <w:bCs w:val="0"/>
          <w:i w:val="0"/>
          <w:iCs w:val="0"/>
          <w:caps/>
          <w:smallCaps w:val="0"/>
          <w:strike w:val="0"/>
          <w:dstrike w:val="0"/>
          <w:outline w:val="0"/>
          <w:shadow w:val="0"/>
          <w:emboss w:val="0"/>
          <w:imprint w:val="0"/>
          <w:noProof w:val="0"/>
          <w:vanish w:val="0"/>
          <w:position w:val="0"/>
          <w:sz w:val="2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Override>
    <w:lvlOverride w:ilvl="1">
      <w:startOverride w:val="1"/>
      <w:lvl w:ilvl="1">
        <w:start w:val="1"/>
        <w:numFmt w:val="decimal"/>
        <w:lvlText w:val="%1.%2"/>
        <w:lvlJc w:val="left"/>
        <w:pPr>
          <w:tabs>
            <w:tab w:val="num" w:pos="720"/>
          </w:tabs>
          <w:ind w:left="0" w:firstLine="0"/>
        </w:pPr>
        <w:rPr>
          <w:rFonts w:hint="default"/>
          <w:b/>
          <w:i w:val="0"/>
          <w:caps/>
          <w:strike w:val="0"/>
          <w:dstrike w:val="0"/>
          <w:vanish w:val="0"/>
          <w:color w:val="000000" w:themeColor="text1"/>
          <w:sz w:val="20"/>
          <w:u w:val="none"/>
          <w:vertAlign w:val="baseline"/>
        </w:rPr>
      </w:lvl>
    </w:lvlOverride>
    <w:lvlOverride w:ilvl="2">
      <w:startOverride w:val="1"/>
      <w:lvl w:ilvl="2">
        <w:start w:val="1"/>
        <w:numFmt w:val="decimal"/>
        <w:lvlText w:val="%1.%2.%3."/>
        <w:lvlJc w:val="left"/>
        <w:pPr>
          <w:tabs>
            <w:tab w:val="num" w:pos="1998"/>
          </w:tabs>
          <w:ind w:left="1350" w:firstLine="0"/>
        </w:pPr>
        <w:rPr>
          <w:rFonts w:hint="default"/>
          <w:b/>
          <w:bCs/>
        </w:rPr>
      </w:lvl>
    </w:lvlOverride>
    <w:lvlOverride w:ilvl="3">
      <w:startOverride w:val="1"/>
      <w:lvl w:ilvl="3">
        <w:start w:val="1"/>
        <w:numFmt w:val="lowerRoman"/>
        <w:lvlText w:val="(%4)"/>
        <w:lvlJc w:val="left"/>
        <w:pPr>
          <w:tabs>
            <w:tab w:val="num" w:pos="1944"/>
          </w:tabs>
          <w:ind w:left="1440" w:firstLine="0"/>
        </w:pPr>
        <w:rPr>
          <w:rFonts w:hint="default"/>
          <w:b/>
          <w:i w:val="0"/>
          <w:caps w:val="0"/>
          <w:strike w:val="0"/>
          <w:dstrike w:val="0"/>
          <w:vanish w:val="0"/>
          <w:color w:val="000000" w:themeColor="text1"/>
          <w:sz w:val="20"/>
          <w:u w:val="none"/>
          <w:vertAlign w:val="baseline"/>
        </w:rPr>
      </w:lvl>
    </w:lvlOverride>
    <w:lvlOverride w:ilvl="4">
      <w:startOverride w:val="1"/>
      <w:lvl w:ilvl="4">
        <w:start w:val="1"/>
        <w:numFmt w:val="lowerLetter"/>
        <w:lvlText w:val="(%5)"/>
        <w:lvlJc w:val="left"/>
        <w:pPr>
          <w:tabs>
            <w:tab w:val="num" w:pos="2448"/>
          </w:tabs>
          <w:ind w:left="1944" w:firstLine="0"/>
        </w:pPr>
        <w:rPr>
          <w:rFonts w:hint="default"/>
          <w:b/>
          <w:i w:val="0"/>
          <w:caps w:val="0"/>
          <w:strike w:val="0"/>
          <w:dstrike w:val="0"/>
          <w:vanish w:val="0"/>
          <w:color w:val="000000" w:themeColor="text1"/>
          <w:sz w:val="20"/>
          <w:u w:val="none"/>
          <w:vertAlign w:val="baseline"/>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4" w16cid:durableId="1259943698">
    <w:abstractNumId w:val="23"/>
    <w:lvlOverride w:ilvl="0">
      <w:startOverride w:val="1"/>
      <w:lvl w:ilvl="0">
        <w:start w:val="1"/>
        <w:numFmt w:val="decimal"/>
        <w:lvlText w:val="Part %1."/>
        <w:lvlJc w:val="left"/>
        <w:pPr>
          <w:tabs>
            <w:tab w:val="num" w:pos="1116"/>
          </w:tabs>
          <w:ind w:left="1116" w:hanging="936"/>
        </w:pPr>
        <w:rPr>
          <w:rFonts w:hint="default"/>
          <w:b/>
          <w:bCs w:val="0"/>
          <w:i w:val="0"/>
          <w:iCs w:val="0"/>
          <w:caps/>
          <w:smallCaps w:val="0"/>
          <w:strike w:val="0"/>
          <w:dstrike w:val="0"/>
          <w:outline w:val="0"/>
          <w:shadow w:val="0"/>
          <w:emboss w:val="0"/>
          <w:imprint w:val="0"/>
          <w:noProof w:val="0"/>
          <w:vanish w:val="0"/>
          <w:position w:val="0"/>
          <w:sz w:val="2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Override>
    <w:lvlOverride w:ilvl="1">
      <w:startOverride w:val="1"/>
      <w:lvl w:ilvl="1">
        <w:start w:val="1"/>
        <w:numFmt w:val="decimal"/>
        <w:lvlText w:val="%1.%2"/>
        <w:lvlJc w:val="left"/>
        <w:pPr>
          <w:tabs>
            <w:tab w:val="num" w:pos="720"/>
          </w:tabs>
          <w:ind w:left="0" w:firstLine="0"/>
        </w:pPr>
        <w:rPr>
          <w:rFonts w:hint="default"/>
          <w:b/>
          <w:i w:val="0"/>
          <w:caps/>
          <w:strike w:val="0"/>
          <w:dstrike w:val="0"/>
          <w:vanish w:val="0"/>
          <w:color w:val="000000" w:themeColor="text1"/>
          <w:sz w:val="20"/>
          <w:u w:val="none"/>
          <w:vertAlign w:val="baseline"/>
        </w:rPr>
      </w:lvl>
    </w:lvlOverride>
    <w:lvlOverride w:ilvl="2">
      <w:startOverride w:val="1"/>
      <w:lvl w:ilvl="2">
        <w:start w:val="1"/>
        <w:numFmt w:val="decimal"/>
        <w:lvlText w:val="%1.%2.%3."/>
        <w:lvlJc w:val="left"/>
        <w:pPr>
          <w:tabs>
            <w:tab w:val="num" w:pos="1998"/>
          </w:tabs>
          <w:ind w:left="1350" w:firstLine="0"/>
        </w:pPr>
        <w:rPr>
          <w:rFonts w:hint="default"/>
          <w:b/>
          <w:bCs/>
        </w:rPr>
      </w:lvl>
    </w:lvlOverride>
    <w:lvlOverride w:ilvl="3">
      <w:startOverride w:val="1"/>
      <w:lvl w:ilvl="3">
        <w:start w:val="1"/>
        <w:numFmt w:val="lowerRoman"/>
        <w:lvlText w:val="(%4)"/>
        <w:lvlJc w:val="left"/>
        <w:pPr>
          <w:tabs>
            <w:tab w:val="num" w:pos="1944"/>
          </w:tabs>
          <w:ind w:left="1440" w:firstLine="0"/>
        </w:pPr>
        <w:rPr>
          <w:rFonts w:hint="default"/>
          <w:b/>
          <w:i w:val="0"/>
          <w:caps w:val="0"/>
          <w:strike w:val="0"/>
          <w:dstrike w:val="0"/>
          <w:vanish w:val="0"/>
          <w:color w:val="000000" w:themeColor="text1"/>
          <w:sz w:val="20"/>
          <w:u w:val="none"/>
          <w:vertAlign w:val="baseline"/>
        </w:rPr>
      </w:lvl>
    </w:lvlOverride>
    <w:lvlOverride w:ilvl="4">
      <w:startOverride w:val="1"/>
      <w:lvl w:ilvl="4">
        <w:start w:val="1"/>
        <w:numFmt w:val="lowerLetter"/>
        <w:lvlText w:val="(%5)"/>
        <w:lvlJc w:val="left"/>
        <w:pPr>
          <w:tabs>
            <w:tab w:val="num" w:pos="2448"/>
          </w:tabs>
          <w:ind w:left="1944" w:firstLine="0"/>
        </w:pPr>
        <w:rPr>
          <w:rFonts w:hint="default"/>
          <w:b/>
          <w:i w:val="0"/>
          <w:caps w:val="0"/>
          <w:strike w:val="0"/>
          <w:dstrike w:val="0"/>
          <w:vanish w:val="0"/>
          <w:color w:val="000000" w:themeColor="text1"/>
          <w:sz w:val="20"/>
          <w:u w:val="none"/>
          <w:vertAlign w:val="baseline"/>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5" w16cid:durableId="1672030598">
    <w:abstractNumId w:val="29"/>
  </w:num>
  <w:num w:numId="16" w16cid:durableId="2098015682">
    <w:abstractNumId w:val="31"/>
  </w:num>
  <w:num w:numId="17" w16cid:durableId="1718355137">
    <w:abstractNumId w:val="15"/>
  </w:num>
  <w:num w:numId="18" w16cid:durableId="1854294017">
    <w:abstractNumId w:val="27"/>
  </w:num>
  <w:num w:numId="19" w16cid:durableId="1181309922">
    <w:abstractNumId w:val="32"/>
  </w:num>
  <w:num w:numId="20" w16cid:durableId="927537021">
    <w:abstractNumId w:val="40"/>
  </w:num>
  <w:num w:numId="21" w16cid:durableId="1156993077">
    <w:abstractNumId w:val="14"/>
    <w:lvlOverride w:ilvl="0">
      <w:startOverride w:val="16"/>
    </w:lvlOverride>
    <w:lvlOverride w:ilvl="1">
      <w:startOverride w:val="1"/>
    </w:lvlOverride>
    <w:lvlOverride w:ilvl="2">
      <w:startOverride w:val="8"/>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6711421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98130551">
    <w:abstractNumId w:val="41"/>
  </w:num>
  <w:num w:numId="24" w16cid:durableId="19626852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6838369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87661056">
    <w:abstractNumId w:val="20"/>
  </w:num>
  <w:num w:numId="27" w16cid:durableId="1277634205">
    <w:abstractNumId w:val="14"/>
  </w:num>
  <w:num w:numId="28" w16cid:durableId="1496149528">
    <w:abstractNumId w:val="5"/>
  </w:num>
  <w:num w:numId="29" w16cid:durableId="1095783705">
    <w:abstractNumId w:val="8"/>
  </w:num>
  <w:num w:numId="30" w16cid:durableId="1468818950">
    <w:abstractNumId w:val="2"/>
  </w:num>
  <w:num w:numId="31" w16cid:durableId="1193957172">
    <w:abstractNumId w:val="4"/>
  </w:num>
  <w:num w:numId="32" w16cid:durableId="824081564">
    <w:abstractNumId w:val="6"/>
  </w:num>
  <w:num w:numId="33" w16cid:durableId="1135412756">
    <w:abstractNumId w:val="1"/>
  </w:num>
  <w:num w:numId="34" w16cid:durableId="1701278951">
    <w:abstractNumId w:val="14"/>
  </w:num>
  <w:num w:numId="35" w16cid:durableId="705561725">
    <w:abstractNumId w:val="16"/>
  </w:num>
  <w:num w:numId="36" w16cid:durableId="4776550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92410011">
    <w:abstractNumId w:val="14"/>
    <w:lvlOverride w:ilvl="0">
      <w:startOverride w:val="16"/>
    </w:lvlOverride>
    <w:lvlOverride w:ilvl="1">
      <w:startOverride w:val="1"/>
    </w:lvlOverride>
    <w:lvlOverride w:ilvl="2">
      <w:startOverride w:val="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54399424">
    <w:abstractNumId w:val="14"/>
    <w:lvlOverride w:ilvl="0">
      <w:startOverride w:val="16"/>
      <w:lvl w:ilvl="0">
        <w:start w:val="16"/>
        <w:numFmt w:val="decimal"/>
        <w:pStyle w:val="zGTC01"/>
        <w:lvlText w:val="Part %1"/>
        <w:lvlJc w:val="left"/>
        <w:pPr>
          <w:tabs>
            <w:tab w:val="num" w:pos="1152"/>
          </w:tabs>
          <w:ind w:left="1152" w:hanging="1152"/>
        </w:pPr>
        <w:rPr>
          <w:rFonts w:ascii="Arial Bold" w:hAnsi="Arial Bold" w:cs="Times New Roman" w:hint="default"/>
          <w:b/>
          <w:bCs w:val="0"/>
          <w:i w:val="0"/>
          <w:iCs w:val="0"/>
          <w:caps/>
          <w:smallCaps w:val="0"/>
          <w:strike w:val="0"/>
          <w:dstrike w:val="0"/>
          <w:outline w:val="0"/>
          <w:shadow w:val="0"/>
          <w:emboss w:val="0"/>
          <w:imprint w:val="0"/>
          <w:vanish w:val="0"/>
          <w:position w:val="0"/>
          <w:sz w:val="20"/>
          <w:u w:val="none"/>
          <w:effect w:val="none"/>
          <w:vertAlign w:val="baseline"/>
          <w14:ligatures w14:val="none"/>
          <w14:numForm w14:val="default"/>
          <w14:numSpacing w14:val="default"/>
          <w14:stylisticSets/>
          <w14:cntxtAlts w14:val="0"/>
        </w:rPr>
      </w:lvl>
    </w:lvlOverride>
    <w:lvlOverride w:ilvl="1">
      <w:startOverride w:val="1"/>
      <w:lvl w:ilvl="1">
        <w:start w:val="1"/>
        <w:numFmt w:val="decimal"/>
        <w:pStyle w:val="zGTC02"/>
        <w:lvlText w:val="%1.%2"/>
        <w:lvlJc w:val="left"/>
        <w:pPr>
          <w:tabs>
            <w:tab w:val="num" w:pos="720"/>
          </w:tabs>
          <w:ind w:left="0" w:firstLine="0"/>
        </w:pPr>
        <w:rPr>
          <w:rFonts w:hint="default"/>
          <w:b/>
          <w:i w:val="0"/>
          <w:caps/>
          <w:strike w:val="0"/>
          <w:dstrike w:val="0"/>
          <w:vanish w:val="0"/>
          <w:color w:val="000000" w:themeColor="text1"/>
          <w:sz w:val="20"/>
          <w:u w:val="none"/>
          <w:vertAlign w:val="baseline"/>
        </w:rPr>
      </w:lvl>
    </w:lvlOverride>
    <w:lvlOverride w:ilvl="2">
      <w:startOverride w:val="10"/>
      <w:lvl w:ilvl="2">
        <w:start w:val="10"/>
        <w:numFmt w:val="decimal"/>
        <w:pStyle w:val="zGTC03"/>
        <w:lvlText w:val="%1.%2.%3."/>
        <w:lvlJc w:val="left"/>
        <w:pPr>
          <w:tabs>
            <w:tab w:val="num" w:pos="1998"/>
          </w:tabs>
          <w:ind w:left="1350" w:firstLine="0"/>
        </w:pPr>
        <w:rPr>
          <w:rFonts w:hint="default"/>
          <w:b/>
          <w:bCs/>
        </w:rPr>
      </w:lvl>
    </w:lvlOverride>
    <w:lvlOverride w:ilvl="3">
      <w:startOverride w:val="1"/>
      <w:lvl w:ilvl="3">
        <w:start w:val="1"/>
        <w:numFmt w:val="lowerRoman"/>
        <w:pStyle w:val="zGTC04"/>
        <w:lvlText w:val="(%4)"/>
        <w:lvlJc w:val="left"/>
        <w:pPr>
          <w:tabs>
            <w:tab w:val="num" w:pos="1944"/>
          </w:tabs>
          <w:ind w:left="1440" w:firstLine="0"/>
        </w:pPr>
        <w:rPr>
          <w:rFonts w:hint="default"/>
          <w:b/>
          <w:i w:val="0"/>
          <w:caps w:val="0"/>
          <w:strike w:val="0"/>
          <w:dstrike w:val="0"/>
          <w:vanish w:val="0"/>
          <w:color w:val="000000" w:themeColor="text1"/>
          <w:sz w:val="20"/>
          <w:u w:val="none"/>
          <w:vertAlign w:val="baseline"/>
        </w:rPr>
      </w:lvl>
    </w:lvlOverride>
    <w:lvlOverride w:ilvl="4">
      <w:startOverride w:val="1"/>
      <w:lvl w:ilvl="4">
        <w:start w:val="1"/>
        <w:numFmt w:val="lowerLetter"/>
        <w:pStyle w:val="zGTC05"/>
        <w:lvlText w:val="(%5)"/>
        <w:lvlJc w:val="left"/>
        <w:pPr>
          <w:tabs>
            <w:tab w:val="num" w:pos="2448"/>
          </w:tabs>
          <w:ind w:left="1944" w:firstLine="0"/>
        </w:pPr>
        <w:rPr>
          <w:rFonts w:ascii="Arial" w:hAnsi="Arial" w:hint="default"/>
          <w:b/>
          <w:i w:val="0"/>
          <w:caps w:val="0"/>
          <w:strike w:val="0"/>
          <w:dstrike w:val="0"/>
          <w:vanish w:val="0"/>
          <w:color w:val="000000" w:themeColor="text1"/>
          <w:sz w:val="20"/>
          <w:u w:val="none"/>
          <w:vertAlign w:val="baseline"/>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39" w16cid:durableId="199302330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06265975">
    <w:abstractNumId w:val="5"/>
  </w:num>
  <w:num w:numId="41" w16cid:durableId="2043240227">
    <w:abstractNumId w:val="16"/>
  </w:num>
  <w:num w:numId="42" w16cid:durableId="1565988104">
    <w:abstractNumId w:val="23"/>
  </w:num>
  <w:num w:numId="43" w16cid:durableId="546839476">
    <w:abstractNumId w:val="14"/>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90322907">
    <w:abstractNumId w:val="9"/>
  </w:num>
  <w:num w:numId="45" w16cid:durableId="1140029868">
    <w:abstractNumId w:val="11"/>
  </w:num>
  <w:num w:numId="46" w16cid:durableId="937907998">
    <w:abstractNumId w:val="38"/>
  </w:num>
  <w:num w:numId="47" w16cid:durableId="59643780">
    <w:abstractNumId w:val="10"/>
  </w:num>
  <w:num w:numId="48" w16cid:durableId="107284564">
    <w:abstractNumId w:val="22"/>
  </w:num>
  <w:num w:numId="49" w16cid:durableId="99881307">
    <w:abstractNumId w:val="39"/>
  </w:num>
  <w:num w:numId="50" w16cid:durableId="910390274">
    <w:abstractNumId w:val="3"/>
    <w:lvlOverride w:ilvl="0">
      <w:startOverride w:val="13"/>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600795884">
    <w:abstractNumId w:val="17"/>
  </w:num>
  <w:num w:numId="52" w16cid:durableId="185680033">
    <w:abstractNumId w:val="24"/>
  </w:num>
  <w:num w:numId="53" w16cid:durableId="621765423">
    <w:abstractNumId w:val="7"/>
  </w:num>
  <w:num w:numId="54" w16cid:durableId="269046508">
    <w:abstractNumId w:val="43"/>
  </w:num>
  <w:num w:numId="55" w16cid:durableId="1607300959">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661006942">
    <w:abstractNumId w:val="19"/>
  </w:num>
  <w:num w:numId="57" w16cid:durableId="1053237909">
    <w:abstractNumId w:val="34"/>
  </w:num>
  <w:num w:numId="58" w16cid:durableId="1347975280">
    <w:abstractNumId w:val="13"/>
  </w:num>
  <w:num w:numId="59" w16cid:durableId="785973484">
    <w:abstractNumId w:val="30"/>
  </w:num>
  <w:num w:numId="60" w16cid:durableId="16947652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307079299">
    <w:abstractNumId w:val="37"/>
  </w:num>
  <w:num w:numId="62" w16cid:durableId="613907970">
    <w:abstractNumId w:val="14"/>
  </w:num>
  <w:num w:numId="63" w16cid:durableId="1295603831">
    <w:abstractNumId w:val="18"/>
  </w:num>
  <w:num w:numId="64" w16cid:durableId="1978026628">
    <w:abstractNumId w:val="14"/>
    <w:lvlOverride w:ilvl="0">
      <w:startOverride w:val="1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938879249">
    <w:abstractNumId w:val="1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ocumentProtection w:edit="trackedChange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4C4"/>
    <w:rsid w:val="00000022"/>
    <w:rsid w:val="0000007D"/>
    <w:rsid w:val="000000EA"/>
    <w:rsid w:val="00000126"/>
    <w:rsid w:val="00000151"/>
    <w:rsid w:val="000001EB"/>
    <w:rsid w:val="000001F9"/>
    <w:rsid w:val="000002FC"/>
    <w:rsid w:val="0000030E"/>
    <w:rsid w:val="000003B7"/>
    <w:rsid w:val="000003EB"/>
    <w:rsid w:val="00000454"/>
    <w:rsid w:val="000004B5"/>
    <w:rsid w:val="0000069B"/>
    <w:rsid w:val="000006DB"/>
    <w:rsid w:val="00000757"/>
    <w:rsid w:val="00000816"/>
    <w:rsid w:val="000009F8"/>
    <w:rsid w:val="00000ACD"/>
    <w:rsid w:val="00000B0F"/>
    <w:rsid w:val="00000B70"/>
    <w:rsid w:val="00000CD7"/>
    <w:rsid w:val="00000CE7"/>
    <w:rsid w:val="00000F15"/>
    <w:rsid w:val="00000F3A"/>
    <w:rsid w:val="00000F49"/>
    <w:rsid w:val="00000F4B"/>
    <w:rsid w:val="00000F83"/>
    <w:rsid w:val="0000130A"/>
    <w:rsid w:val="00001326"/>
    <w:rsid w:val="00001353"/>
    <w:rsid w:val="00001376"/>
    <w:rsid w:val="000014B3"/>
    <w:rsid w:val="00001573"/>
    <w:rsid w:val="000016C4"/>
    <w:rsid w:val="000016F5"/>
    <w:rsid w:val="0000171C"/>
    <w:rsid w:val="0000184F"/>
    <w:rsid w:val="000019A0"/>
    <w:rsid w:val="00001B55"/>
    <w:rsid w:val="00001B81"/>
    <w:rsid w:val="00001BEA"/>
    <w:rsid w:val="00001C85"/>
    <w:rsid w:val="00001C91"/>
    <w:rsid w:val="00001CF4"/>
    <w:rsid w:val="00001E1E"/>
    <w:rsid w:val="00001E68"/>
    <w:rsid w:val="00001EE0"/>
    <w:rsid w:val="00001F96"/>
    <w:rsid w:val="000020CB"/>
    <w:rsid w:val="000021C9"/>
    <w:rsid w:val="000022A3"/>
    <w:rsid w:val="00002335"/>
    <w:rsid w:val="000023C6"/>
    <w:rsid w:val="0000254F"/>
    <w:rsid w:val="00002600"/>
    <w:rsid w:val="00002796"/>
    <w:rsid w:val="0000289C"/>
    <w:rsid w:val="0000292F"/>
    <w:rsid w:val="00002A40"/>
    <w:rsid w:val="00002ADB"/>
    <w:rsid w:val="00002B85"/>
    <w:rsid w:val="00002BA1"/>
    <w:rsid w:val="00002C8B"/>
    <w:rsid w:val="00002CA7"/>
    <w:rsid w:val="00002CB5"/>
    <w:rsid w:val="00002D81"/>
    <w:rsid w:val="00002E80"/>
    <w:rsid w:val="00003034"/>
    <w:rsid w:val="00003078"/>
    <w:rsid w:val="0000314A"/>
    <w:rsid w:val="0000332C"/>
    <w:rsid w:val="0000345B"/>
    <w:rsid w:val="000034F8"/>
    <w:rsid w:val="00003511"/>
    <w:rsid w:val="00003581"/>
    <w:rsid w:val="00003583"/>
    <w:rsid w:val="000035A3"/>
    <w:rsid w:val="000035A8"/>
    <w:rsid w:val="000035EA"/>
    <w:rsid w:val="0000364E"/>
    <w:rsid w:val="000036B0"/>
    <w:rsid w:val="00003871"/>
    <w:rsid w:val="0000389F"/>
    <w:rsid w:val="000038B8"/>
    <w:rsid w:val="000038CE"/>
    <w:rsid w:val="000038D4"/>
    <w:rsid w:val="00003990"/>
    <w:rsid w:val="00003AE9"/>
    <w:rsid w:val="00003B24"/>
    <w:rsid w:val="00003C21"/>
    <w:rsid w:val="00003CE9"/>
    <w:rsid w:val="00003E86"/>
    <w:rsid w:val="00003FF8"/>
    <w:rsid w:val="0000408D"/>
    <w:rsid w:val="00004093"/>
    <w:rsid w:val="0000426E"/>
    <w:rsid w:val="000042EB"/>
    <w:rsid w:val="0000431B"/>
    <w:rsid w:val="0000431D"/>
    <w:rsid w:val="000044AF"/>
    <w:rsid w:val="000045AC"/>
    <w:rsid w:val="00004601"/>
    <w:rsid w:val="00004716"/>
    <w:rsid w:val="00004790"/>
    <w:rsid w:val="000047C4"/>
    <w:rsid w:val="000047D9"/>
    <w:rsid w:val="0000489C"/>
    <w:rsid w:val="000048F4"/>
    <w:rsid w:val="00004949"/>
    <w:rsid w:val="0000495B"/>
    <w:rsid w:val="000049B8"/>
    <w:rsid w:val="00004C0C"/>
    <w:rsid w:val="00004D52"/>
    <w:rsid w:val="00004D62"/>
    <w:rsid w:val="00004E7B"/>
    <w:rsid w:val="00004F9F"/>
    <w:rsid w:val="00004FAC"/>
    <w:rsid w:val="00005001"/>
    <w:rsid w:val="00005066"/>
    <w:rsid w:val="000050A2"/>
    <w:rsid w:val="000050D3"/>
    <w:rsid w:val="000051CB"/>
    <w:rsid w:val="000052E7"/>
    <w:rsid w:val="000053EC"/>
    <w:rsid w:val="00005663"/>
    <w:rsid w:val="00005665"/>
    <w:rsid w:val="00005713"/>
    <w:rsid w:val="0000589B"/>
    <w:rsid w:val="00005B44"/>
    <w:rsid w:val="00005B4C"/>
    <w:rsid w:val="00005C43"/>
    <w:rsid w:val="00005D3C"/>
    <w:rsid w:val="00005D8C"/>
    <w:rsid w:val="00005DC2"/>
    <w:rsid w:val="00005E19"/>
    <w:rsid w:val="00005F5A"/>
    <w:rsid w:val="00005F6A"/>
    <w:rsid w:val="00005FD3"/>
    <w:rsid w:val="0000604D"/>
    <w:rsid w:val="00006053"/>
    <w:rsid w:val="000060C1"/>
    <w:rsid w:val="0000612B"/>
    <w:rsid w:val="0000629A"/>
    <w:rsid w:val="000062BC"/>
    <w:rsid w:val="0000630F"/>
    <w:rsid w:val="000063DF"/>
    <w:rsid w:val="00006426"/>
    <w:rsid w:val="00006447"/>
    <w:rsid w:val="00006479"/>
    <w:rsid w:val="0000669A"/>
    <w:rsid w:val="0000674B"/>
    <w:rsid w:val="000067A7"/>
    <w:rsid w:val="00006942"/>
    <w:rsid w:val="00006973"/>
    <w:rsid w:val="000069B3"/>
    <w:rsid w:val="00006A47"/>
    <w:rsid w:val="00006B5A"/>
    <w:rsid w:val="00006BFD"/>
    <w:rsid w:val="00006C71"/>
    <w:rsid w:val="00006CD3"/>
    <w:rsid w:val="00006D01"/>
    <w:rsid w:val="00006DED"/>
    <w:rsid w:val="00006E66"/>
    <w:rsid w:val="00006FB2"/>
    <w:rsid w:val="00007018"/>
    <w:rsid w:val="00007204"/>
    <w:rsid w:val="000072CF"/>
    <w:rsid w:val="00007328"/>
    <w:rsid w:val="00007338"/>
    <w:rsid w:val="0000735C"/>
    <w:rsid w:val="000074C9"/>
    <w:rsid w:val="0000753A"/>
    <w:rsid w:val="00007623"/>
    <w:rsid w:val="00007671"/>
    <w:rsid w:val="000076EE"/>
    <w:rsid w:val="0000770C"/>
    <w:rsid w:val="00007805"/>
    <w:rsid w:val="00007830"/>
    <w:rsid w:val="000078CE"/>
    <w:rsid w:val="000078FB"/>
    <w:rsid w:val="00007906"/>
    <w:rsid w:val="00007AE1"/>
    <w:rsid w:val="00007B4A"/>
    <w:rsid w:val="00007C95"/>
    <w:rsid w:val="00007DC4"/>
    <w:rsid w:val="00007DDC"/>
    <w:rsid w:val="00007F0C"/>
    <w:rsid w:val="00007F98"/>
    <w:rsid w:val="00010140"/>
    <w:rsid w:val="00010186"/>
    <w:rsid w:val="00010190"/>
    <w:rsid w:val="0001021C"/>
    <w:rsid w:val="00010305"/>
    <w:rsid w:val="00010607"/>
    <w:rsid w:val="00010745"/>
    <w:rsid w:val="0001078D"/>
    <w:rsid w:val="00010820"/>
    <w:rsid w:val="000108DB"/>
    <w:rsid w:val="000109F9"/>
    <w:rsid w:val="00010A78"/>
    <w:rsid w:val="00010BD2"/>
    <w:rsid w:val="00010DBF"/>
    <w:rsid w:val="00010E79"/>
    <w:rsid w:val="00010EF3"/>
    <w:rsid w:val="00010F27"/>
    <w:rsid w:val="00011330"/>
    <w:rsid w:val="0001136D"/>
    <w:rsid w:val="00011388"/>
    <w:rsid w:val="000113AE"/>
    <w:rsid w:val="000113B1"/>
    <w:rsid w:val="00011465"/>
    <w:rsid w:val="00011497"/>
    <w:rsid w:val="0001149E"/>
    <w:rsid w:val="00011519"/>
    <w:rsid w:val="0001160E"/>
    <w:rsid w:val="00011730"/>
    <w:rsid w:val="000118EE"/>
    <w:rsid w:val="00011CAE"/>
    <w:rsid w:val="00011D27"/>
    <w:rsid w:val="00011FAF"/>
    <w:rsid w:val="000120D8"/>
    <w:rsid w:val="0001219C"/>
    <w:rsid w:val="000121B4"/>
    <w:rsid w:val="000122BA"/>
    <w:rsid w:val="00012379"/>
    <w:rsid w:val="000123D6"/>
    <w:rsid w:val="00012502"/>
    <w:rsid w:val="0001250D"/>
    <w:rsid w:val="00012526"/>
    <w:rsid w:val="000126FD"/>
    <w:rsid w:val="0001274B"/>
    <w:rsid w:val="00012801"/>
    <w:rsid w:val="00012808"/>
    <w:rsid w:val="0001289B"/>
    <w:rsid w:val="000128D5"/>
    <w:rsid w:val="000129D7"/>
    <w:rsid w:val="00012C5B"/>
    <w:rsid w:val="00012CDC"/>
    <w:rsid w:val="00012CF9"/>
    <w:rsid w:val="00012F29"/>
    <w:rsid w:val="0001311A"/>
    <w:rsid w:val="000131FC"/>
    <w:rsid w:val="000132BC"/>
    <w:rsid w:val="000132E0"/>
    <w:rsid w:val="000133B5"/>
    <w:rsid w:val="000133D3"/>
    <w:rsid w:val="0001340B"/>
    <w:rsid w:val="00013432"/>
    <w:rsid w:val="00013492"/>
    <w:rsid w:val="00013553"/>
    <w:rsid w:val="000135FA"/>
    <w:rsid w:val="0001368E"/>
    <w:rsid w:val="0001375A"/>
    <w:rsid w:val="000137DF"/>
    <w:rsid w:val="00013848"/>
    <w:rsid w:val="000138AE"/>
    <w:rsid w:val="000138C4"/>
    <w:rsid w:val="00013902"/>
    <w:rsid w:val="00013956"/>
    <w:rsid w:val="00013997"/>
    <w:rsid w:val="00013B33"/>
    <w:rsid w:val="00013B64"/>
    <w:rsid w:val="00013BC3"/>
    <w:rsid w:val="00013DCA"/>
    <w:rsid w:val="00013E61"/>
    <w:rsid w:val="00013F4A"/>
    <w:rsid w:val="00013F61"/>
    <w:rsid w:val="00013FE4"/>
    <w:rsid w:val="000140A3"/>
    <w:rsid w:val="0001415A"/>
    <w:rsid w:val="00014184"/>
    <w:rsid w:val="000141CB"/>
    <w:rsid w:val="000141F3"/>
    <w:rsid w:val="0001425E"/>
    <w:rsid w:val="000142B2"/>
    <w:rsid w:val="00014487"/>
    <w:rsid w:val="0001450B"/>
    <w:rsid w:val="00014544"/>
    <w:rsid w:val="0001457F"/>
    <w:rsid w:val="000146E8"/>
    <w:rsid w:val="00014725"/>
    <w:rsid w:val="0001472F"/>
    <w:rsid w:val="0001476A"/>
    <w:rsid w:val="0001497D"/>
    <w:rsid w:val="00014A96"/>
    <w:rsid w:val="00014BCE"/>
    <w:rsid w:val="00014CB4"/>
    <w:rsid w:val="00014CBA"/>
    <w:rsid w:val="00014DBC"/>
    <w:rsid w:val="00014E30"/>
    <w:rsid w:val="00014EBE"/>
    <w:rsid w:val="00014EF1"/>
    <w:rsid w:val="00014F3A"/>
    <w:rsid w:val="00014F67"/>
    <w:rsid w:val="00014F78"/>
    <w:rsid w:val="00014FAB"/>
    <w:rsid w:val="00014FC2"/>
    <w:rsid w:val="0001502E"/>
    <w:rsid w:val="00015190"/>
    <w:rsid w:val="000151D4"/>
    <w:rsid w:val="00015285"/>
    <w:rsid w:val="000154E1"/>
    <w:rsid w:val="0001559B"/>
    <w:rsid w:val="000155B2"/>
    <w:rsid w:val="000157D2"/>
    <w:rsid w:val="00015B34"/>
    <w:rsid w:val="00015C60"/>
    <w:rsid w:val="00015DE9"/>
    <w:rsid w:val="00015EC8"/>
    <w:rsid w:val="00015F56"/>
    <w:rsid w:val="00015FF6"/>
    <w:rsid w:val="0001624A"/>
    <w:rsid w:val="00016286"/>
    <w:rsid w:val="000162F4"/>
    <w:rsid w:val="0001636C"/>
    <w:rsid w:val="0001649D"/>
    <w:rsid w:val="000165B2"/>
    <w:rsid w:val="000165D0"/>
    <w:rsid w:val="00016661"/>
    <w:rsid w:val="00016672"/>
    <w:rsid w:val="00016699"/>
    <w:rsid w:val="00016767"/>
    <w:rsid w:val="0001686A"/>
    <w:rsid w:val="00016909"/>
    <w:rsid w:val="00016AAE"/>
    <w:rsid w:val="00016B12"/>
    <w:rsid w:val="00016BC7"/>
    <w:rsid w:val="00016F01"/>
    <w:rsid w:val="0001700B"/>
    <w:rsid w:val="000170C2"/>
    <w:rsid w:val="00017289"/>
    <w:rsid w:val="00017438"/>
    <w:rsid w:val="00017576"/>
    <w:rsid w:val="0001758B"/>
    <w:rsid w:val="0001761B"/>
    <w:rsid w:val="00017643"/>
    <w:rsid w:val="000176B5"/>
    <w:rsid w:val="0001770F"/>
    <w:rsid w:val="000179A6"/>
    <w:rsid w:val="00017AB8"/>
    <w:rsid w:val="00017CD9"/>
    <w:rsid w:val="00017CF5"/>
    <w:rsid w:val="00017D21"/>
    <w:rsid w:val="0002002E"/>
    <w:rsid w:val="000200CE"/>
    <w:rsid w:val="000200E3"/>
    <w:rsid w:val="00020124"/>
    <w:rsid w:val="0002012C"/>
    <w:rsid w:val="0002014A"/>
    <w:rsid w:val="00020156"/>
    <w:rsid w:val="00020218"/>
    <w:rsid w:val="0002023E"/>
    <w:rsid w:val="000202AF"/>
    <w:rsid w:val="0002034A"/>
    <w:rsid w:val="000204E0"/>
    <w:rsid w:val="00020560"/>
    <w:rsid w:val="00020582"/>
    <w:rsid w:val="000205A0"/>
    <w:rsid w:val="0002066F"/>
    <w:rsid w:val="00020859"/>
    <w:rsid w:val="000208C2"/>
    <w:rsid w:val="00020953"/>
    <w:rsid w:val="00020962"/>
    <w:rsid w:val="00020B37"/>
    <w:rsid w:val="00020CE6"/>
    <w:rsid w:val="00020E52"/>
    <w:rsid w:val="00020FE4"/>
    <w:rsid w:val="00021265"/>
    <w:rsid w:val="00021279"/>
    <w:rsid w:val="000212BD"/>
    <w:rsid w:val="0002135A"/>
    <w:rsid w:val="000214B9"/>
    <w:rsid w:val="00021526"/>
    <w:rsid w:val="0002159D"/>
    <w:rsid w:val="0002161F"/>
    <w:rsid w:val="000217C1"/>
    <w:rsid w:val="00021BBE"/>
    <w:rsid w:val="00021CDE"/>
    <w:rsid w:val="00021D1A"/>
    <w:rsid w:val="00021DC4"/>
    <w:rsid w:val="00021F05"/>
    <w:rsid w:val="00021FCA"/>
    <w:rsid w:val="0002205D"/>
    <w:rsid w:val="00022154"/>
    <w:rsid w:val="0002222C"/>
    <w:rsid w:val="00022431"/>
    <w:rsid w:val="00022458"/>
    <w:rsid w:val="000224CB"/>
    <w:rsid w:val="00022510"/>
    <w:rsid w:val="00022610"/>
    <w:rsid w:val="00022612"/>
    <w:rsid w:val="0002278A"/>
    <w:rsid w:val="000227C9"/>
    <w:rsid w:val="0002291B"/>
    <w:rsid w:val="000229AE"/>
    <w:rsid w:val="00022C4E"/>
    <w:rsid w:val="00022C5C"/>
    <w:rsid w:val="00022CCF"/>
    <w:rsid w:val="00022EB0"/>
    <w:rsid w:val="00022EC0"/>
    <w:rsid w:val="00022F0B"/>
    <w:rsid w:val="00022F3C"/>
    <w:rsid w:val="00022FDB"/>
    <w:rsid w:val="00022FDD"/>
    <w:rsid w:val="0002300E"/>
    <w:rsid w:val="00023014"/>
    <w:rsid w:val="000230C8"/>
    <w:rsid w:val="000230F2"/>
    <w:rsid w:val="0002314D"/>
    <w:rsid w:val="000231FC"/>
    <w:rsid w:val="000232AD"/>
    <w:rsid w:val="000234E4"/>
    <w:rsid w:val="000234F8"/>
    <w:rsid w:val="00023769"/>
    <w:rsid w:val="000238D5"/>
    <w:rsid w:val="000239E6"/>
    <w:rsid w:val="00023A1C"/>
    <w:rsid w:val="00023B26"/>
    <w:rsid w:val="00023B37"/>
    <w:rsid w:val="00023C4F"/>
    <w:rsid w:val="00023C55"/>
    <w:rsid w:val="00023C7F"/>
    <w:rsid w:val="00023CE9"/>
    <w:rsid w:val="00023DF9"/>
    <w:rsid w:val="00023F37"/>
    <w:rsid w:val="00023F6D"/>
    <w:rsid w:val="00023F73"/>
    <w:rsid w:val="00024197"/>
    <w:rsid w:val="0002423E"/>
    <w:rsid w:val="00024251"/>
    <w:rsid w:val="0002427D"/>
    <w:rsid w:val="00024443"/>
    <w:rsid w:val="000244BD"/>
    <w:rsid w:val="000244F0"/>
    <w:rsid w:val="00024642"/>
    <w:rsid w:val="0002467C"/>
    <w:rsid w:val="0002470A"/>
    <w:rsid w:val="00024763"/>
    <w:rsid w:val="00024771"/>
    <w:rsid w:val="000247F7"/>
    <w:rsid w:val="00024847"/>
    <w:rsid w:val="00024A14"/>
    <w:rsid w:val="00024A50"/>
    <w:rsid w:val="00024A64"/>
    <w:rsid w:val="00024ADC"/>
    <w:rsid w:val="00024AE7"/>
    <w:rsid w:val="00024AFE"/>
    <w:rsid w:val="00024B11"/>
    <w:rsid w:val="00024B32"/>
    <w:rsid w:val="00024C67"/>
    <w:rsid w:val="00024C79"/>
    <w:rsid w:val="00024CE1"/>
    <w:rsid w:val="00024EB1"/>
    <w:rsid w:val="00024F86"/>
    <w:rsid w:val="00024FC3"/>
    <w:rsid w:val="0002507E"/>
    <w:rsid w:val="000250E1"/>
    <w:rsid w:val="000251A9"/>
    <w:rsid w:val="000252B1"/>
    <w:rsid w:val="00025300"/>
    <w:rsid w:val="00025332"/>
    <w:rsid w:val="00025337"/>
    <w:rsid w:val="000253E7"/>
    <w:rsid w:val="00025807"/>
    <w:rsid w:val="0002584A"/>
    <w:rsid w:val="0002585B"/>
    <w:rsid w:val="000259A1"/>
    <w:rsid w:val="00025B7F"/>
    <w:rsid w:val="00025B88"/>
    <w:rsid w:val="00025B91"/>
    <w:rsid w:val="00025E2D"/>
    <w:rsid w:val="00025E8A"/>
    <w:rsid w:val="00025F96"/>
    <w:rsid w:val="00025FF2"/>
    <w:rsid w:val="000260A5"/>
    <w:rsid w:val="00026148"/>
    <w:rsid w:val="00026449"/>
    <w:rsid w:val="000264E9"/>
    <w:rsid w:val="00026642"/>
    <w:rsid w:val="00026684"/>
    <w:rsid w:val="00026721"/>
    <w:rsid w:val="00026725"/>
    <w:rsid w:val="000267B4"/>
    <w:rsid w:val="000268EA"/>
    <w:rsid w:val="00026918"/>
    <w:rsid w:val="00026A4C"/>
    <w:rsid w:val="00026A53"/>
    <w:rsid w:val="00026AD9"/>
    <w:rsid w:val="00026BFC"/>
    <w:rsid w:val="00026C12"/>
    <w:rsid w:val="00026C46"/>
    <w:rsid w:val="00026DB8"/>
    <w:rsid w:val="00026E8E"/>
    <w:rsid w:val="00026F88"/>
    <w:rsid w:val="00026FC8"/>
    <w:rsid w:val="000270D7"/>
    <w:rsid w:val="000270E1"/>
    <w:rsid w:val="000270E4"/>
    <w:rsid w:val="000271C5"/>
    <w:rsid w:val="00027208"/>
    <w:rsid w:val="00027251"/>
    <w:rsid w:val="00027485"/>
    <w:rsid w:val="0002751F"/>
    <w:rsid w:val="00027540"/>
    <w:rsid w:val="00027573"/>
    <w:rsid w:val="000275FC"/>
    <w:rsid w:val="00027625"/>
    <w:rsid w:val="00027626"/>
    <w:rsid w:val="00027824"/>
    <w:rsid w:val="0002798A"/>
    <w:rsid w:val="0002798B"/>
    <w:rsid w:val="000279F7"/>
    <w:rsid w:val="00027A00"/>
    <w:rsid w:val="00027ADC"/>
    <w:rsid w:val="00027B11"/>
    <w:rsid w:val="00027EA0"/>
    <w:rsid w:val="0003034E"/>
    <w:rsid w:val="000303C7"/>
    <w:rsid w:val="00030408"/>
    <w:rsid w:val="0003048F"/>
    <w:rsid w:val="00030509"/>
    <w:rsid w:val="00030686"/>
    <w:rsid w:val="000306A9"/>
    <w:rsid w:val="00030787"/>
    <w:rsid w:val="000307CE"/>
    <w:rsid w:val="00030822"/>
    <w:rsid w:val="000308B0"/>
    <w:rsid w:val="000308E3"/>
    <w:rsid w:val="00030920"/>
    <w:rsid w:val="00030ADF"/>
    <w:rsid w:val="00030B16"/>
    <w:rsid w:val="00030B80"/>
    <w:rsid w:val="00030BC6"/>
    <w:rsid w:val="00030BF1"/>
    <w:rsid w:val="00030C42"/>
    <w:rsid w:val="00030C77"/>
    <w:rsid w:val="00031037"/>
    <w:rsid w:val="0003107F"/>
    <w:rsid w:val="000310DC"/>
    <w:rsid w:val="000310DD"/>
    <w:rsid w:val="000311A8"/>
    <w:rsid w:val="00031228"/>
    <w:rsid w:val="00031352"/>
    <w:rsid w:val="00031459"/>
    <w:rsid w:val="00031504"/>
    <w:rsid w:val="00031586"/>
    <w:rsid w:val="00031730"/>
    <w:rsid w:val="000317A5"/>
    <w:rsid w:val="0003189F"/>
    <w:rsid w:val="000318A4"/>
    <w:rsid w:val="00031983"/>
    <w:rsid w:val="00031A6D"/>
    <w:rsid w:val="00031B30"/>
    <w:rsid w:val="00031C05"/>
    <w:rsid w:val="00031D41"/>
    <w:rsid w:val="00032020"/>
    <w:rsid w:val="00032054"/>
    <w:rsid w:val="000320A6"/>
    <w:rsid w:val="00032185"/>
    <w:rsid w:val="0003221A"/>
    <w:rsid w:val="0003247A"/>
    <w:rsid w:val="00032487"/>
    <w:rsid w:val="00032555"/>
    <w:rsid w:val="0003264D"/>
    <w:rsid w:val="0003291F"/>
    <w:rsid w:val="00032D29"/>
    <w:rsid w:val="00032D52"/>
    <w:rsid w:val="00032D64"/>
    <w:rsid w:val="00032F35"/>
    <w:rsid w:val="00032F36"/>
    <w:rsid w:val="000330D6"/>
    <w:rsid w:val="000331D0"/>
    <w:rsid w:val="000331EB"/>
    <w:rsid w:val="000331F4"/>
    <w:rsid w:val="000332D7"/>
    <w:rsid w:val="0003330B"/>
    <w:rsid w:val="00033418"/>
    <w:rsid w:val="00033529"/>
    <w:rsid w:val="0003358A"/>
    <w:rsid w:val="000335CC"/>
    <w:rsid w:val="00033649"/>
    <w:rsid w:val="00033774"/>
    <w:rsid w:val="000337BF"/>
    <w:rsid w:val="000337CD"/>
    <w:rsid w:val="00033A12"/>
    <w:rsid w:val="00033A58"/>
    <w:rsid w:val="00033B71"/>
    <w:rsid w:val="00033B9E"/>
    <w:rsid w:val="00033D0A"/>
    <w:rsid w:val="00033D80"/>
    <w:rsid w:val="00033DF2"/>
    <w:rsid w:val="00033E4B"/>
    <w:rsid w:val="00034062"/>
    <w:rsid w:val="00034250"/>
    <w:rsid w:val="0003430D"/>
    <w:rsid w:val="00034349"/>
    <w:rsid w:val="000343B8"/>
    <w:rsid w:val="0003454F"/>
    <w:rsid w:val="00034557"/>
    <w:rsid w:val="0003461E"/>
    <w:rsid w:val="00034723"/>
    <w:rsid w:val="00034838"/>
    <w:rsid w:val="000348D8"/>
    <w:rsid w:val="0003491A"/>
    <w:rsid w:val="00034AAA"/>
    <w:rsid w:val="00034B74"/>
    <w:rsid w:val="00034C39"/>
    <w:rsid w:val="00034D42"/>
    <w:rsid w:val="00034E0F"/>
    <w:rsid w:val="000351CC"/>
    <w:rsid w:val="00035231"/>
    <w:rsid w:val="00035385"/>
    <w:rsid w:val="00035386"/>
    <w:rsid w:val="000353AB"/>
    <w:rsid w:val="000353BD"/>
    <w:rsid w:val="000353CA"/>
    <w:rsid w:val="000353EB"/>
    <w:rsid w:val="00035419"/>
    <w:rsid w:val="000354ED"/>
    <w:rsid w:val="000355B3"/>
    <w:rsid w:val="000355F2"/>
    <w:rsid w:val="000356B7"/>
    <w:rsid w:val="000356C6"/>
    <w:rsid w:val="0003576F"/>
    <w:rsid w:val="0003578A"/>
    <w:rsid w:val="00035895"/>
    <w:rsid w:val="000358C3"/>
    <w:rsid w:val="0003595A"/>
    <w:rsid w:val="00035971"/>
    <w:rsid w:val="00035989"/>
    <w:rsid w:val="00035A5E"/>
    <w:rsid w:val="00035A7A"/>
    <w:rsid w:val="00035B23"/>
    <w:rsid w:val="00035C00"/>
    <w:rsid w:val="00035E7F"/>
    <w:rsid w:val="00035EA1"/>
    <w:rsid w:val="00035F2F"/>
    <w:rsid w:val="00035F9B"/>
    <w:rsid w:val="00035FE0"/>
    <w:rsid w:val="00036057"/>
    <w:rsid w:val="00036073"/>
    <w:rsid w:val="000360A8"/>
    <w:rsid w:val="000360BA"/>
    <w:rsid w:val="00036115"/>
    <w:rsid w:val="00036151"/>
    <w:rsid w:val="0003623E"/>
    <w:rsid w:val="00036334"/>
    <w:rsid w:val="00036358"/>
    <w:rsid w:val="000364D8"/>
    <w:rsid w:val="00036603"/>
    <w:rsid w:val="000366F7"/>
    <w:rsid w:val="0003697F"/>
    <w:rsid w:val="000369E2"/>
    <w:rsid w:val="00036B10"/>
    <w:rsid w:val="00036C54"/>
    <w:rsid w:val="00036C78"/>
    <w:rsid w:val="00036CD9"/>
    <w:rsid w:val="00036D2E"/>
    <w:rsid w:val="000371EE"/>
    <w:rsid w:val="00037632"/>
    <w:rsid w:val="0003763C"/>
    <w:rsid w:val="000376F2"/>
    <w:rsid w:val="00037728"/>
    <w:rsid w:val="00037753"/>
    <w:rsid w:val="000377B0"/>
    <w:rsid w:val="000377C2"/>
    <w:rsid w:val="00037849"/>
    <w:rsid w:val="00037986"/>
    <w:rsid w:val="00037B85"/>
    <w:rsid w:val="00037BAA"/>
    <w:rsid w:val="00037D1F"/>
    <w:rsid w:val="00037E10"/>
    <w:rsid w:val="00037E6B"/>
    <w:rsid w:val="00037EC0"/>
    <w:rsid w:val="00037ED6"/>
    <w:rsid w:val="00037F8A"/>
    <w:rsid w:val="0004000E"/>
    <w:rsid w:val="00040027"/>
    <w:rsid w:val="00040162"/>
    <w:rsid w:val="000401DB"/>
    <w:rsid w:val="000403C8"/>
    <w:rsid w:val="000405EB"/>
    <w:rsid w:val="000406CB"/>
    <w:rsid w:val="0004074E"/>
    <w:rsid w:val="00040781"/>
    <w:rsid w:val="000407D8"/>
    <w:rsid w:val="00040897"/>
    <w:rsid w:val="00040913"/>
    <w:rsid w:val="00040A3F"/>
    <w:rsid w:val="00040A8B"/>
    <w:rsid w:val="00040AEF"/>
    <w:rsid w:val="00040BBB"/>
    <w:rsid w:val="00040D0F"/>
    <w:rsid w:val="00040D21"/>
    <w:rsid w:val="00040D2D"/>
    <w:rsid w:val="00040D82"/>
    <w:rsid w:val="00040EC4"/>
    <w:rsid w:val="00040EEC"/>
    <w:rsid w:val="00040F8D"/>
    <w:rsid w:val="00040FED"/>
    <w:rsid w:val="0004106E"/>
    <w:rsid w:val="00041079"/>
    <w:rsid w:val="000410B6"/>
    <w:rsid w:val="000410C7"/>
    <w:rsid w:val="00041101"/>
    <w:rsid w:val="000411AA"/>
    <w:rsid w:val="000411DD"/>
    <w:rsid w:val="0004130F"/>
    <w:rsid w:val="00041415"/>
    <w:rsid w:val="0004141B"/>
    <w:rsid w:val="00041425"/>
    <w:rsid w:val="000417FE"/>
    <w:rsid w:val="00041B8D"/>
    <w:rsid w:val="00041D20"/>
    <w:rsid w:val="00041EC9"/>
    <w:rsid w:val="00041F45"/>
    <w:rsid w:val="00041FCC"/>
    <w:rsid w:val="00042083"/>
    <w:rsid w:val="000421AC"/>
    <w:rsid w:val="000421C4"/>
    <w:rsid w:val="00042238"/>
    <w:rsid w:val="000422E6"/>
    <w:rsid w:val="000423A8"/>
    <w:rsid w:val="000423AE"/>
    <w:rsid w:val="000423E4"/>
    <w:rsid w:val="000424AC"/>
    <w:rsid w:val="00042557"/>
    <w:rsid w:val="0004278D"/>
    <w:rsid w:val="000427A1"/>
    <w:rsid w:val="000428B3"/>
    <w:rsid w:val="000429E4"/>
    <w:rsid w:val="000429F1"/>
    <w:rsid w:val="00042A4E"/>
    <w:rsid w:val="00042A5F"/>
    <w:rsid w:val="00042AE2"/>
    <w:rsid w:val="00042BB4"/>
    <w:rsid w:val="00042BB5"/>
    <w:rsid w:val="00042CF3"/>
    <w:rsid w:val="00042D59"/>
    <w:rsid w:val="00042D9C"/>
    <w:rsid w:val="00042F34"/>
    <w:rsid w:val="00042FC1"/>
    <w:rsid w:val="000430AD"/>
    <w:rsid w:val="00043145"/>
    <w:rsid w:val="0004314A"/>
    <w:rsid w:val="000431C3"/>
    <w:rsid w:val="000431D6"/>
    <w:rsid w:val="00043267"/>
    <w:rsid w:val="000432A1"/>
    <w:rsid w:val="000432D0"/>
    <w:rsid w:val="000435FC"/>
    <w:rsid w:val="00043658"/>
    <w:rsid w:val="0004370E"/>
    <w:rsid w:val="00043732"/>
    <w:rsid w:val="0004379B"/>
    <w:rsid w:val="000437EA"/>
    <w:rsid w:val="0004384C"/>
    <w:rsid w:val="000439FD"/>
    <w:rsid w:val="00043E0B"/>
    <w:rsid w:val="00043E1E"/>
    <w:rsid w:val="00043E5B"/>
    <w:rsid w:val="00043EBB"/>
    <w:rsid w:val="0004402A"/>
    <w:rsid w:val="00044042"/>
    <w:rsid w:val="000440F3"/>
    <w:rsid w:val="00044122"/>
    <w:rsid w:val="000441DB"/>
    <w:rsid w:val="000442BC"/>
    <w:rsid w:val="000442E8"/>
    <w:rsid w:val="0004438D"/>
    <w:rsid w:val="00044438"/>
    <w:rsid w:val="0004446C"/>
    <w:rsid w:val="00044580"/>
    <w:rsid w:val="000445BD"/>
    <w:rsid w:val="0004466C"/>
    <w:rsid w:val="0004472F"/>
    <w:rsid w:val="00044772"/>
    <w:rsid w:val="0004477D"/>
    <w:rsid w:val="0004488B"/>
    <w:rsid w:val="000448B1"/>
    <w:rsid w:val="00044A32"/>
    <w:rsid w:val="00044C84"/>
    <w:rsid w:val="00044D0E"/>
    <w:rsid w:val="00044D19"/>
    <w:rsid w:val="00044D73"/>
    <w:rsid w:val="00044D90"/>
    <w:rsid w:val="00044E5F"/>
    <w:rsid w:val="00044EC9"/>
    <w:rsid w:val="0004511E"/>
    <w:rsid w:val="00045275"/>
    <w:rsid w:val="00045298"/>
    <w:rsid w:val="00045541"/>
    <w:rsid w:val="00045547"/>
    <w:rsid w:val="00045744"/>
    <w:rsid w:val="000457E1"/>
    <w:rsid w:val="000458C1"/>
    <w:rsid w:val="000458FB"/>
    <w:rsid w:val="0004595F"/>
    <w:rsid w:val="00045A64"/>
    <w:rsid w:val="00045B30"/>
    <w:rsid w:val="00045B70"/>
    <w:rsid w:val="00045BD1"/>
    <w:rsid w:val="00045CA9"/>
    <w:rsid w:val="00045CBB"/>
    <w:rsid w:val="00045E43"/>
    <w:rsid w:val="00046062"/>
    <w:rsid w:val="00046084"/>
    <w:rsid w:val="000460B3"/>
    <w:rsid w:val="000460C8"/>
    <w:rsid w:val="000460CE"/>
    <w:rsid w:val="000461BF"/>
    <w:rsid w:val="00046355"/>
    <w:rsid w:val="000463E5"/>
    <w:rsid w:val="0004646D"/>
    <w:rsid w:val="00046483"/>
    <w:rsid w:val="000464E2"/>
    <w:rsid w:val="000464E9"/>
    <w:rsid w:val="00046563"/>
    <w:rsid w:val="000465EC"/>
    <w:rsid w:val="00046648"/>
    <w:rsid w:val="000466D1"/>
    <w:rsid w:val="00046768"/>
    <w:rsid w:val="00046964"/>
    <w:rsid w:val="00046990"/>
    <w:rsid w:val="00046A8C"/>
    <w:rsid w:val="00046AA7"/>
    <w:rsid w:val="00046B61"/>
    <w:rsid w:val="00046B6A"/>
    <w:rsid w:val="00046C10"/>
    <w:rsid w:val="00046E72"/>
    <w:rsid w:val="00046EA4"/>
    <w:rsid w:val="00046FFF"/>
    <w:rsid w:val="00047091"/>
    <w:rsid w:val="0004726F"/>
    <w:rsid w:val="0004727E"/>
    <w:rsid w:val="000472A4"/>
    <w:rsid w:val="000472CE"/>
    <w:rsid w:val="00047343"/>
    <w:rsid w:val="00047380"/>
    <w:rsid w:val="0004746F"/>
    <w:rsid w:val="000474AD"/>
    <w:rsid w:val="00047585"/>
    <w:rsid w:val="00047734"/>
    <w:rsid w:val="00047A3C"/>
    <w:rsid w:val="00047A7E"/>
    <w:rsid w:val="00047B82"/>
    <w:rsid w:val="00047DA1"/>
    <w:rsid w:val="00047DE0"/>
    <w:rsid w:val="00047E26"/>
    <w:rsid w:val="00047F24"/>
    <w:rsid w:val="00047F44"/>
    <w:rsid w:val="00050068"/>
    <w:rsid w:val="000500F0"/>
    <w:rsid w:val="000501FB"/>
    <w:rsid w:val="00050205"/>
    <w:rsid w:val="0005026E"/>
    <w:rsid w:val="000502C4"/>
    <w:rsid w:val="00050300"/>
    <w:rsid w:val="00050338"/>
    <w:rsid w:val="00050344"/>
    <w:rsid w:val="0005044F"/>
    <w:rsid w:val="00050526"/>
    <w:rsid w:val="0005052F"/>
    <w:rsid w:val="00050607"/>
    <w:rsid w:val="0005060D"/>
    <w:rsid w:val="00050643"/>
    <w:rsid w:val="0005068C"/>
    <w:rsid w:val="000508BD"/>
    <w:rsid w:val="000508F3"/>
    <w:rsid w:val="00050A34"/>
    <w:rsid w:val="00050AA4"/>
    <w:rsid w:val="00050AEB"/>
    <w:rsid w:val="00050BD4"/>
    <w:rsid w:val="00050D31"/>
    <w:rsid w:val="00050DCB"/>
    <w:rsid w:val="00050DD3"/>
    <w:rsid w:val="00050F56"/>
    <w:rsid w:val="00050F67"/>
    <w:rsid w:val="00051016"/>
    <w:rsid w:val="0005103C"/>
    <w:rsid w:val="000510CF"/>
    <w:rsid w:val="00051170"/>
    <w:rsid w:val="00051219"/>
    <w:rsid w:val="0005158A"/>
    <w:rsid w:val="0005167A"/>
    <w:rsid w:val="000516B9"/>
    <w:rsid w:val="00051788"/>
    <w:rsid w:val="0005189D"/>
    <w:rsid w:val="000518EA"/>
    <w:rsid w:val="000518F7"/>
    <w:rsid w:val="00051A2E"/>
    <w:rsid w:val="00051A3E"/>
    <w:rsid w:val="00051B2A"/>
    <w:rsid w:val="00051B4D"/>
    <w:rsid w:val="00051C83"/>
    <w:rsid w:val="00051CBE"/>
    <w:rsid w:val="00051CF0"/>
    <w:rsid w:val="00051D31"/>
    <w:rsid w:val="00051D5F"/>
    <w:rsid w:val="00051FFA"/>
    <w:rsid w:val="000520D2"/>
    <w:rsid w:val="00052128"/>
    <w:rsid w:val="00052202"/>
    <w:rsid w:val="0005224F"/>
    <w:rsid w:val="00052503"/>
    <w:rsid w:val="000527F6"/>
    <w:rsid w:val="0005282B"/>
    <w:rsid w:val="00052861"/>
    <w:rsid w:val="0005286A"/>
    <w:rsid w:val="00052977"/>
    <w:rsid w:val="00052A4E"/>
    <w:rsid w:val="00052B42"/>
    <w:rsid w:val="00052B46"/>
    <w:rsid w:val="00052C7C"/>
    <w:rsid w:val="00052DA4"/>
    <w:rsid w:val="00052DE3"/>
    <w:rsid w:val="00052EA8"/>
    <w:rsid w:val="00052EEF"/>
    <w:rsid w:val="00052F49"/>
    <w:rsid w:val="00052F7E"/>
    <w:rsid w:val="00052FEE"/>
    <w:rsid w:val="00053016"/>
    <w:rsid w:val="000530A1"/>
    <w:rsid w:val="000533B7"/>
    <w:rsid w:val="0005371D"/>
    <w:rsid w:val="000538C5"/>
    <w:rsid w:val="00053948"/>
    <w:rsid w:val="00053A4A"/>
    <w:rsid w:val="00053D11"/>
    <w:rsid w:val="00053D46"/>
    <w:rsid w:val="00053D68"/>
    <w:rsid w:val="00053E4C"/>
    <w:rsid w:val="00053E94"/>
    <w:rsid w:val="00053F5E"/>
    <w:rsid w:val="00054116"/>
    <w:rsid w:val="00054157"/>
    <w:rsid w:val="0005418D"/>
    <w:rsid w:val="0005419A"/>
    <w:rsid w:val="000541AE"/>
    <w:rsid w:val="000541F2"/>
    <w:rsid w:val="0005434D"/>
    <w:rsid w:val="0005475B"/>
    <w:rsid w:val="000547B6"/>
    <w:rsid w:val="00054891"/>
    <w:rsid w:val="000548F9"/>
    <w:rsid w:val="00054972"/>
    <w:rsid w:val="00054985"/>
    <w:rsid w:val="00054A0E"/>
    <w:rsid w:val="00054A43"/>
    <w:rsid w:val="00054A87"/>
    <w:rsid w:val="00054AC0"/>
    <w:rsid w:val="00054FC6"/>
    <w:rsid w:val="0005505A"/>
    <w:rsid w:val="0005519C"/>
    <w:rsid w:val="0005522B"/>
    <w:rsid w:val="00055249"/>
    <w:rsid w:val="00055450"/>
    <w:rsid w:val="000554B6"/>
    <w:rsid w:val="000554EF"/>
    <w:rsid w:val="0005550E"/>
    <w:rsid w:val="00055527"/>
    <w:rsid w:val="00055546"/>
    <w:rsid w:val="00055588"/>
    <w:rsid w:val="0005560D"/>
    <w:rsid w:val="00055614"/>
    <w:rsid w:val="000556F6"/>
    <w:rsid w:val="00055788"/>
    <w:rsid w:val="0005595F"/>
    <w:rsid w:val="0005598D"/>
    <w:rsid w:val="00055B20"/>
    <w:rsid w:val="00055BB7"/>
    <w:rsid w:val="00055BD6"/>
    <w:rsid w:val="00055C38"/>
    <w:rsid w:val="00055D2E"/>
    <w:rsid w:val="00055D59"/>
    <w:rsid w:val="00055DDB"/>
    <w:rsid w:val="00055E78"/>
    <w:rsid w:val="00055FE4"/>
    <w:rsid w:val="00056015"/>
    <w:rsid w:val="0005607A"/>
    <w:rsid w:val="000560EC"/>
    <w:rsid w:val="000560FB"/>
    <w:rsid w:val="00056116"/>
    <w:rsid w:val="00056123"/>
    <w:rsid w:val="0005619D"/>
    <w:rsid w:val="000562C8"/>
    <w:rsid w:val="0005638B"/>
    <w:rsid w:val="00056423"/>
    <w:rsid w:val="000564AC"/>
    <w:rsid w:val="000564BD"/>
    <w:rsid w:val="000565A1"/>
    <w:rsid w:val="000565FE"/>
    <w:rsid w:val="000566B2"/>
    <w:rsid w:val="00056730"/>
    <w:rsid w:val="00056755"/>
    <w:rsid w:val="000567F7"/>
    <w:rsid w:val="00056A9F"/>
    <w:rsid w:val="00056B08"/>
    <w:rsid w:val="00056B47"/>
    <w:rsid w:val="00056B6C"/>
    <w:rsid w:val="00056B6E"/>
    <w:rsid w:val="00056BEC"/>
    <w:rsid w:val="00056BEE"/>
    <w:rsid w:val="00056D86"/>
    <w:rsid w:val="00056E3B"/>
    <w:rsid w:val="00056E55"/>
    <w:rsid w:val="00056E68"/>
    <w:rsid w:val="00056E8E"/>
    <w:rsid w:val="00056F38"/>
    <w:rsid w:val="00056F9D"/>
    <w:rsid w:val="00056FF9"/>
    <w:rsid w:val="00057002"/>
    <w:rsid w:val="00057014"/>
    <w:rsid w:val="0005723D"/>
    <w:rsid w:val="000572DF"/>
    <w:rsid w:val="00057563"/>
    <w:rsid w:val="0005760C"/>
    <w:rsid w:val="00057724"/>
    <w:rsid w:val="000577B8"/>
    <w:rsid w:val="000579D9"/>
    <w:rsid w:val="00057A2D"/>
    <w:rsid w:val="00057AD7"/>
    <w:rsid w:val="00057B17"/>
    <w:rsid w:val="00057BE4"/>
    <w:rsid w:val="00057C3D"/>
    <w:rsid w:val="00057C60"/>
    <w:rsid w:val="00057C9C"/>
    <w:rsid w:val="00057FCE"/>
    <w:rsid w:val="0006008F"/>
    <w:rsid w:val="000600CA"/>
    <w:rsid w:val="000600E6"/>
    <w:rsid w:val="0006018D"/>
    <w:rsid w:val="0006018E"/>
    <w:rsid w:val="000602AA"/>
    <w:rsid w:val="00060418"/>
    <w:rsid w:val="00060516"/>
    <w:rsid w:val="000605E4"/>
    <w:rsid w:val="00060892"/>
    <w:rsid w:val="00060A80"/>
    <w:rsid w:val="00060B8B"/>
    <w:rsid w:val="00060BA6"/>
    <w:rsid w:val="00060BED"/>
    <w:rsid w:val="00060C41"/>
    <w:rsid w:val="00060D27"/>
    <w:rsid w:val="00060D48"/>
    <w:rsid w:val="00060E7F"/>
    <w:rsid w:val="00060F25"/>
    <w:rsid w:val="00060F3E"/>
    <w:rsid w:val="000611D2"/>
    <w:rsid w:val="00061272"/>
    <w:rsid w:val="00061290"/>
    <w:rsid w:val="00061307"/>
    <w:rsid w:val="0006132E"/>
    <w:rsid w:val="00061341"/>
    <w:rsid w:val="000614F8"/>
    <w:rsid w:val="00061552"/>
    <w:rsid w:val="00061591"/>
    <w:rsid w:val="000615B0"/>
    <w:rsid w:val="000615BF"/>
    <w:rsid w:val="000616EE"/>
    <w:rsid w:val="000617B0"/>
    <w:rsid w:val="000617B6"/>
    <w:rsid w:val="000617B9"/>
    <w:rsid w:val="00061814"/>
    <w:rsid w:val="00061956"/>
    <w:rsid w:val="00061C5D"/>
    <w:rsid w:val="00061D37"/>
    <w:rsid w:val="00061F7E"/>
    <w:rsid w:val="00062027"/>
    <w:rsid w:val="00062058"/>
    <w:rsid w:val="00062063"/>
    <w:rsid w:val="00062119"/>
    <w:rsid w:val="00062173"/>
    <w:rsid w:val="000621D7"/>
    <w:rsid w:val="00062270"/>
    <w:rsid w:val="0006239E"/>
    <w:rsid w:val="000624A1"/>
    <w:rsid w:val="0006252D"/>
    <w:rsid w:val="0006255D"/>
    <w:rsid w:val="00062563"/>
    <w:rsid w:val="00062645"/>
    <w:rsid w:val="000627E0"/>
    <w:rsid w:val="00062816"/>
    <w:rsid w:val="00062862"/>
    <w:rsid w:val="00062A45"/>
    <w:rsid w:val="00062AD5"/>
    <w:rsid w:val="00062B29"/>
    <w:rsid w:val="00062BBA"/>
    <w:rsid w:val="00062BCE"/>
    <w:rsid w:val="00062C00"/>
    <w:rsid w:val="00062C2A"/>
    <w:rsid w:val="00062F2D"/>
    <w:rsid w:val="00062F74"/>
    <w:rsid w:val="00062FC9"/>
    <w:rsid w:val="00063130"/>
    <w:rsid w:val="000631CE"/>
    <w:rsid w:val="00063297"/>
    <w:rsid w:val="000632B4"/>
    <w:rsid w:val="000632BC"/>
    <w:rsid w:val="0006332F"/>
    <w:rsid w:val="00063498"/>
    <w:rsid w:val="00063586"/>
    <w:rsid w:val="0006360A"/>
    <w:rsid w:val="00063687"/>
    <w:rsid w:val="000636CA"/>
    <w:rsid w:val="00063832"/>
    <w:rsid w:val="00063845"/>
    <w:rsid w:val="0006389D"/>
    <w:rsid w:val="00063906"/>
    <w:rsid w:val="00063967"/>
    <w:rsid w:val="00063A7F"/>
    <w:rsid w:val="00063AB4"/>
    <w:rsid w:val="00063B21"/>
    <w:rsid w:val="00063B3A"/>
    <w:rsid w:val="00063BC8"/>
    <w:rsid w:val="00063C4C"/>
    <w:rsid w:val="00063C5D"/>
    <w:rsid w:val="00063D06"/>
    <w:rsid w:val="00063E2D"/>
    <w:rsid w:val="00063E6D"/>
    <w:rsid w:val="00063F21"/>
    <w:rsid w:val="00063FA1"/>
    <w:rsid w:val="00063FFF"/>
    <w:rsid w:val="0006408E"/>
    <w:rsid w:val="000640D5"/>
    <w:rsid w:val="000640F7"/>
    <w:rsid w:val="00064258"/>
    <w:rsid w:val="0006435B"/>
    <w:rsid w:val="000643B0"/>
    <w:rsid w:val="0006445F"/>
    <w:rsid w:val="00064524"/>
    <w:rsid w:val="00064548"/>
    <w:rsid w:val="0006466D"/>
    <w:rsid w:val="000647C7"/>
    <w:rsid w:val="00064837"/>
    <w:rsid w:val="0006483F"/>
    <w:rsid w:val="00064959"/>
    <w:rsid w:val="00064A46"/>
    <w:rsid w:val="00064C5A"/>
    <w:rsid w:val="00064CFD"/>
    <w:rsid w:val="00064E29"/>
    <w:rsid w:val="00064E34"/>
    <w:rsid w:val="00064E55"/>
    <w:rsid w:val="00064EEA"/>
    <w:rsid w:val="00064EF6"/>
    <w:rsid w:val="00064F9B"/>
    <w:rsid w:val="00064FF1"/>
    <w:rsid w:val="000650BB"/>
    <w:rsid w:val="000651A7"/>
    <w:rsid w:val="00065258"/>
    <w:rsid w:val="0006528A"/>
    <w:rsid w:val="00065318"/>
    <w:rsid w:val="00065348"/>
    <w:rsid w:val="00065364"/>
    <w:rsid w:val="000654A0"/>
    <w:rsid w:val="000654D3"/>
    <w:rsid w:val="0006559E"/>
    <w:rsid w:val="000656AD"/>
    <w:rsid w:val="00065849"/>
    <w:rsid w:val="00065943"/>
    <w:rsid w:val="00065A4F"/>
    <w:rsid w:val="00065B28"/>
    <w:rsid w:val="00065C77"/>
    <w:rsid w:val="00065C8D"/>
    <w:rsid w:val="00065E88"/>
    <w:rsid w:val="000660C5"/>
    <w:rsid w:val="00066126"/>
    <w:rsid w:val="000661EF"/>
    <w:rsid w:val="0006625D"/>
    <w:rsid w:val="000662F9"/>
    <w:rsid w:val="00066330"/>
    <w:rsid w:val="000663B0"/>
    <w:rsid w:val="0006658A"/>
    <w:rsid w:val="000665BB"/>
    <w:rsid w:val="0006668C"/>
    <w:rsid w:val="000666BB"/>
    <w:rsid w:val="0006675E"/>
    <w:rsid w:val="00066775"/>
    <w:rsid w:val="000667A9"/>
    <w:rsid w:val="0006696A"/>
    <w:rsid w:val="00066A0C"/>
    <w:rsid w:val="00066A4F"/>
    <w:rsid w:val="00066A53"/>
    <w:rsid w:val="00066AA4"/>
    <w:rsid w:val="00066B4A"/>
    <w:rsid w:val="00066C70"/>
    <w:rsid w:val="00066D74"/>
    <w:rsid w:val="00066DBD"/>
    <w:rsid w:val="00067473"/>
    <w:rsid w:val="000674B8"/>
    <w:rsid w:val="000675BA"/>
    <w:rsid w:val="00067630"/>
    <w:rsid w:val="000679CB"/>
    <w:rsid w:val="00067A46"/>
    <w:rsid w:val="00067BE4"/>
    <w:rsid w:val="00067CD1"/>
    <w:rsid w:val="00067D5F"/>
    <w:rsid w:val="00067DAA"/>
    <w:rsid w:val="00067DCE"/>
    <w:rsid w:val="00067EFD"/>
    <w:rsid w:val="00067F23"/>
    <w:rsid w:val="0007003D"/>
    <w:rsid w:val="000701B6"/>
    <w:rsid w:val="00070224"/>
    <w:rsid w:val="0007043E"/>
    <w:rsid w:val="0007048A"/>
    <w:rsid w:val="000704A6"/>
    <w:rsid w:val="000705C3"/>
    <w:rsid w:val="00070646"/>
    <w:rsid w:val="00070649"/>
    <w:rsid w:val="000706A6"/>
    <w:rsid w:val="000706C5"/>
    <w:rsid w:val="0007072D"/>
    <w:rsid w:val="00070740"/>
    <w:rsid w:val="000707CF"/>
    <w:rsid w:val="00070807"/>
    <w:rsid w:val="0007084C"/>
    <w:rsid w:val="00070A7D"/>
    <w:rsid w:val="00070AA0"/>
    <w:rsid w:val="00070B48"/>
    <w:rsid w:val="00070BFF"/>
    <w:rsid w:val="00070DEE"/>
    <w:rsid w:val="00070E56"/>
    <w:rsid w:val="00070F27"/>
    <w:rsid w:val="000711C8"/>
    <w:rsid w:val="00071236"/>
    <w:rsid w:val="00071301"/>
    <w:rsid w:val="00071304"/>
    <w:rsid w:val="00071316"/>
    <w:rsid w:val="000713E0"/>
    <w:rsid w:val="000713F6"/>
    <w:rsid w:val="00071640"/>
    <w:rsid w:val="00071734"/>
    <w:rsid w:val="00071774"/>
    <w:rsid w:val="0007179E"/>
    <w:rsid w:val="000717C9"/>
    <w:rsid w:val="0007185C"/>
    <w:rsid w:val="0007186E"/>
    <w:rsid w:val="000718E6"/>
    <w:rsid w:val="00071A0F"/>
    <w:rsid w:val="00071C23"/>
    <w:rsid w:val="00071C35"/>
    <w:rsid w:val="00071CAE"/>
    <w:rsid w:val="00071CC7"/>
    <w:rsid w:val="00071D4B"/>
    <w:rsid w:val="00071E78"/>
    <w:rsid w:val="00071E92"/>
    <w:rsid w:val="00071ECE"/>
    <w:rsid w:val="00071F45"/>
    <w:rsid w:val="00071F54"/>
    <w:rsid w:val="00071F98"/>
    <w:rsid w:val="00072014"/>
    <w:rsid w:val="00072058"/>
    <w:rsid w:val="000720EA"/>
    <w:rsid w:val="000722D8"/>
    <w:rsid w:val="000722E6"/>
    <w:rsid w:val="00072303"/>
    <w:rsid w:val="000723C3"/>
    <w:rsid w:val="000726D9"/>
    <w:rsid w:val="00072BD0"/>
    <w:rsid w:val="00072C06"/>
    <w:rsid w:val="00072C1A"/>
    <w:rsid w:val="00072C2A"/>
    <w:rsid w:val="00072DF2"/>
    <w:rsid w:val="00072F85"/>
    <w:rsid w:val="0007303E"/>
    <w:rsid w:val="000730D4"/>
    <w:rsid w:val="000730F4"/>
    <w:rsid w:val="0007323D"/>
    <w:rsid w:val="00073251"/>
    <w:rsid w:val="0007343A"/>
    <w:rsid w:val="0007359A"/>
    <w:rsid w:val="000735D8"/>
    <w:rsid w:val="000735FA"/>
    <w:rsid w:val="000737C4"/>
    <w:rsid w:val="000737FC"/>
    <w:rsid w:val="0007380A"/>
    <w:rsid w:val="000738F7"/>
    <w:rsid w:val="00073A40"/>
    <w:rsid w:val="00073A43"/>
    <w:rsid w:val="00073A5E"/>
    <w:rsid w:val="00073AB2"/>
    <w:rsid w:val="00073B2D"/>
    <w:rsid w:val="00073C0C"/>
    <w:rsid w:val="00073C60"/>
    <w:rsid w:val="00073E3E"/>
    <w:rsid w:val="00073E86"/>
    <w:rsid w:val="00073F0E"/>
    <w:rsid w:val="00073F27"/>
    <w:rsid w:val="00073F63"/>
    <w:rsid w:val="000741D9"/>
    <w:rsid w:val="0007421B"/>
    <w:rsid w:val="0007421F"/>
    <w:rsid w:val="00074328"/>
    <w:rsid w:val="0007438F"/>
    <w:rsid w:val="000744AF"/>
    <w:rsid w:val="00074691"/>
    <w:rsid w:val="00074789"/>
    <w:rsid w:val="000747F5"/>
    <w:rsid w:val="000748A9"/>
    <w:rsid w:val="0007494D"/>
    <w:rsid w:val="00074C32"/>
    <w:rsid w:val="00074D21"/>
    <w:rsid w:val="00074E17"/>
    <w:rsid w:val="00074E4B"/>
    <w:rsid w:val="00074E8E"/>
    <w:rsid w:val="00074F3C"/>
    <w:rsid w:val="00074FFE"/>
    <w:rsid w:val="00075069"/>
    <w:rsid w:val="000750C0"/>
    <w:rsid w:val="00075185"/>
    <w:rsid w:val="00075256"/>
    <w:rsid w:val="0007555F"/>
    <w:rsid w:val="00075596"/>
    <w:rsid w:val="00075656"/>
    <w:rsid w:val="00075800"/>
    <w:rsid w:val="00075B31"/>
    <w:rsid w:val="00075B35"/>
    <w:rsid w:val="00075B7D"/>
    <w:rsid w:val="00075C08"/>
    <w:rsid w:val="00075D44"/>
    <w:rsid w:val="00075DED"/>
    <w:rsid w:val="00075ED8"/>
    <w:rsid w:val="00075EF6"/>
    <w:rsid w:val="00075F6E"/>
    <w:rsid w:val="00076099"/>
    <w:rsid w:val="0007621A"/>
    <w:rsid w:val="00076276"/>
    <w:rsid w:val="0007627A"/>
    <w:rsid w:val="000763DC"/>
    <w:rsid w:val="000763E4"/>
    <w:rsid w:val="00076517"/>
    <w:rsid w:val="00076585"/>
    <w:rsid w:val="0007660C"/>
    <w:rsid w:val="000767C6"/>
    <w:rsid w:val="00076820"/>
    <w:rsid w:val="00076844"/>
    <w:rsid w:val="0007684E"/>
    <w:rsid w:val="0007687C"/>
    <w:rsid w:val="00076974"/>
    <w:rsid w:val="00076A6F"/>
    <w:rsid w:val="00076A80"/>
    <w:rsid w:val="00076BE4"/>
    <w:rsid w:val="00076D0B"/>
    <w:rsid w:val="00076F16"/>
    <w:rsid w:val="000770A1"/>
    <w:rsid w:val="000770AB"/>
    <w:rsid w:val="00077104"/>
    <w:rsid w:val="0007715F"/>
    <w:rsid w:val="000774DB"/>
    <w:rsid w:val="00077571"/>
    <w:rsid w:val="000776E4"/>
    <w:rsid w:val="000776FD"/>
    <w:rsid w:val="000777BF"/>
    <w:rsid w:val="00077859"/>
    <w:rsid w:val="00077A06"/>
    <w:rsid w:val="00077A2E"/>
    <w:rsid w:val="00077AFB"/>
    <w:rsid w:val="00077B0F"/>
    <w:rsid w:val="00077B1C"/>
    <w:rsid w:val="00077C9F"/>
    <w:rsid w:val="00077CF7"/>
    <w:rsid w:val="00077D1F"/>
    <w:rsid w:val="00077E5A"/>
    <w:rsid w:val="00077FEE"/>
    <w:rsid w:val="00080007"/>
    <w:rsid w:val="000800D9"/>
    <w:rsid w:val="000800EF"/>
    <w:rsid w:val="00080195"/>
    <w:rsid w:val="000805E7"/>
    <w:rsid w:val="0008061F"/>
    <w:rsid w:val="00080832"/>
    <w:rsid w:val="0008092B"/>
    <w:rsid w:val="000809D9"/>
    <w:rsid w:val="00080AF1"/>
    <w:rsid w:val="00080B59"/>
    <w:rsid w:val="00080B6A"/>
    <w:rsid w:val="00080BA3"/>
    <w:rsid w:val="00080C54"/>
    <w:rsid w:val="00080CA6"/>
    <w:rsid w:val="00080CF2"/>
    <w:rsid w:val="00080DA8"/>
    <w:rsid w:val="000810D5"/>
    <w:rsid w:val="000811F1"/>
    <w:rsid w:val="00081398"/>
    <w:rsid w:val="000813E2"/>
    <w:rsid w:val="000814C1"/>
    <w:rsid w:val="000816BF"/>
    <w:rsid w:val="00081770"/>
    <w:rsid w:val="000817C7"/>
    <w:rsid w:val="00081858"/>
    <w:rsid w:val="000818F8"/>
    <w:rsid w:val="0008192A"/>
    <w:rsid w:val="000819BC"/>
    <w:rsid w:val="00081AE6"/>
    <w:rsid w:val="00081C79"/>
    <w:rsid w:val="00081C7B"/>
    <w:rsid w:val="00081CBE"/>
    <w:rsid w:val="00081D77"/>
    <w:rsid w:val="00081D85"/>
    <w:rsid w:val="00082003"/>
    <w:rsid w:val="00082069"/>
    <w:rsid w:val="000820B9"/>
    <w:rsid w:val="000820D1"/>
    <w:rsid w:val="000821E1"/>
    <w:rsid w:val="00082484"/>
    <w:rsid w:val="00082547"/>
    <w:rsid w:val="0008265E"/>
    <w:rsid w:val="00082771"/>
    <w:rsid w:val="00082802"/>
    <w:rsid w:val="00082889"/>
    <w:rsid w:val="00082996"/>
    <w:rsid w:val="000829F3"/>
    <w:rsid w:val="00082A4B"/>
    <w:rsid w:val="00082B30"/>
    <w:rsid w:val="00082C94"/>
    <w:rsid w:val="00082D58"/>
    <w:rsid w:val="00082D7B"/>
    <w:rsid w:val="00082EB0"/>
    <w:rsid w:val="000831AD"/>
    <w:rsid w:val="000833E6"/>
    <w:rsid w:val="00083443"/>
    <w:rsid w:val="00083496"/>
    <w:rsid w:val="000834FF"/>
    <w:rsid w:val="0008351D"/>
    <w:rsid w:val="0008360E"/>
    <w:rsid w:val="000836DA"/>
    <w:rsid w:val="0008370B"/>
    <w:rsid w:val="0008376D"/>
    <w:rsid w:val="000837A3"/>
    <w:rsid w:val="00083879"/>
    <w:rsid w:val="00083880"/>
    <w:rsid w:val="000838A2"/>
    <w:rsid w:val="00083991"/>
    <w:rsid w:val="00083BB2"/>
    <w:rsid w:val="00083BEE"/>
    <w:rsid w:val="00083BFC"/>
    <w:rsid w:val="00083C0F"/>
    <w:rsid w:val="00083C4F"/>
    <w:rsid w:val="00083C67"/>
    <w:rsid w:val="00083D4D"/>
    <w:rsid w:val="00083E43"/>
    <w:rsid w:val="00083E99"/>
    <w:rsid w:val="00083F13"/>
    <w:rsid w:val="0008431A"/>
    <w:rsid w:val="000844BA"/>
    <w:rsid w:val="000844BB"/>
    <w:rsid w:val="00084566"/>
    <w:rsid w:val="0008462C"/>
    <w:rsid w:val="00084664"/>
    <w:rsid w:val="00084796"/>
    <w:rsid w:val="0008485A"/>
    <w:rsid w:val="00084914"/>
    <w:rsid w:val="00084985"/>
    <w:rsid w:val="00084988"/>
    <w:rsid w:val="00084AD2"/>
    <w:rsid w:val="00084BB3"/>
    <w:rsid w:val="00084C1F"/>
    <w:rsid w:val="00084DB9"/>
    <w:rsid w:val="00084E88"/>
    <w:rsid w:val="00084EB3"/>
    <w:rsid w:val="00084ED8"/>
    <w:rsid w:val="00084EF3"/>
    <w:rsid w:val="00084F60"/>
    <w:rsid w:val="0008502B"/>
    <w:rsid w:val="00085162"/>
    <w:rsid w:val="00085278"/>
    <w:rsid w:val="00085287"/>
    <w:rsid w:val="000852E0"/>
    <w:rsid w:val="00085356"/>
    <w:rsid w:val="00085398"/>
    <w:rsid w:val="000855F0"/>
    <w:rsid w:val="00085707"/>
    <w:rsid w:val="00085762"/>
    <w:rsid w:val="000857DC"/>
    <w:rsid w:val="000857E1"/>
    <w:rsid w:val="000857F2"/>
    <w:rsid w:val="000858D1"/>
    <w:rsid w:val="000858FF"/>
    <w:rsid w:val="00085904"/>
    <w:rsid w:val="00085992"/>
    <w:rsid w:val="00085A0A"/>
    <w:rsid w:val="00085B2F"/>
    <w:rsid w:val="00085BEC"/>
    <w:rsid w:val="00085C15"/>
    <w:rsid w:val="00085C74"/>
    <w:rsid w:val="00085C9D"/>
    <w:rsid w:val="00085D0A"/>
    <w:rsid w:val="00085D4F"/>
    <w:rsid w:val="00085DBE"/>
    <w:rsid w:val="00085E6F"/>
    <w:rsid w:val="00085EDA"/>
    <w:rsid w:val="00085F98"/>
    <w:rsid w:val="00085FE5"/>
    <w:rsid w:val="00086020"/>
    <w:rsid w:val="00086381"/>
    <w:rsid w:val="0008638C"/>
    <w:rsid w:val="000864A0"/>
    <w:rsid w:val="00086607"/>
    <w:rsid w:val="00086673"/>
    <w:rsid w:val="000867F2"/>
    <w:rsid w:val="00086848"/>
    <w:rsid w:val="000868BC"/>
    <w:rsid w:val="000868C8"/>
    <w:rsid w:val="0008693D"/>
    <w:rsid w:val="0008698C"/>
    <w:rsid w:val="00086B55"/>
    <w:rsid w:val="00086C62"/>
    <w:rsid w:val="00086C96"/>
    <w:rsid w:val="00086CD7"/>
    <w:rsid w:val="00086D3F"/>
    <w:rsid w:val="00086D49"/>
    <w:rsid w:val="00086DC6"/>
    <w:rsid w:val="00086E03"/>
    <w:rsid w:val="00086E3D"/>
    <w:rsid w:val="00087066"/>
    <w:rsid w:val="000870D2"/>
    <w:rsid w:val="00087117"/>
    <w:rsid w:val="0008711E"/>
    <w:rsid w:val="0008717C"/>
    <w:rsid w:val="00087370"/>
    <w:rsid w:val="00087408"/>
    <w:rsid w:val="00087547"/>
    <w:rsid w:val="000875AF"/>
    <w:rsid w:val="000875F6"/>
    <w:rsid w:val="000876C6"/>
    <w:rsid w:val="0008773D"/>
    <w:rsid w:val="0008774D"/>
    <w:rsid w:val="00087861"/>
    <w:rsid w:val="00087934"/>
    <w:rsid w:val="00087968"/>
    <w:rsid w:val="00087A54"/>
    <w:rsid w:val="00087B49"/>
    <w:rsid w:val="00087BC0"/>
    <w:rsid w:val="00087CF1"/>
    <w:rsid w:val="00087D45"/>
    <w:rsid w:val="00087DEB"/>
    <w:rsid w:val="00087E36"/>
    <w:rsid w:val="00087F22"/>
    <w:rsid w:val="00087F62"/>
    <w:rsid w:val="00087FF6"/>
    <w:rsid w:val="00090217"/>
    <w:rsid w:val="00090610"/>
    <w:rsid w:val="00090A3E"/>
    <w:rsid w:val="00090F49"/>
    <w:rsid w:val="00090F78"/>
    <w:rsid w:val="00090FBC"/>
    <w:rsid w:val="00090FF8"/>
    <w:rsid w:val="0009108A"/>
    <w:rsid w:val="00091096"/>
    <w:rsid w:val="000910E5"/>
    <w:rsid w:val="00091129"/>
    <w:rsid w:val="000911B9"/>
    <w:rsid w:val="00091356"/>
    <w:rsid w:val="00091358"/>
    <w:rsid w:val="00091412"/>
    <w:rsid w:val="00091476"/>
    <w:rsid w:val="0009164E"/>
    <w:rsid w:val="000916F5"/>
    <w:rsid w:val="000917F1"/>
    <w:rsid w:val="00091895"/>
    <w:rsid w:val="000918E3"/>
    <w:rsid w:val="00091925"/>
    <w:rsid w:val="0009198F"/>
    <w:rsid w:val="00091AA3"/>
    <w:rsid w:val="00091AEA"/>
    <w:rsid w:val="00091AFD"/>
    <w:rsid w:val="00091BBB"/>
    <w:rsid w:val="00091BE0"/>
    <w:rsid w:val="00091C30"/>
    <w:rsid w:val="00091DD3"/>
    <w:rsid w:val="00091E25"/>
    <w:rsid w:val="00091EA8"/>
    <w:rsid w:val="00091EE4"/>
    <w:rsid w:val="00091F32"/>
    <w:rsid w:val="00091F4E"/>
    <w:rsid w:val="00091F69"/>
    <w:rsid w:val="00091F6D"/>
    <w:rsid w:val="000920AE"/>
    <w:rsid w:val="00092136"/>
    <w:rsid w:val="000921A4"/>
    <w:rsid w:val="0009236E"/>
    <w:rsid w:val="000923A8"/>
    <w:rsid w:val="00092437"/>
    <w:rsid w:val="000929AB"/>
    <w:rsid w:val="000929B9"/>
    <w:rsid w:val="00092A4D"/>
    <w:rsid w:val="00092A8B"/>
    <w:rsid w:val="00092B8A"/>
    <w:rsid w:val="00092BAB"/>
    <w:rsid w:val="0009300E"/>
    <w:rsid w:val="00093049"/>
    <w:rsid w:val="00093062"/>
    <w:rsid w:val="00093075"/>
    <w:rsid w:val="0009310C"/>
    <w:rsid w:val="000931EF"/>
    <w:rsid w:val="00093245"/>
    <w:rsid w:val="00093289"/>
    <w:rsid w:val="00093300"/>
    <w:rsid w:val="0009345B"/>
    <w:rsid w:val="000936FA"/>
    <w:rsid w:val="00093826"/>
    <w:rsid w:val="000938A7"/>
    <w:rsid w:val="000938FF"/>
    <w:rsid w:val="00093903"/>
    <w:rsid w:val="00093990"/>
    <w:rsid w:val="00093BD2"/>
    <w:rsid w:val="00093DF2"/>
    <w:rsid w:val="00093E12"/>
    <w:rsid w:val="00093ED8"/>
    <w:rsid w:val="00093EDA"/>
    <w:rsid w:val="00094014"/>
    <w:rsid w:val="000943A3"/>
    <w:rsid w:val="00094524"/>
    <w:rsid w:val="00094539"/>
    <w:rsid w:val="00094758"/>
    <w:rsid w:val="00094764"/>
    <w:rsid w:val="00094797"/>
    <w:rsid w:val="000948C4"/>
    <w:rsid w:val="00094941"/>
    <w:rsid w:val="00094969"/>
    <w:rsid w:val="000949F3"/>
    <w:rsid w:val="00094B8C"/>
    <w:rsid w:val="00094BFC"/>
    <w:rsid w:val="00094C09"/>
    <w:rsid w:val="00094C39"/>
    <w:rsid w:val="00094D87"/>
    <w:rsid w:val="00094DB4"/>
    <w:rsid w:val="00095066"/>
    <w:rsid w:val="000950B6"/>
    <w:rsid w:val="0009511E"/>
    <w:rsid w:val="0009520D"/>
    <w:rsid w:val="000952A7"/>
    <w:rsid w:val="00095303"/>
    <w:rsid w:val="0009530F"/>
    <w:rsid w:val="00095374"/>
    <w:rsid w:val="00095430"/>
    <w:rsid w:val="000954FF"/>
    <w:rsid w:val="0009551E"/>
    <w:rsid w:val="00095576"/>
    <w:rsid w:val="000955AE"/>
    <w:rsid w:val="00095630"/>
    <w:rsid w:val="000956FB"/>
    <w:rsid w:val="0009576B"/>
    <w:rsid w:val="000957A0"/>
    <w:rsid w:val="000957B0"/>
    <w:rsid w:val="00095814"/>
    <w:rsid w:val="00095873"/>
    <w:rsid w:val="0009599B"/>
    <w:rsid w:val="000959B4"/>
    <w:rsid w:val="00095B27"/>
    <w:rsid w:val="00095E06"/>
    <w:rsid w:val="00095E78"/>
    <w:rsid w:val="00095EDD"/>
    <w:rsid w:val="00095F98"/>
    <w:rsid w:val="00095FEC"/>
    <w:rsid w:val="00096093"/>
    <w:rsid w:val="000960CB"/>
    <w:rsid w:val="0009612B"/>
    <w:rsid w:val="0009617F"/>
    <w:rsid w:val="00096190"/>
    <w:rsid w:val="0009621B"/>
    <w:rsid w:val="000962E5"/>
    <w:rsid w:val="000963CF"/>
    <w:rsid w:val="000966B1"/>
    <w:rsid w:val="0009684E"/>
    <w:rsid w:val="0009687F"/>
    <w:rsid w:val="00096984"/>
    <w:rsid w:val="000969D9"/>
    <w:rsid w:val="000969F2"/>
    <w:rsid w:val="000969F3"/>
    <w:rsid w:val="00096C0E"/>
    <w:rsid w:val="00096C58"/>
    <w:rsid w:val="00096CAD"/>
    <w:rsid w:val="00096E36"/>
    <w:rsid w:val="00096E9E"/>
    <w:rsid w:val="00096FFC"/>
    <w:rsid w:val="00097114"/>
    <w:rsid w:val="0009717D"/>
    <w:rsid w:val="000971FF"/>
    <w:rsid w:val="00097230"/>
    <w:rsid w:val="000975F1"/>
    <w:rsid w:val="00097739"/>
    <w:rsid w:val="000977FA"/>
    <w:rsid w:val="0009781D"/>
    <w:rsid w:val="00097834"/>
    <w:rsid w:val="000979E0"/>
    <w:rsid w:val="00097BCF"/>
    <w:rsid w:val="00097C4F"/>
    <w:rsid w:val="00097D55"/>
    <w:rsid w:val="00097D75"/>
    <w:rsid w:val="00097E60"/>
    <w:rsid w:val="0009A74D"/>
    <w:rsid w:val="000A00D2"/>
    <w:rsid w:val="000A01D7"/>
    <w:rsid w:val="000A033E"/>
    <w:rsid w:val="000A05CC"/>
    <w:rsid w:val="000A05F7"/>
    <w:rsid w:val="000A08ED"/>
    <w:rsid w:val="000A08F9"/>
    <w:rsid w:val="000A098F"/>
    <w:rsid w:val="000A0CF5"/>
    <w:rsid w:val="000A0E52"/>
    <w:rsid w:val="000A0EBD"/>
    <w:rsid w:val="000A0F71"/>
    <w:rsid w:val="000A106B"/>
    <w:rsid w:val="000A119A"/>
    <w:rsid w:val="000A11DD"/>
    <w:rsid w:val="000A1282"/>
    <w:rsid w:val="000A128B"/>
    <w:rsid w:val="000A12AC"/>
    <w:rsid w:val="000A12C5"/>
    <w:rsid w:val="000A163A"/>
    <w:rsid w:val="000A1653"/>
    <w:rsid w:val="000A16E9"/>
    <w:rsid w:val="000A17E2"/>
    <w:rsid w:val="000A18AE"/>
    <w:rsid w:val="000A18F6"/>
    <w:rsid w:val="000A19DE"/>
    <w:rsid w:val="000A1A2E"/>
    <w:rsid w:val="000A1A7F"/>
    <w:rsid w:val="000A1B6E"/>
    <w:rsid w:val="000A1BD1"/>
    <w:rsid w:val="000A1C51"/>
    <w:rsid w:val="000A1C6A"/>
    <w:rsid w:val="000A1D06"/>
    <w:rsid w:val="000A1D79"/>
    <w:rsid w:val="000A1DAE"/>
    <w:rsid w:val="000A1E0F"/>
    <w:rsid w:val="000A1E11"/>
    <w:rsid w:val="000A1EA5"/>
    <w:rsid w:val="000A1F27"/>
    <w:rsid w:val="000A20B7"/>
    <w:rsid w:val="000A2142"/>
    <w:rsid w:val="000A2186"/>
    <w:rsid w:val="000A22A6"/>
    <w:rsid w:val="000A233C"/>
    <w:rsid w:val="000A2394"/>
    <w:rsid w:val="000A2410"/>
    <w:rsid w:val="000A2513"/>
    <w:rsid w:val="000A2526"/>
    <w:rsid w:val="000A2545"/>
    <w:rsid w:val="000A268A"/>
    <w:rsid w:val="000A2771"/>
    <w:rsid w:val="000A27A3"/>
    <w:rsid w:val="000A2825"/>
    <w:rsid w:val="000A2830"/>
    <w:rsid w:val="000A291A"/>
    <w:rsid w:val="000A2938"/>
    <w:rsid w:val="000A2BB3"/>
    <w:rsid w:val="000A2C74"/>
    <w:rsid w:val="000A2CE1"/>
    <w:rsid w:val="000A2D8D"/>
    <w:rsid w:val="000A2DB8"/>
    <w:rsid w:val="000A2E41"/>
    <w:rsid w:val="000A2EF9"/>
    <w:rsid w:val="000A2F7D"/>
    <w:rsid w:val="000A2FD9"/>
    <w:rsid w:val="000A2FEA"/>
    <w:rsid w:val="000A2FF4"/>
    <w:rsid w:val="000A30F6"/>
    <w:rsid w:val="000A32B9"/>
    <w:rsid w:val="000A33B3"/>
    <w:rsid w:val="000A3408"/>
    <w:rsid w:val="000A3422"/>
    <w:rsid w:val="000A3548"/>
    <w:rsid w:val="000A35E7"/>
    <w:rsid w:val="000A37CE"/>
    <w:rsid w:val="000A381A"/>
    <w:rsid w:val="000A3841"/>
    <w:rsid w:val="000A38D9"/>
    <w:rsid w:val="000A38DA"/>
    <w:rsid w:val="000A3951"/>
    <w:rsid w:val="000A39F9"/>
    <w:rsid w:val="000A3A4B"/>
    <w:rsid w:val="000A3A96"/>
    <w:rsid w:val="000A3AA5"/>
    <w:rsid w:val="000A3AE2"/>
    <w:rsid w:val="000A3B8C"/>
    <w:rsid w:val="000A3BDF"/>
    <w:rsid w:val="000A3CA3"/>
    <w:rsid w:val="000A3D5C"/>
    <w:rsid w:val="000A3D83"/>
    <w:rsid w:val="000A3E31"/>
    <w:rsid w:val="000A3F74"/>
    <w:rsid w:val="000A414F"/>
    <w:rsid w:val="000A4193"/>
    <w:rsid w:val="000A4241"/>
    <w:rsid w:val="000A424E"/>
    <w:rsid w:val="000A4252"/>
    <w:rsid w:val="000A44D4"/>
    <w:rsid w:val="000A44DA"/>
    <w:rsid w:val="000A451F"/>
    <w:rsid w:val="000A453B"/>
    <w:rsid w:val="000A45C1"/>
    <w:rsid w:val="000A468E"/>
    <w:rsid w:val="000A4692"/>
    <w:rsid w:val="000A46E1"/>
    <w:rsid w:val="000A47C4"/>
    <w:rsid w:val="000A4A29"/>
    <w:rsid w:val="000A4A7C"/>
    <w:rsid w:val="000A4BE2"/>
    <w:rsid w:val="000A4BF5"/>
    <w:rsid w:val="000A4DCC"/>
    <w:rsid w:val="000A4E86"/>
    <w:rsid w:val="000A4EA4"/>
    <w:rsid w:val="000A4EC1"/>
    <w:rsid w:val="000A4F51"/>
    <w:rsid w:val="000A514D"/>
    <w:rsid w:val="000A5202"/>
    <w:rsid w:val="000A5490"/>
    <w:rsid w:val="000A54DA"/>
    <w:rsid w:val="000A5513"/>
    <w:rsid w:val="000A5549"/>
    <w:rsid w:val="000A55F0"/>
    <w:rsid w:val="000A5790"/>
    <w:rsid w:val="000A57A5"/>
    <w:rsid w:val="000A58F5"/>
    <w:rsid w:val="000A5999"/>
    <w:rsid w:val="000A59F9"/>
    <w:rsid w:val="000A5A6C"/>
    <w:rsid w:val="000A5AFB"/>
    <w:rsid w:val="000A5C00"/>
    <w:rsid w:val="000A5C8D"/>
    <w:rsid w:val="000A5CA3"/>
    <w:rsid w:val="000A5CCC"/>
    <w:rsid w:val="000A5EE2"/>
    <w:rsid w:val="000A60A5"/>
    <w:rsid w:val="000A61EF"/>
    <w:rsid w:val="000A62A8"/>
    <w:rsid w:val="000A64FD"/>
    <w:rsid w:val="000A65F7"/>
    <w:rsid w:val="000A6638"/>
    <w:rsid w:val="000A686B"/>
    <w:rsid w:val="000A68F1"/>
    <w:rsid w:val="000A6917"/>
    <w:rsid w:val="000A69A2"/>
    <w:rsid w:val="000A6B8B"/>
    <w:rsid w:val="000A6D3E"/>
    <w:rsid w:val="000A6D6E"/>
    <w:rsid w:val="000A6E14"/>
    <w:rsid w:val="000A6F00"/>
    <w:rsid w:val="000A6F19"/>
    <w:rsid w:val="000A6FE8"/>
    <w:rsid w:val="000A700A"/>
    <w:rsid w:val="000A708B"/>
    <w:rsid w:val="000A70A8"/>
    <w:rsid w:val="000A7273"/>
    <w:rsid w:val="000A7368"/>
    <w:rsid w:val="000A73A2"/>
    <w:rsid w:val="000A73E2"/>
    <w:rsid w:val="000A73E4"/>
    <w:rsid w:val="000A7649"/>
    <w:rsid w:val="000A7751"/>
    <w:rsid w:val="000A7755"/>
    <w:rsid w:val="000A7777"/>
    <w:rsid w:val="000A77CF"/>
    <w:rsid w:val="000A77D5"/>
    <w:rsid w:val="000A780E"/>
    <w:rsid w:val="000A783D"/>
    <w:rsid w:val="000A7930"/>
    <w:rsid w:val="000A7B47"/>
    <w:rsid w:val="000A7B78"/>
    <w:rsid w:val="000A7B8D"/>
    <w:rsid w:val="000A7D6C"/>
    <w:rsid w:val="000A7F5C"/>
    <w:rsid w:val="000B01D7"/>
    <w:rsid w:val="000B03C5"/>
    <w:rsid w:val="000B03D7"/>
    <w:rsid w:val="000B046B"/>
    <w:rsid w:val="000B04AB"/>
    <w:rsid w:val="000B0576"/>
    <w:rsid w:val="000B0663"/>
    <w:rsid w:val="000B0671"/>
    <w:rsid w:val="000B06EE"/>
    <w:rsid w:val="000B06F3"/>
    <w:rsid w:val="000B0713"/>
    <w:rsid w:val="000B08B9"/>
    <w:rsid w:val="000B0A1D"/>
    <w:rsid w:val="000B0A35"/>
    <w:rsid w:val="000B0B3E"/>
    <w:rsid w:val="000B0BCC"/>
    <w:rsid w:val="000B0C78"/>
    <w:rsid w:val="000B0DB6"/>
    <w:rsid w:val="000B0E94"/>
    <w:rsid w:val="000B0FD5"/>
    <w:rsid w:val="000B0FDA"/>
    <w:rsid w:val="000B1010"/>
    <w:rsid w:val="000B1035"/>
    <w:rsid w:val="000B11A4"/>
    <w:rsid w:val="000B11E5"/>
    <w:rsid w:val="000B1228"/>
    <w:rsid w:val="000B1347"/>
    <w:rsid w:val="000B14EA"/>
    <w:rsid w:val="000B1555"/>
    <w:rsid w:val="000B1590"/>
    <w:rsid w:val="000B1616"/>
    <w:rsid w:val="000B161F"/>
    <w:rsid w:val="000B16DF"/>
    <w:rsid w:val="000B17EA"/>
    <w:rsid w:val="000B1A18"/>
    <w:rsid w:val="000B1A65"/>
    <w:rsid w:val="000B1B01"/>
    <w:rsid w:val="000B1C22"/>
    <w:rsid w:val="000B1D93"/>
    <w:rsid w:val="000B1DC5"/>
    <w:rsid w:val="000B1DE4"/>
    <w:rsid w:val="000B1FDB"/>
    <w:rsid w:val="000B1FEE"/>
    <w:rsid w:val="000B21FB"/>
    <w:rsid w:val="000B22E9"/>
    <w:rsid w:val="000B22F1"/>
    <w:rsid w:val="000B230E"/>
    <w:rsid w:val="000B23B4"/>
    <w:rsid w:val="000B2567"/>
    <w:rsid w:val="000B25F3"/>
    <w:rsid w:val="000B273B"/>
    <w:rsid w:val="000B28CF"/>
    <w:rsid w:val="000B2934"/>
    <w:rsid w:val="000B2968"/>
    <w:rsid w:val="000B2984"/>
    <w:rsid w:val="000B29D6"/>
    <w:rsid w:val="000B2A08"/>
    <w:rsid w:val="000B2B31"/>
    <w:rsid w:val="000B2B74"/>
    <w:rsid w:val="000B2BBD"/>
    <w:rsid w:val="000B2C3C"/>
    <w:rsid w:val="000B2E2F"/>
    <w:rsid w:val="000B2EA7"/>
    <w:rsid w:val="000B2ED7"/>
    <w:rsid w:val="000B3072"/>
    <w:rsid w:val="000B31A2"/>
    <w:rsid w:val="000B3267"/>
    <w:rsid w:val="000B32D5"/>
    <w:rsid w:val="000B331D"/>
    <w:rsid w:val="000B335D"/>
    <w:rsid w:val="000B33B3"/>
    <w:rsid w:val="000B33E2"/>
    <w:rsid w:val="000B34A3"/>
    <w:rsid w:val="000B34B5"/>
    <w:rsid w:val="000B356C"/>
    <w:rsid w:val="000B358C"/>
    <w:rsid w:val="000B35CA"/>
    <w:rsid w:val="000B3619"/>
    <w:rsid w:val="000B3856"/>
    <w:rsid w:val="000B3858"/>
    <w:rsid w:val="000B39D8"/>
    <w:rsid w:val="000B3A9C"/>
    <w:rsid w:val="000B3BF4"/>
    <w:rsid w:val="000B3D33"/>
    <w:rsid w:val="000B3D6E"/>
    <w:rsid w:val="000B3DC4"/>
    <w:rsid w:val="000B3E9A"/>
    <w:rsid w:val="000B3F3D"/>
    <w:rsid w:val="000B4223"/>
    <w:rsid w:val="000B426B"/>
    <w:rsid w:val="000B42B4"/>
    <w:rsid w:val="000B42CF"/>
    <w:rsid w:val="000B42F6"/>
    <w:rsid w:val="000B4399"/>
    <w:rsid w:val="000B43A0"/>
    <w:rsid w:val="000B43BB"/>
    <w:rsid w:val="000B455B"/>
    <w:rsid w:val="000B45A1"/>
    <w:rsid w:val="000B4665"/>
    <w:rsid w:val="000B4687"/>
    <w:rsid w:val="000B486F"/>
    <w:rsid w:val="000B4908"/>
    <w:rsid w:val="000B4961"/>
    <w:rsid w:val="000B4AD6"/>
    <w:rsid w:val="000B4CC7"/>
    <w:rsid w:val="000B4CD2"/>
    <w:rsid w:val="000B4D83"/>
    <w:rsid w:val="000B4DB5"/>
    <w:rsid w:val="000B4DF5"/>
    <w:rsid w:val="000B4E34"/>
    <w:rsid w:val="000B4E99"/>
    <w:rsid w:val="000B4F0C"/>
    <w:rsid w:val="000B4FBB"/>
    <w:rsid w:val="000B50E4"/>
    <w:rsid w:val="000B5243"/>
    <w:rsid w:val="000B5251"/>
    <w:rsid w:val="000B5281"/>
    <w:rsid w:val="000B535E"/>
    <w:rsid w:val="000B53E2"/>
    <w:rsid w:val="000B565D"/>
    <w:rsid w:val="000B58A4"/>
    <w:rsid w:val="000B58B7"/>
    <w:rsid w:val="000B59AD"/>
    <w:rsid w:val="000B5ADE"/>
    <w:rsid w:val="000B5B1E"/>
    <w:rsid w:val="000B5B37"/>
    <w:rsid w:val="000B5C0F"/>
    <w:rsid w:val="000B5DFE"/>
    <w:rsid w:val="000B613F"/>
    <w:rsid w:val="000B621D"/>
    <w:rsid w:val="000B6398"/>
    <w:rsid w:val="000B6503"/>
    <w:rsid w:val="000B6508"/>
    <w:rsid w:val="000B6514"/>
    <w:rsid w:val="000B65FB"/>
    <w:rsid w:val="000B66AE"/>
    <w:rsid w:val="000B66F4"/>
    <w:rsid w:val="000B66F9"/>
    <w:rsid w:val="000B67AD"/>
    <w:rsid w:val="000B67C5"/>
    <w:rsid w:val="000B67C9"/>
    <w:rsid w:val="000B680E"/>
    <w:rsid w:val="000B6905"/>
    <w:rsid w:val="000B697C"/>
    <w:rsid w:val="000B69C7"/>
    <w:rsid w:val="000B69CD"/>
    <w:rsid w:val="000B6A17"/>
    <w:rsid w:val="000B6BD7"/>
    <w:rsid w:val="000B6C04"/>
    <w:rsid w:val="000B6D28"/>
    <w:rsid w:val="000B6D58"/>
    <w:rsid w:val="000B6E21"/>
    <w:rsid w:val="000B6FB1"/>
    <w:rsid w:val="000B6FC8"/>
    <w:rsid w:val="000B6FD0"/>
    <w:rsid w:val="000B707C"/>
    <w:rsid w:val="000B7228"/>
    <w:rsid w:val="000B72B2"/>
    <w:rsid w:val="000B72FC"/>
    <w:rsid w:val="000B730D"/>
    <w:rsid w:val="000B7310"/>
    <w:rsid w:val="000B73D0"/>
    <w:rsid w:val="000B73ED"/>
    <w:rsid w:val="000B7445"/>
    <w:rsid w:val="000B7492"/>
    <w:rsid w:val="000B749D"/>
    <w:rsid w:val="000B7511"/>
    <w:rsid w:val="000B772B"/>
    <w:rsid w:val="000B7817"/>
    <w:rsid w:val="000B7865"/>
    <w:rsid w:val="000B78B4"/>
    <w:rsid w:val="000B78D9"/>
    <w:rsid w:val="000B7B0F"/>
    <w:rsid w:val="000B7BA9"/>
    <w:rsid w:val="000B7BB5"/>
    <w:rsid w:val="000B7C19"/>
    <w:rsid w:val="000B7C82"/>
    <w:rsid w:val="000B7CE0"/>
    <w:rsid w:val="000B7CFC"/>
    <w:rsid w:val="000B7D26"/>
    <w:rsid w:val="000B7DE0"/>
    <w:rsid w:val="000B7EF8"/>
    <w:rsid w:val="000B7F73"/>
    <w:rsid w:val="000B7F76"/>
    <w:rsid w:val="000B7F97"/>
    <w:rsid w:val="000B7FB7"/>
    <w:rsid w:val="000C0086"/>
    <w:rsid w:val="000C009D"/>
    <w:rsid w:val="000C0132"/>
    <w:rsid w:val="000C0265"/>
    <w:rsid w:val="000C04A0"/>
    <w:rsid w:val="000C072C"/>
    <w:rsid w:val="000C0788"/>
    <w:rsid w:val="000C08DA"/>
    <w:rsid w:val="000C093D"/>
    <w:rsid w:val="000C0A5E"/>
    <w:rsid w:val="000C0A63"/>
    <w:rsid w:val="000C0BFC"/>
    <w:rsid w:val="000C0C32"/>
    <w:rsid w:val="000C0D28"/>
    <w:rsid w:val="000C0E7C"/>
    <w:rsid w:val="000C0F8E"/>
    <w:rsid w:val="000C0FB2"/>
    <w:rsid w:val="000C10A6"/>
    <w:rsid w:val="000C1177"/>
    <w:rsid w:val="000C12EF"/>
    <w:rsid w:val="000C13A4"/>
    <w:rsid w:val="000C14F8"/>
    <w:rsid w:val="000C1622"/>
    <w:rsid w:val="000C1748"/>
    <w:rsid w:val="000C178E"/>
    <w:rsid w:val="000C19CC"/>
    <w:rsid w:val="000C1A4C"/>
    <w:rsid w:val="000C1B4C"/>
    <w:rsid w:val="000C1BF1"/>
    <w:rsid w:val="000C1C91"/>
    <w:rsid w:val="000C1D14"/>
    <w:rsid w:val="000C1F10"/>
    <w:rsid w:val="000C1F73"/>
    <w:rsid w:val="000C2031"/>
    <w:rsid w:val="000C2070"/>
    <w:rsid w:val="000C2115"/>
    <w:rsid w:val="000C216F"/>
    <w:rsid w:val="000C22A2"/>
    <w:rsid w:val="000C2344"/>
    <w:rsid w:val="000C23D2"/>
    <w:rsid w:val="000C25BE"/>
    <w:rsid w:val="000C25F2"/>
    <w:rsid w:val="000C266A"/>
    <w:rsid w:val="000C26C3"/>
    <w:rsid w:val="000C271A"/>
    <w:rsid w:val="000C276A"/>
    <w:rsid w:val="000C285D"/>
    <w:rsid w:val="000C2920"/>
    <w:rsid w:val="000C2993"/>
    <w:rsid w:val="000C2A16"/>
    <w:rsid w:val="000C2A88"/>
    <w:rsid w:val="000C2ADA"/>
    <w:rsid w:val="000C2CFC"/>
    <w:rsid w:val="000C2E1B"/>
    <w:rsid w:val="000C2ED6"/>
    <w:rsid w:val="000C2EFD"/>
    <w:rsid w:val="000C2FCF"/>
    <w:rsid w:val="000C2FD8"/>
    <w:rsid w:val="000C303E"/>
    <w:rsid w:val="000C31A6"/>
    <w:rsid w:val="000C32C7"/>
    <w:rsid w:val="000C3377"/>
    <w:rsid w:val="000C3433"/>
    <w:rsid w:val="000C34A2"/>
    <w:rsid w:val="000C3549"/>
    <w:rsid w:val="000C3554"/>
    <w:rsid w:val="000C35CB"/>
    <w:rsid w:val="000C360F"/>
    <w:rsid w:val="000C387E"/>
    <w:rsid w:val="000C394A"/>
    <w:rsid w:val="000C3B5A"/>
    <w:rsid w:val="000C3BBB"/>
    <w:rsid w:val="000C3BEA"/>
    <w:rsid w:val="000C3DBD"/>
    <w:rsid w:val="000C3EE1"/>
    <w:rsid w:val="000C3F6D"/>
    <w:rsid w:val="000C3F88"/>
    <w:rsid w:val="000C408A"/>
    <w:rsid w:val="000C40F9"/>
    <w:rsid w:val="000C42C8"/>
    <w:rsid w:val="000C4372"/>
    <w:rsid w:val="000C452D"/>
    <w:rsid w:val="000C458E"/>
    <w:rsid w:val="000C45FC"/>
    <w:rsid w:val="000C48C6"/>
    <w:rsid w:val="000C4A00"/>
    <w:rsid w:val="000C4A03"/>
    <w:rsid w:val="000C4B02"/>
    <w:rsid w:val="000C4BC9"/>
    <w:rsid w:val="000C4BD6"/>
    <w:rsid w:val="000C4DB0"/>
    <w:rsid w:val="000C4E34"/>
    <w:rsid w:val="000C4EA0"/>
    <w:rsid w:val="000C4EA5"/>
    <w:rsid w:val="000C4FCF"/>
    <w:rsid w:val="000C516B"/>
    <w:rsid w:val="000C52B1"/>
    <w:rsid w:val="000C54C7"/>
    <w:rsid w:val="000C557B"/>
    <w:rsid w:val="000C55A4"/>
    <w:rsid w:val="000C55AC"/>
    <w:rsid w:val="000C562A"/>
    <w:rsid w:val="000C573A"/>
    <w:rsid w:val="000C5790"/>
    <w:rsid w:val="000C594D"/>
    <w:rsid w:val="000C5960"/>
    <w:rsid w:val="000C5A62"/>
    <w:rsid w:val="000C5C1C"/>
    <w:rsid w:val="000C5CCA"/>
    <w:rsid w:val="000C5D26"/>
    <w:rsid w:val="000C5DE8"/>
    <w:rsid w:val="000C5F5F"/>
    <w:rsid w:val="000C6215"/>
    <w:rsid w:val="000C64E8"/>
    <w:rsid w:val="000C650E"/>
    <w:rsid w:val="000C655C"/>
    <w:rsid w:val="000C65FB"/>
    <w:rsid w:val="000C6704"/>
    <w:rsid w:val="000C6745"/>
    <w:rsid w:val="000C67DA"/>
    <w:rsid w:val="000C6A70"/>
    <w:rsid w:val="000C6A97"/>
    <w:rsid w:val="000C6CF7"/>
    <w:rsid w:val="000C6D31"/>
    <w:rsid w:val="000C7001"/>
    <w:rsid w:val="000C701A"/>
    <w:rsid w:val="000C7092"/>
    <w:rsid w:val="000C70DE"/>
    <w:rsid w:val="000C710E"/>
    <w:rsid w:val="000C7206"/>
    <w:rsid w:val="000C7274"/>
    <w:rsid w:val="000C7278"/>
    <w:rsid w:val="000C750D"/>
    <w:rsid w:val="000C75BB"/>
    <w:rsid w:val="000C7609"/>
    <w:rsid w:val="000C769E"/>
    <w:rsid w:val="000C7746"/>
    <w:rsid w:val="000C7775"/>
    <w:rsid w:val="000C796A"/>
    <w:rsid w:val="000C7A1C"/>
    <w:rsid w:val="000C7A25"/>
    <w:rsid w:val="000C7B3A"/>
    <w:rsid w:val="000C7BDE"/>
    <w:rsid w:val="000C7C6E"/>
    <w:rsid w:val="000C7CE2"/>
    <w:rsid w:val="000C7CE8"/>
    <w:rsid w:val="000C7E8D"/>
    <w:rsid w:val="000C7EBD"/>
    <w:rsid w:val="000C7EDE"/>
    <w:rsid w:val="000C7F09"/>
    <w:rsid w:val="000C7F37"/>
    <w:rsid w:val="000C7FF9"/>
    <w:rsid w:val="000D0032"/>
    <w:rsid w:val="000D01AC"/>
    <w:rsid w:val="000D0241"/>
    <w:rsid w:val="000D03E6"/>
    <w:rsid w:val="000D043A"/>
    <w:rsid w:val="000D0441"/>
    <w:rsid w:val="000D06B8"/>
    <w:rsid w:val="000D09CD"/>
    <w:rsid w:val="000D0A13"/>
    <w:rsid w:val="000D0A61"/>
    <w:rsid w:val="000D0C06"/>
    <w:rsid w:val="000D0EC8"/>
    <w:rsid w:val="000D0FB2"/>
    <w:rsid w:val="000D106C"/>
    <w:rsid w:val="000D11A4"/>
    <w:rsid w:val="000D11BB"/>
    <w:rsid w:val="000D12D8"/>
    <w:rsid w:val="000D1360"/>
    <w:rsid w:val="000D14D0"/>
    <w:rsid w:val="000D151D"/>
    <w:rsid w:val="000D16BD"/>
    <w:rsid w:val="000D16F4"/>
    <w:rsid w:val="000D174A"/>
    <w:rsid w:val="000D17D1"/>
    <w:rsid w:val="000D1884"/>
    <w:rsid w:val="000D19CB"/>
    <w:rsid w:val="000D19D7"/>
    <w:rsid w:val="000D1A6F"/>
    <w:rsid w:val="000D1BB6"/>
    <w:rsid w:val="000D1C7A"/>
    <w:rsid w:val="000D1CFB"/>
    <w:rsid w:val="000D202D"/>
    <w:rsid w:val="000D2093"/>
    <w:rsid w:val="000D20AB"/>
    <w:rsid w:val="000D2126"/>
    <w:rsid w:val="000D21B6"/>
    <w:rsid w:val="000D220C"/>
    <w:rsid w:val="000D2293"/>
    <w:rsid w:val="000D22C2"/>
    <w:rsid w:val="000D2325"/>
    <w:rsid w:val="000D23F3"/>
    <w:rsid w:val="000D2588"/>
    <w:rsid w:val="000D273E"/>
    <w:rsid w:val="000D280F"/>
    <w:rsid w:val="000D28AA"/>
    <w:rsid w:val="000D290D"/>
    <w:rsid w:val="000D292E"/>
    <w:rsid w:val="000D296D"/>
    <w:rsid w:val="000D2C53"/>
    <w:rsid w:val="000D2D2E"/>
    <w:rsid w:val="000D2DB6"/>
    <w:rsid w:val="000D2DCF"/>
    <w:rsid w:val="000D2DF6"/>
    <w:rsid w:val="000D2E9F"/>
    <w:rsid w:val="000D2F4D"/>
    <w:rsid w:val="000D2F7A"/>
    <w:rsid w:val="000D304F"/>
    <w:rsid w:val="000D31D7"/>
    <w:rsid w:val="000D3419"/>
    <w:rsid w:val="000D356E"/>
    <w:rsid w:val="000D3604"/>
    <w:rsid w:val="000D3645"/>
    <w:rsid w:val="000D3657"/>
    <w:rsid w:val="000D380B"/>
    <w:rsid w:val="000D3875"/>
    <w:rsid w:val="000D38BD"/>
    <w:rsid w:val="000D3A4B"/>
    <w:rsid w:val="000D3A77"/>
    <w:rsid w:val="000D3BF3"/>
    <w:rsid w:val="000D3C56"/>
    <w:rsid w:val="000D3F49"/>
    <w:rsid w:val="000D3F94"/>
    <w:rsid w:val="000D3FC4"/>
    <w:rsid w:val="000D4063"/>
    <w:rsid w:val="000D40FA"/>
    <w:rsid w:val="000D4132"/>
    <w:rsid w:val="000D4185"/>
    <w:rsid w:val="000D418E"/>
    <w:rsid w:val="000D41CB"/>
    <w:rsid w:val="000D422D"/>
    <w:rsid w:val="000D44A8"/>
    <w:rsid w:val="000D44D0"/>
    <w:rsid w:val="000D4547"/>
    <w:rsid w:val="000D462B"/>
    <w:rsid w:val="000D46E7"/>
    <w:rsid w:val="000D47CD"/>
    <w:rsid w:val="000D4925"/>
    <w:rsid w:val="000D49E4"/>
    <w:rsid w:val="000D4A00"/>
    <w:rsid w:val="000D4C8F"/>
    <w:rsid w:val="000D4CEB"/>
    <w:rsid w:val="000D4CF5"/>
    <w:rsid w:val="000D4ED7"/>
    <w:rsid w:val="000D4FE6"/>
    <w:rsid w:val="000D5001"/>
    <w:rsid w:val="000D5058"/>
    <w:rsid w:val="000D5118"/>
    <w:rsid w:val="000D513E"/>
    <w:rsid w:val="000D517F"/>
    <w:rsid w:val="000D519C"/>
    <w:rsid w:val="000D51B8"/>
    <w:rsid w:val="000D5276"/>
    <w:rsid w:val="000D54D9"/>
    <w:rsid w:val="000D554A"/>
    <w:rsid w:val="000D55AB"/>
    <w:rsid w:val="000D564F"/>
    <w:rsid w:val="000D5669"/>
    <w:rsid w:val="000D5792"/>
    <w:rsid w:val="000D57BE"/>
    <w:rsid w:val="000D583C"/>
    <w:rsid w:val="000D58B8"/>
    <w:rsid w:val="000D5A8E"/>
    <w:rsid w:val="000D5AB4"/>
    <w:rsid w:val="000D5C58"/>
    <w:rsid w:val="000D5D93"/>
    <w:rsid w:val="000D5FAE"/>
    <w:rsid w:val="000D608F"/>
    <w:rsid w:val="000D6128"/>
    <w:rsid w:val="000D6195"/>
    <w:rsid w:val="000D61FF"/>
    <w:rsid w:val="000D634E"/>
    <w:rsid w:val="000D6413"/>
    <w:rsid w:val="000D6455"/>
    <w:rsid w:val="000D64AD"/>
    <w:rsid w:val="000D68C6"/>
    <w:rsid w:val="000D6A21"/>
    <w:rsid w:val="000D6B61"/>
    <w:rsid w:val="000D6B91"/>
    <w:rsid w:val="000D6C71"/>
    <w:rsid w:val="000D6D1F"/>
    <w:rsid w:val="000D6D82"/>
    <w:rsid w:val="000D6E5D"/>
    <w:rsid w:val="000D6EAA"/>
    <w:rsid w:val="000D6FAF"/>
    <w:rsid w:val="000D703B"/>
    <w:rsid w:val="000D709C"/>
    <w:rsid w:val="000D7153"/>
    <w:rsid w:val="000D7500"/>
    <w:rsid w:val="000D772D"/>
    <w:rsid w:val="000D77A0"/>
    <w:rsid w:val="000D77EF"/>
    <w:rsid w:val="000D7877"/>
    <w:rsid w:val="000D789A"/>
    <w:rsid w:val="000D78A4"/>
    <w:rsid w:val="000D790D"/>
    <w:rsid w:val="000D7940"/>
    <w:rsid w:val="000D7961"/>
    <w:rsid w:val="000D79BE"/>
    <w:rsid w:val="000D7A44"/>
    <w:rsid w:val="000D7B62"/>
    <w:rsid w:val="000D7B7A"/>
    <w:rsid w:val="000D7BB7"/>
    <w:rsid w:val="000D7BF5"/>
    <w:rsid w:val="000D7DAF"/>
    <w:rsid w:val="000D7EE1"/>
    <w:rsid w:val="000E005B"/>
    <w:rsid w:val="000E010D"/>
    <w:rsid w:val="000E0110"/>
    <w:rsid w:val="000E02B4"/>
    <w:rsid w:val="000E039D"/>
    <w:rsid w:val="000E03CA"/>
    <w:rsid w:val="000E0619"/>
    <w:rsid w:val="000E069A"/>
    <w:rsid w:val="000E0784"/>
    <w:rsid w:val="000E085B"/>
    <w:rsid w:val="000E08A0"/>
    <w:rsid w:val="000E08F8"/>
    <w:rsid w:val="000E09A0"/>
    <w:rsid w:val="000E0A68"/>
    <w:rsid w:val="000E0F30"/>
    <w:rsid w:val="000E0F32"/>
    <w:rsid w:val="000E0F65"/>
    <w:rsid w:val="000E1106"/>
    <w:rsid w:val="000E119C"/>
    <w:rsid w:val="000E11F2"/>
    <w:rsid w:val="000E14DA"/>
    <w:rsid w:val="000E15E3"/>
    <w:rsid w:val="000E15F4"/>
    <w:rsid w:val="000E163B"/>
    <w:rsid w:val="000E1758"/>
    <w:rsid w:val="000E17F5"/>
    <w:rsid w:val="000E1825"/>
    <w:rsid w:val="000E1975"/>
    <w:rsid w:val="000E19C5"/>
    <w:rsid w:val="000E1A83"/>
    <w:rsid w:val="000E1A86"/>
    <w:rsid w:val="000E1A9D"/>
    <w:rsid w:val="000E1CAE"/>
    <w:rsid w:val="000E1CE0"/>
    <w:rsid w:val="000E1CEA"/>
    <w:rsid w:val="000E1F09"/>
    <w:rsid w:val="000E1F15"/>
    <w:rsid w:val="000E1F16"/>
    <w:rsid w:val="000E203E"/>
    <w:rsid w:val="000E20CD"/>
    <w:rsid w:val="000E2108"/>
    <w:rsid w:val="000E2121"/>
    <w:rsid w:val="000E2200"/>
    <w:rsid w:val="000E2242"/>
    <w:rsid w:val="000E2358"/>
    <w:rsid w:val="000E2387"/>
    <w:rsid w:val="000E2445"/>
    <w:rsid w:val="000E24C7"/>
    <w:rsid w:val="000E251E"/>
    <w:rsid w:val="000E255F"/>
    <w:rsid w:val="000E273F"/>
    <w:rsid w:val="000E27E4"/>
    <w:rsid w:val="000E27F5"/>
    <w:rsid w:val="000E2970"/>
    <w:rsid w:val="000E2984"/>
    <w:rsid w:val="000E2A39"/>
    <w:rsid w:val="000E2CFB"/>
    <w:rsid w:val="000E2EAD"/>
    <w:rsid w:val="000E2F0E"/>
    <w:rsid w:val="000E2F1B"/>
    <w:rsid w:val="000E341C"/>
    <w:rsid w:val="000E3426"/>
    <w:rsid w:val="000E3478"/>
    <w:rsid w:val="000E360D"/>
    <w:rsid w:val="000E363C"/>
    <w:rsid w:val="000E3660"/>
    <w:rsid w:val="000E3690"/>
    <w:rsid w:val="000E369A"/>
    <w:rsid w:val="000E369E"/>
    <w:rsid w:val="000E372C"/>
    <w:rsid w:val="000E387D"/>
    <w:rsid w:val="000E392B"/>
    <w:rsid w:val="000E3A77"/>
    <w:rsid w:val="000E3BF6"/>
    <w:rsid w:val="000E3C93"/>
    <w:rsid w:val="000E3DB0"/>
    <w:rsid w:val="000E3E0C"/>
    <w:rsid w:val="000E3FC9"/>
    <w:rsid w:val="000E40C9"/>
    <w:rsid w:val="000E4288"/>
    <w:rsid w:val="000E42B4"/>
    <w:rsid w:val="000E42EA"/>
    <w:rsid w:val="000E4303"/>
    <w:rsid w:val="000E43A9"/>
    <w:rsid w:val="000E43CE"/>
    <w:rsid w:val="000E43D9"/>
    <w:rsid w:val="000E442A"/>
    <w:rsid w:val="000E44AF"/>
    <w:rsid w:val="000E464A"/>
    <w:rsid w:val="000E4732"/>
    <w:rsid w:val="000E4773"/>
    <w:rsid w:val="000E486E"/>
    <w:rsid w:val="000E48ED"/>
    <w:rsid w:val="000E4918"/>
    <w:rsid w:val="000E49A7"/>
    <w:rsid w:val="000E4A5A"/>
    <w:rsid w:val="000E4AA1"/>
    <w:rsid w:val="000E4AA7"/>
    <w:rsid w:val="000E4C3F"/>
    <w:rsid w:val="000E4C9A"/>
    <w:rsid w:val="000E4C9E"/>
    <w:rsid w:val="000E4DFD"/>
    <w:rsid w:val="000E4F87"/>
    <w:rsid w:val="000E50E2"/>
    <w:rsid w:val="000E52DE"/>
    <w:rsid w:val="000E5393"/>
    <w:rsid w:val="000E5421"/>
    <w:rsid w:val="000E5482"/>
    <w:rsid w:val="000E5589"/>
    <w:rsid w:val="000E5594"/>
    <w:rsid w:val="000E5815"/>
    <w:rsid w:val="000E5824"/>
    <w:rsid w:val="000E5993"/>
    <w:rsid w:val="000E5A1B"/>
    <w:rsid w:val="000E5A5C"/>
    <w:rsid w:val="000E5B96"/>
    <w:rsid w:val="000E5BF1"/>
    <w:rsid w:val="000E5C2D"/>
    <w:rsid w:val="000E5C48"/>
    <w:rsid w:val="000E5C4C"/>
    <w:rsid w:val="000E5C72"/>
    <w:rsid w:val="000E5C84"/>
    <w:rsid w:val="000E5EFA"/>
    <w:rsid w:val="000E5F06"/>
    <w:rsid w:val="000E6108"/>
    <w:rsid w:val="000E6112"/>
    <w:rsid w:val="000E617A"/>
    <w:rsid w:val="000E6265"/>
    <w:rsid w:val="000E6323"/>
    <w:rsid w:val="000E6363"/>
    <w:rsid w:val="000E63E5"/>
    <w:rsid w:val="000E6403"/>
    <w:rsid w:val="000E64A4"/>
    <w:rsid w:val="000E654A"/>
    <w:rsid w:val="000E674D"/>
    <w:rsid w:val="000E67AB"/>
    <w:rsid w:val="000E67F3"/>
    <w:rsid w:val="000E69B2"/>
    <w:rsid w:val="000E69D8"/>
    <w:rsid w:val="000E6A52"/>
    <w:rsid w:val="000E6A6C"/>
    <w:rsid w:val="000E6B7E"/>
    <w:rsid w:val="000E6D98"/>
    <w:rsid w:val="000E6ECA"/>
    <w:rsid w:val="000E6F90"/>
    <w:rsid w:val="000E7030"/>
    <w:rsid w:val="000E7077"/>
    <w:rsid w:val="000E715E"/>
    <w:rsid w:val="000E71DB"/>
    <w:rsid w:val="000E71F3"/>
    <w:rsid w:val="000E723B"/>
    <w:rsid w:val="000E724E"/>
    <w:rsid w:val="000E7378"/>
    <w:rsid w:val="000E766A"/>
    <w:rsid w:val="000E76C2"/>
    <w:rsid w:val="000E7747"/>
    <w:rsid w:val="000E793A"/>
    <w:rsid w:val="000E7A4C"/>
    <w:rsid w:val="000E7A94"/>
    <w:rsid w:val="000E7ACB"/>
    <w:rsid w:val="000E7CE2"/>
    <w:rsid w:val="000E7E3D"/>
    <w:rsid w:val="000E7E41"/>
    <w:rsid w:val="000E7F29"/>
    <w:rsid w:val="000E7F5C"/>
    <w:rsid w:val="000F00E9"/>
    <w:rsid w:val="000F0125"/>
    <w:rsid w:val="000F01F1"/>
    <w:rsid w:val="000F0323"/>
    <w:rsid w:val="000F037A"/>
    <w:rsid w:val="000F05B9"/>
    <w:rsid w:val="000F0636"/>
    <w:rsid w:val="000F086E"/>
    <w:rsid w:val="000F08C2"/>
    <w:rsid w:val="000F0A84"/>
    <w:rsid w:val="000F0B18"/>
    <w:rsid w:val="000F0BAC"/>
    <w:rsid w:val="000F0C9E"/>
    <w:rsid w:val="000F0E36"/>
    <w:rsid w:val="000F0F5A"/>
    <w:rsid w:val="000F0F83"/>
    <w:rsid w:val="000F0FDD"/>
    <w:rsid w:val="000F1415"/>
    <w:rsid w:val="000F1473"/>
    <w:rsid w:val="000F14F8"/>
    <w:rsid w:val="000F168D"/>
    <w:rsid w:val="000F1741"/>
    <w:rsid w:val="000F1762"/>
    <w:rsid w:val="000F18BC"/>
    <w:rsid w:val="000F19A5"/>
    <w:rsid w:val="000F19D2"/>
    <w:rsid w:val="000F1A33"/>
    <w:rsid w:val="000F1A3D"/>
    <w:rsid w:val="000F1A46"/>
    <w:rsid w:val="000F1AA3"/>
    <w:rsid w:val="000F1EB2"/>
    <w:rsid w:val="000F1F93"/>
    <w:rsid w:val="000F2013"/>
    <w:rsid w:val="000F2197"/>
    <w:rsid w:val="000F2229"/>
    <w:rsid w:val="000F2317"/>
    <w:rsid w:val="000F2359"/>
    <w:rsid w:val="000F2425"/>
    <w:rsid w:val="000F2576"/>
    <w:rsid w:val="000F259A"/>
    <w:rsid w:val="000F262C"/>
    <w:rsid w:val="000F2668"/>
    <w:rsid w:val="000F26C3"/>
    <w:rsid w:val="000F2825"/>
    <w:rsid w:val="000F28D0"/>
    <w:rsid w:val="000F2B5D"/>
    <w:rsid w:val="000F2B61"/>
    <w:rsid w:val="000F2CA1"/>
    <w:rsid w:val="000F2DEE"/>
    <w:rsid w:val="000F304E"/>
    <w:rsid w:val="000F3057"/>
    <w:rsid w:val="000F311A"/>
    <w:rsid w:val="000F3311"/>
    <w:rsid w:val="000F340F"/>
    <w:rsid w:val="000F3550"/>
    <w:rsid w:val="000F3628"/>
    <w:rsid w:val="000F3684"/>
    <w:rsid w:val="000F36D0"/>
    <w:rsid w:val="000F3759"/>
    <w:rsid w:val="000F38E9"/>
    <w:rsid w:val="000F3920"/>
    <w:rsid w:val="000F396A"/>
    <w:rsid w:val="000F3A90"/>
    <w:rsid w:val="000F3B4C"/>
    <w:rsid w:val="000F3C3E"/>
    <w:rsid w:val="000F3C42"/>
    <w:rsid w:val="000F3DFD"/>
    <w:rsid w:val="000F3E33"/>
    <w:rsid w:val="000F3E43"/>
    <w:rsid w:val="000F3F60"/>
    <w:rsid w:val="000F3FF1"/>
    <w:rsid w:val="000F4018"/>
    <w:rsid w:val="000F4071"/>
    <w:rsid w:val="000F410A"/>
    <w:rsid w:val="000F412D"/>
    <w:rsid w:val="000F4135"/>
    <w:rsid w:val="000F4251"/>
    <w:rsid w:val="000F42F1"/>
    <w:rsid w:val="000F43B6"/>
    <w:rsid w:val="000F43E6"/>
    <w:rsid w:val="000F4407"/>
    <w:rsid w:val="000F4536"/>
    <w:rsid w:val="000F4A4F"/>
    <w:rsid w:val="000F4A81"/>
    <w:rsid w:val="000F4B15"/>
    <w:rsid w:val="000F4B4B"/>
    <w:rsid w:val="000F4B6D"/>
    <w:rsid w:val="000F4C05"/>
    <w:rsid w:val="000F4D19"/>
    <w:rsid w:val="000F4E74"/>
    <w:rsid w:val="000F4E7D"/>
    <w:rsid w:val="000F522C"/>
    <w:rsid w:val="000F5252"/>
    <w:rsid w:val="000F525D"/>
    <w:rsid w:val="000F5291"/>
    <w:rsid w:val="000F530A"/>
    <w:rsid w:val="000F539A"/>
    <w:rsid w:val="000F54A9"/>
    <w:rsid w:val="000F5519"/>
    <w:rsid w:val="000F5538"/>
    <w:rsid w:val="000F556A"/>
    <w:rsid w:val="000F5653"/>
    <w:rsid w:val="000F5660"/>
    <w:rsid w:val="000F5685"/>
    <w:rsid w:val="000F587E"/>
    <w:rsid w:val="000F589D"/>
    <w:rsid w:val="000F58E4"/>
    <w:rsid w:val="000F5908"/>
    <w:rsid w:val="000F5AD4"/>
    <w:rsid w:val="000F5C07"/>
    <w:rsid w:val="000F5C2D"/>
    <w:rsid w:val="000F5C43"/>
    <w:rsid w:val="000F5CC4"/>
    <w:rsid w:val="000F5D03"/>
    <w:rsid w:val="000F5D91"/>
    <w:rsid w:val="000F5E44"/>
    <w:rsid w:val="000F5F70"/>
    <w:rsid w:val="000F5FCE"/>
    <w:rsid w:val="000F60EB"/>
    <w:rsid w:val="000F613D"/>
    <w:rsid w:val="000F615D"/>
    <w:rsid w:val="000F6180"/>
    <w:rsid w:val="000F634A"/>
    <w:rsid w:val="000F63B0"/>
    <w:rsid w:val="000F6439"/>
    <w:rsid w:val="000F64A8"/>
    <w:rsid w:val="000F662D"/>
    <w:rsid w:val="000F66E6"/>
    <w:rsid w:val="000F6770"/>
    <w:rsid w:val="000F6795"/>
    <w:rsid w:val="000F67A0"/>
    <w:rsid w:val="000F6865"/>
    <w:rsid w:val="000F68A8"/>
    <w:rsid w:val="000F68C3"/>
    <w:rsid w:val="000F691E"/>
    <w:rsid w:val="000F6A1E"/>
    <w:rsid w:val="000F6A2D"/>
    <w:rsid w:val="000F6B08"/>
    <w:rsid w:val="000F6CE9"/>
    <w:rsid w:val="000F6CF5"/>
    <w:rsid w:val="000F6D54"/>
    <w:rsid w:val="000F6D89"/>
    <w:rsid w:val="000F6F5A"/>
    <w:rsid w:val="000F71BE"/>
    <w:rsid w:val="000F72CC"/>
    <w:rsid w:val="000F7308"/>
    <w:rsid w:val="000F759F"/>
    <w:rsid w:val="000F75D0"/>
    <w:rsid w:val="000F763D"/>
    <w:rsid w:val="000F7640"/>
    <w:rsid w:val="000F7663"/>
    <w:rsid w:val="000F7671"/>
    <w:rsid w:val="000F771F"/>
    <w:rsid w:val="000F7854"/>
    <w:rsid w:val="000F7897"/>
    <w:rsid w:val="000F790F"/>
    <w:rsid w:val="000F7AEB"/>
    <w:rsid w:val="000F7B13"/>
    <w:rsid w:val="000F7B3C"/>
    <w:rsid w:val="000F7BA1"/>
    <w:rsid w:val="000F7C96"/>
    <w:rsid w:val="000F7CC3"/>
    <w:rsid w:val="000F7D1B"/>
    <w:rsid w:val="000F7DF9"/>
    <w:rsid w:val="000F7E86"/>
    <w:rsid w:val="000F7E90"/>
    <w:rsid w:val="000F7EAC"/>
    <w:rsid w:val="000F7FF5"/>
    <w:rsid w:val="001000E2"/>
    <w:rsid w:val="0010018C"/>
    <w:rsid w:val="001001B1"/>
    <w:rsid w:val="001001C4"/>
    <w:rsid w:val="001003EA"/>
    <w:rsid w:val="001003F4"/>
    <w:rsid w:val="00100448"/>
    <w:rsid w:val="00100656"/>
    <w:rsid w:val="001006FA"/>
    <w:rsid w:val="0010070A"/>
    <w:rsid w:val="001007F2"/>
    <w:rsid w:val="001008AA"/>
    <w:rsid w:val="001008EA"/>
    <w:rsid w:val="00100A32"/>
    <w:rsid w:val="00100A5E"/>
    <w:rsid w:val="00100DE2"/>
    <w:rsid w:val="00100E2E"/>
    <w:rsid w:val="00100FCF"/>
    <w:rsid w:val="0010108A"/>
    <w:rsid w:val="0010121E"/>
    <w:rsid w:val="00101382"/>
    <w:rsid w:val="001013F5"/>
    <w:rsid w:val="001014FB"/>
    <w:rsid w:val="001016BE"/>
    <w:rsid w:val="001017FC"/>
    <w:rsid w:val="00101888"/>
    <w:rsid w:val="001018A1"/>
    <w:rsid w:val="001018C7"/>
    <w:rsid w:val="00101A09"/>
    <w:rsid w:val="00101A33"/>
    <w:rsid w:val="00101AB0"/>
    <w:rsid w:val="00101B16"/>
    <w:rsid w:val="00101B85"/>
    <w:rsid w:val="00101BB0"/>
    <w:rsid w:val="00101C0C"/>
    <w:rsid w:val="00101CB4"/>
    <w:rsid w:val="00101CCE"/>
    <w:rsid w:val="00101D3E"/>
    <w:rsid w:val="00101E11"/>
    <w:rsid w:val="00101E47"/>
    <w:rsid w:val="00101F03"/>
    <w:rsid w:val="00101F12"/>
    <w:rsid w:val="001020C6"/>
    <w:rsid w:val="001020F0"/>
    <w:rsid w:val="00102129"/>
    <w:rsid w:val="00102163"/>
    <w:rsid w:val="00102274"/>
    <w:rsid w:val="00102355"/>
    <w:rsid w:val="001023C1"/>
    <w:rsid w:val="001023EE"/>
    <w:rsid w:val="001023F6"/>
    <w:rsid w:val="001024C7"/>
    <w:rsid w:val="0010254E"/>
    <w:rsid w:val="00102554"/>
    <w:rsid w:val="00102598"/>
    <w:rsid w:val="001025BA"/>
    <w:rsid w:val="00102626"/>
    <w:rsid w:val="00102783"/>
    <w:rsid w:val="0010289E"/>
    <w:rsid w:val="001029E5"/>
    <w:rsid w:val="00102CB4"/>
    <w:rsid w:val="00102CFD"/>
    <w:rsid w:val="00102E30"/>
    <w:rsid w:val="00102F05"/>
    <w:rsid w:val="00103001"/>
    <w:rsid w:val="00103006"/>
    <w:rsid w:val="001030E6"/>
    <w:rsid w:val="00103294"/>
    <w:rsid w:val="00103434"/>
    <w:rsid w:val="0010358D"/>
    <w:rsid w:val="00103667"/>
    <w:rsid w:val="00103709"/>
    <w:rsid w:val="00103732"/>
    <w:rsid w:val="001037B0"/>
    <w:rsid w:val="001037F7"/>
    <w:rsid w:val="0010380A"/>
    <w:rsid w:val="00103940"/>
    <w:rsid w:val="00103995"/>
    <w:rsid w:val="001039DA"/>
    <w:rsid w:val="00103A00"/>
    <w:rsid w:val="00103A04"/>
    <w:rsid w:val="00103A2E"/>
    <w:rsid w:val="00103ADB"/>
    <w:rsid w:val="00103CCF"/>
    <w:rsid w:val="00103CDB"/>
    <w:rsid w:val="00103F20"/>
    <w:rsid w:val="00103F40"/>
    <w:rsid w:val="00103F4A"/>
    <w:rsid w:val="00103F80"/>
    <w:rsid w:val="00103F93"/>
    <w:rsid w:val="00104034"/>
    <w:rsid w:val="0010406A"/>
    <w:rsid w:val="0010417E"/>
    <w:rsid w:val="0010423E"/>
    <w:rsid w:val="001042EA"/>
    <w:rsid w:val="001044A5"/>
    <w:rsid w:val="001044B7"/>
    <w:rsid w:val="00104525"/>
    <w:rsid w:val="001046D2"/>
    <w:rsid w:val="00104776"/>
    <w:rsid w:val="0010487A"/>
    <w:rsid w:val="001049AA"/>
    <w:rsid w:val="001049C0"/>
    <w:rsid w:val="00104C89"/>
    <w:rsid w:val="00104E1C"/>
    <w:rsid w:val="00104F0E"/>
    <w:rsid w:val="00104FCD"/>
    <w:rsid w:val="00104FEA"/>
    <w:rsid w:val="0010500E"/>
    <w:rsid w:val="00105019"/>
    <w:rsid w:val="001053E5"/>
    <w:rsid w:val="001055A8"/>
    <w:rsid w:val="00105624"/>
    <w:rsid w:val="00105758"/>
    <w:rsid w:val="0010577A"/>
    <w:rsid w:val="00105789"/>
    <w:rsid w:val="001057DA"/>
    <w:rsid w:val="001057EA"/>
    <w:rsid w:val="001057F2"/>
    <w:rsid w:val="0010584F"/>
    <w:rsid w:val="001058BF"/>
    <w:rsid w:val="0010593B"/>
    <w:rsid w:val="00105A0C"/>
    <w:rsid w:val="00105AD7"/>
    <w:rsid w:val="00105B21"/>
    <w:rsid w:val="00105B28"/>
    <w:rsid w:val="00105B8B"/>
    <w:rsid w:val="00105BD5"/>
    <w:rsid w:val="00105C7B"/>
    <w:rsid w:val="00105D21"/>
    <w:rsid w:val="00105D3E"/>
    <w:rsid w:val="00105D7B"/>
    <w:rsid w:val="00105DF9"/>
    <w:rsid w:val="00105F60"/>
    <w:rsid w:val="00105F9B"/>
    <w:rsid w:val="00106028"/>
    <w:rsid w:val="001060E2"/>
    <w:rsid w:val="00106195"/>
    <w:rsid w:val="001061B4"/>
    <w:rsid w:val="00106298"/>
    <w:rsid w:val="0010632A"/>
    <w:rsid w:val="00106335"/>
    <w:rsid w:val="001063E0"/>
    <w:rsid w:val="00106440"/>
    <w:rsid w:val="001064D9"/>
    <w:rsid w:val="00106543"/>
    <w:rsid w:val="00106713"/>
    <w:rsid w:val="0010686A"/>
    <w:rsid w:val="00106872"/>
    <w:rsid w:val="0010690D"/>
    <w:rsid w:val="00106935"/>
    <w:rsid w:val="001069BC"/>
    <w:rsid w:val="001069FA"/>
    <w:rsid w:val="00106A13"/>
    <w:rsid w:val="00106B4D"/>
    <w:rsid w:val="00106BA4"/>
    <w:rsid w:val="00106DFB"/>
    <w:rsid w:val="00106E45"/>
    <w:rsid w:val="00106E79"/>
    <w:rsid w:val="00106F16"/>
    <w:rsid w:val="00106FB6"/>
    <w:rsid w:val="00106FEC"/>
    <w:rsid w:val="00106FF4"/>
    <w:rsid w:val="00107015"/>
    <w:rsid w:val="0010707B"/>
    <w:rsid w:val="001071C3"/>
    <w:rsid w:val="00107247"/>
    <w:rsid w:val="00107346"/>
    <w:rsid w:val="001073F8"/>
    <w:rsid w:val="001074DF"/>
    <w:rsid w:val="0010751D"/>
    <w:rsid w:val="00107612"/>
    <w:rsid w:val="0010770C"/>
    <w:rsid w:val="001078F6"/>
    <w:rsid w:val="00107922"/>
    <w:rsid w:val="00107B5F"/>
    <w:rsid w:val="00107C58"/>
    <w:rsid w:val="00107C59"/>
    <w:rsid w:val="00107D10"/>
    <w:rsid w:val="00107E73"/>
    <w:rsid w:val="001100C6"/>
    <w:rsid w:val="001100D9"/>
    <w:rsid w:val="0011019B"/>
    <w:rsid w:val="001101B6"/>
    <w:rsid w:val="0011026D"/>
    <w:rsid w:val="001103E4"/>
    <w:rsid w:val="001103FB"/>
    <w:rsid w:val="00110422"/>
    <w:rsid w:val="0011052B"/>
    <w:rsid w:val="00110617"/>
    <w:rsid w:val="00110662"/>
    <w:rsid w:val="001107AA"/>
    <w:rsid w:val="00110ABD"/>
    <w:rsid w:val="00110BB1"/>
    <w:rsid w:val="00110C18"/>
    <w:rsid w:val="00110DD9"/>
    <w:rsid w:val="00110EA8"/>
    <w:rsid w:val="00110F30"/>
    <w:rsid w:val="00110FC1"/>
    <w:rsid w:val="00111244"/>
    <w:rsid w:val="00111274"/>
    <w:rsid w:val="001113B2"/>
    <w:rsid w:val="001113F7"/>
    <w:rsid w:val="00111556"/>
    <w:rsid w:val="00111670"/>
    <w:rsid w:val="00111691"/>
    <w:rsid w:val="001116E0"/>
    <w:rsid w:val="00111745"/>
    <w:rsid w:val="00111795"/>
    <w:rsid w:val="0011189E"/>
    <w:rsid w:val="00111929"/>
    <w:rsid w:val="00111999"/>
    <w:rsid w:val="00111A71"/>
    <w:rsid w:val="00111BA8"/>
    <w:rsid w:val="00111D04"/>
    <w:rsid w:val="00111FE6"/>
    <w:rsid w:val="00112327"/>
    <w:rsid w:val="0011246E"/>
    <w:rsid w:val="001126F6"/>
    <w:rsid w:val="00112ABB"/>
    <w:rsid w:val="00112AFD"/>
    <w:rsid w:val="00112BAA"/>
    <w:rsid w:val="00112CFB"/>
    <w:rsid w:val="00112D3C"/>
    <w:rsid w:val="00112E6A"/>
    <w:rsid w:val="00112E7E"/>
    <w:rsid w:val="00112F16"/>
    <w:rsid w:val="00112F3F"/>
    <w:rsid w:val="00112F6C"/>
    <w:rsid w:val="00112FE7"/>
    <w:rsid w:val="00113096"/>
    <w:rsid w:val="00113267"/>
    <w:rsid w:val="0011330E"/>
    <w:rsid w:val="00113338"/>
    <w:rsid w:val="00113342"/>
    <w:rsid w:val="0011344B"/>
    <w:rsid w:val="00113460"/>
    <w:rsid w:val="001135AB"/>
    <w:rsid w:val="0011361B"/>
    <w:rsid w:val="001136C8"/>
    <w:rsid w:val="001137DB"/>
    <w:rsid w:val="00113B0F"/>
    <w:rsid w:val="00113C0B"/>
    <w:rsid w:val="00113CC0"/>
    <w:rsid w:val="00113F8F"/>
    <w:rsid w:val="0011405E"/>
    <w:rsid w:val="001140B2"/>
    <w:rsid w:val="001141C5"/>
    <w:rsid w:val="001141CB"/>
    <w:rsid w:val="0011424C"/>
    <w:rsid w:val="0011442D"/>
    <w:rsid w:val="00114441"/>
    <w:rsid w:val="001144FC"/>
    <w:rsid w:val="00114577"/>
    <w:rsid w:val="00114796"/>
    <w:rsid w:val="00114841"/>
    <w:rsid w:val="00114899"/>
    <w:rsid w:val="00114929"/>
    <w:rsid w:val="00114A28"/>
    <w:rsid w:val="00114B2E"/>
    <w:rsid w:val="00114C23"/>
    <w:rsid w:val="00114D1E"/>
    <w:rsid w:val="00114E58"/>
    <w:rsid w:val="00114E60"/>
    <w:rsid w:val="00114FD7"/>
    <w:rsid w:val="00115001"/>
    <w:rsid w:val="00115004"/>
    <w:rsid w:val="00115085"/>
    <w:rsid w:val="00115104"/>
    <w:rsid w:val="00115208"/>
    <w:rsid w:val="00115230"/>
    <w:rsid w:val="001153CA"/>
    <w:rsid w:val="001154F4"/>
    <w:rsid w:val="0011551E"/>
    <w:rsid w:val="00115626"/>
    <w:rsid w:val="001157DB"/>
    <w:rsid w:val="00115801"/>
    <w:rsid w:val="001158F7"/>
    <w:rsid w:val="00115A6B"/>
    <w:rsid w:val="00115AA3"/>
    <w:rsid w:val="00115AA4"/>
    <w:rsid w:val="00115D37"/>
    <w:rsid w:val="00115E9C"/>
    <w:rsid w:val="00116170"/>
    <w:rsid w:val="00116199"/>
    <w:rsid w:val="001162B7"/>
    <w:rsid w:val="00116304"/>
    <w:rsid w:val="0011639C"/>
    <w:rsid w:val="001163E4"/>
    <w:rsid w:val="00116422"/>
    <w:rsid w:val="00116523"/>
    <w:rsid w:val="0011664B"/>
    <w:rsid w:val="001166BF"/>
    <w:rsid w:val="00116751"/>
    <w:rsid w:val="001167BF"/>
    <w:rsid w:val="001167FF"/>
    <w:rsid w:val="0011680D"/>
    <w:rsid w:val="0011683A"/>
    <w:rsid w:val="00116CF5"/>
    <w:rsid w:val="00116CF6"/>
    <w:rsid w:val="00116D5D"/>
    <w:rsid w:val="00116DA4"/>
    <w:rsid w:val="00116E51"/>
    <w:rsid w:val="00116E8C"/>
    <w:rsid w:val="00116EE0"/>
    <w:rsid w:val="00117040"/>
    <w:rsid w:val="0011706F"/>
    <w:rsid w:val="0011715D"/>
    <w:rsid w:val="00117165"/>
    <w:rsid w:val="00117210"/>
    <w:rsid w:val="00117468"/>
    <w:rsid w:val="00117A19"/>
    <w:rsid w:val="00117A98"/>
    <w:rsid w:val="00117B32"/>
    <w:rsid w:val="00117C1B"/>
    <w:rsid w:val="00117C2E"/>
    <w:rsid w:val="00117CF2"/>
    <w:rsid w:val="00117F3E"/>
    <w:rsid w:val="0012002A"/>
    <w:rsid w:val="001200D8"/>
    <w:rsid w:val="0012030A"/>
    <w:rsid w:val="001203C7"/>
    <w:rsid w:val="001204D5"/>
    <w:rsid w:val="0012052E"/>
    <w:rsid w:val="0012061D"/>
    <w:rsid w:val="00120657"/>
    <w:rsid w:val="00120702"/>
    <w:rsid w:val="001208B5"/>
    <w:rsid w:val="0012096D"/>
    <w:rsid w:val="001209D8"/>
    <w:rsid w:val="001209F0"/>
    <w:rsid w:val="00120A86"/>
    <w:rsid w:val="00120C18"/>
    <w:rsid w:val="00120DCC"/>
    <w:rsid w:val="00120E6A"/>
    <w:rsid w:val="00120F29"/>
    <w:rsid w:val="00120FBD"/>
    <w:rsid w:val="0012103A"/>
    <w:rsid w:val="0012113E"/>
    <w:rsid w:val="0012121F"/>
    <w:rsid w:val="0012124C"/>
    <w:rsid w:val="0012129F"/>
    <w:rsid w:val="00121466"/>
    <w:rsid w:val="001214F2"/>
    <w:rsid w:val="0012151D"/>
    <w:rsid w:val="001215F1"/>
    <w:rsid w:val="00121679"/>
    <w:rsid w:val="001216A0"/>
    <w:rsid w:val="001216D8"/>
    <w:rsid w:val="001216E3"/>
    <w:rsid w:val="00121845"/>
    <w:rsid w:val="0012186A"/>
    <w:rsid w:val="0012187B"/>
    <w:rsid w:val="00121905"/>
    <w:rsid w:val="001219D7"/>
    <w:rsid w:val="001219FA"/>
    <w:rsid w:val="00121B3A"/>
    <w:rsid w:val="00121C06"/>
    <w:rsid w:val="00121C9C"/>
    <w:rsid w:val="00121D62"/>
    <w:rsid w:val="00121DA5"/>
    <w:rsid w:val="001220EF"/>
    <w:rsid w:val="0012217D"/>
    <w:rsid w:val="001221EB"/>
    <w:rsid w:val="001222FF"/>
    <w:rsid w:val="00122323"/>
    <w:rsid w:val="00122341"/>
    <w:rsid w:val="0012237A"/>
    <w:rsid w:val="001223C4"/>
    <w:rsid w:val="0012240D"/>
    <w:rsid w:val="00122476"/>
    <w:rsid w:val="001224A8"/>
    <w:rsid w:val="001225AC"/>
    <w:rsid w:val="001225D2"/>
    <w:rsid w:val="001228DB"/>
    <w:rsid w:val="001229F3"/>
    <w:rsid w:val="00122A09"/>
    <w:rsid w:val="00122A7D"/>
    <w:rsid w:val="00122A88"/>
    <w:rsid w:val="00122C32"/>
    <w:rsid w:val="00122C8F"/>
    <w:rsid w:val="00122C90"/>
    <w:rsid w:val="00122E28"/>
    <w:rsid w:val="00122E81"/>
    <w:rsid w:val="00122EC1"/>
    <w:rsid w:val="00122F18"/>
    <w:rsid w:val="00123166"/>
    <w:rsid w:val="00123183"/>
    <w:rsid w:val="00123341"/>
    <w:rsid w:val="001234A6"/>
    <w:rsid w:val="00123741"/>
    <w:rsid w:val="00123762"/>
    <w:rsid w:val="00123770"/>
    <w:rsid w:val="001238A9"/>
    <w:rsid w:val="00123A98"/>
    <w:rsid w:val="00123ABD"/>
    <w:rsid w:val="00123BFE"/>
    <w:rsid w:val="00123C12"/>
    <w:rsid w:val="00123C99"/>
    <w:rsid w:val="00123F47"/>
    <w:rsid w:val="00123F80"/>
    <w:rsid w:val="00123FB7"/>
    <w:rsid w:val="0012410A"/>
    <w:rsid w:val="0012418B"/>
    <w:rsid w:val="001241AE"/>
    <w:rsid w:val="001241BA"/>
    <w:rsid w:val="00124364"/>
    <w:rsid w:val="001243DE"/>
    <w:rsid w:val="00124443"/>
    <w:rsid w:val="001244DA"/>
    <w:rsid w:val="001244F8"/>
    <w:rsid w:val="00124526"/>
    <w:rsid w:val="001245C1"/>
    <w:rsid w:val="001246B2"/>
    <w:rsid w:val="00124719"/>
    <w:rsid w:val="00124804"/>
    <w:rsid w:val="00124835"/>
    <w:rsid w:val="00124844"/>
    <w:rsid w:val="0012487A"/>
    <w:rsid w:val="001248C3"/>
    <w:rsid w:val="0012491C"/>
    <w:rsid w:val="001249A8"/>
    <w:rsid w:val="00124B80"/>
    <w:rsid w:val="00124BE4"/>
    <w:rsid w:val="00124D8B"/>
    <w:rsid w:val="00124FA8"/>
    <w:rsid w:val="00125015"/>
    <w:rsid w:val="0012514D"/>
    <w:rsid w:val="00125386"/>
    <w:rsid w:val="001256CE"/>
    <w:rsid w:val="0012574B"/>
    <w:rsid w:val="0012591D"/>
    <w:rsid w:val="0012595D"/>
    <w:rsid w:val="00125973"/>
    <w:rsid w:val="001259F9"/>
    <w:rsid w:val="00125A9B"/>
    <w:rsid w:val="00125ABC"/>
    <w:rsid w:val="00125BFE"/>
    <w:rsid w:val="00125C0C"/>
    <w:rsid w:val="00125C50"/>
    <w:rsid w:val="00125D15"/>
    <w:rsid w:val="00125D35"/>
    <w:rsid w:val="00125D53"/>
    <w:rsid w:val="00125E14"/>
    <w:rsid w:val="00125E19"/>
    <w:rsid w:val="00125F4B"/>
    <w:rsid w:val="00125F9B"/>
    <w:rsid w:val="00125FFF"/>
    <w:rsid w:val="0012607C"/>
    <w:rsid w:val="001260A6"/>
    <w:rsid w:val="00126124"/>
    <w:rsid w:val="00126198"/>
    <w:rsid w:val="001261EA"/>
    <w:rsid w:val="0012622C"/>
    <w:rsid w:val="0012632A"/>
    <w:rsid w:val="00126335"/>
    <w:rsid w:val="001263C0"/>
    <w:rsid w:val="00126429"/>
    <w:rsid w:val="00126485"/>
    <w:rsid w:val="00126595"/>
    <w:rsid w:val="0012669C"/>
    <w:rsid w:val="001266C5"/>
    <w:rsid w:val="001266F5"/>
    <w:rsid w:val="00126831"/>
    <w:rsid w:val="00126889"/>
    <w:rsid w:val="001269CC"/>
    <w:rsid w:val="00126B16"/>
    <w:rsid w:val="00126BE2"/>
    <w:rsid w:val="00126EAB"/>
    <w:rsid w:val="00127169"/>
    <w:rsid w:val="001271E5"/>
    <w:rsid w:val="0012720B"/>
    <w:rsid w:val="00127420"/>
    <w:rsid w:val="00127540"/>
    <w:rsid w:val="00127578"/>
    <w:rsid w:val="00127589"/>
    <w:rsid w:val="00127671"/>
    <w:rsid w:val="001276CC"/>
    <w:rsid w:val="00127837"/>
    <w:rsid w:val="00127882"/>
    <w:rsid w:val="001278C2"/>
    <w:rsid w:val="00127B5C"/>
    <w:rsid w:val="00127B66"/>
    <w:rsid w:val="00127BD3"/>
    <w:rsid w:val="00127C46"/>
    <w:rsid w:val="00127DBD"/>
    <w:rsid w:val="00127DED"/>
    <w:rsid w:val="00127E09"/>
    <w:rsid w:val="00127F02"/>
    <w:rsid w:val="00130027"/>
    <w:rsid w:val="00130112"/>
    <w:rsid w:val="00130125"/>
    <w:rsid w:val="0013012C"/>
    <w:rsid w:val="001303B8"/>
    <w:rsid w:val="001304BD"/>
    <w:rsid w:val="00130559"/>
    <w:rsid w:val="001305B2"/>
    <w:rsid w:val="001305F8"/>
    <w:rsid w:val="00130853"/>
    <w:rsid w:val="001309D3"/>
    <w:rsid w:val="00130ADB"/>
    <w:rsid w:val="00130AF7"/>
    <w:rsid w:val="00130B31"/>
    <w:rsid w:val="00130B61"/>
    <w:rsid w:val="00130CAD"/>
    <w:rsid w:val="00130D03"/>
    <w:rsid w:val="00130D15"/>
    <w:rsid w:val="00130DD5"/>
    <w:rsid w:val="00130FA6"/>
    <w:rsid w:val="00130FE6"/>
    <w:rsid w:val="001310B4"/>
    <w:rsid w:val="001311D0"/>
    <w:rsid w:val="001311F5"/>
    <w:rsid w:val="0013130C"/>
    <w:rsid w:val="0013138B"/>
    <w:rsid w:val="00131448"/>
    <w:rsid w:val="0013148F"/>
    <w:rsid w:val="001314A3"/>
    <w:rsid w:val="00131520"/>
    <w:rsid w:val="00131628"/>
    <w:rsid w:val="00131668"/>
    <w:rsid w:val="001316A2"/>
    <w:rsid w:val="0013178E"/>
    <w:rsid w:val="001317F5"/>
    <w:rsid w:val="00131865"/>
    <w:rsid w:val="00131905"/>
    <w:rsid w:val="001319DB"/>
    <w:rsid w:val="00131BA6"/>
    <w:rsid w:val="00131C4B"/>
    <w:rsid w:val="00131CC0"/>
    <w:rsid w:val="00131CF2"/>
    <w:rsid w:val="0013208A"/>
    <w:rsid w:val="0013211E"/>
    <w:rsid w:val="00132246"/>
    <w:rsid w:val="0013225B"/>
    <w:rsid w:val="001322FD"/>
    <w:rsid w:val="00132477"/>
    <w:rsid w:val="00132480"/>
    <w:rsid w:val="0013250C"/>
    <w:rsid w:val="00132574"/>
    <w:rsid w:val="0013272C"/>
    <w:rsid w:val="001327DE"/>
    <w:rsid w:val="00132880"/>
    <w:rsid w:val="00132903"/>
    <w:rsid w:val="00132953"/>
    <w:rsid w:val="001329B4"/>
    <w:rsid w:val="00132ABE"/>
    <w:rsid w:val="00132BC6"/>
    <w:rsid w:val="00132BF0"/>
    <w:rsid w:val="00132BFC"/>
    <w:rsid w:val="00132E19"/>
    <w:rsid w:val="00132E3A"/>
    <w:rsid w:val="00132ED6"/>
    <w:rsid w:val="00132F04"/>
    <w:rsid w:val="00132F32"/>
    <w:rsid w:val="00132F74"/>
    <w:rsid w:val="00132F9D"/>
    <w:rsid w:val="00132FFE"/>
    <w:rsid w:val="00133009"/>
    <w:rsid w:val="0013300F"/>
    <w:rsid w:val="001330B2"/>
    <w:rsid w:val="00133105"/>
    <w:rsid w:val="00133118"/>
    <w:rsid w:val="001331AB"/>
    <w:rsid w:val="00133331"/>
    <w:rsid w:val="0013338A"/>
    <w:rsid w:val="001333A6"/>
    <w:rsid w:val="001333D6"/>
    <w:rsid w:val="001333F1"/>
    <w:rsid w:val="0013346C"/>
    <w:rsid w:val="0013352B"/>
    <w:rsid w:val="0013353C"/>
    <w:rsid w:val="0013365D"/>
    <w:rsid w:val="001337D6"/>
    <w:rsid w:val="00133BF5"/>
    <w:rsid w:val="00133C4F"/>
    <w:rsid w:val="00133CA7"/>
    <w:rsid w:val="00133DB2"/>
    <w:rsid w:val="00133E85"/>
    <w:rsid w:val="00133E98"/>
    <w:rsid w:val="00133F54"/>
    <w:rsid w:val="00133F6A"/>
    <w:rsid w:val="0013401A"/>
    <w:rsid w:val="00134292"/>
    <w:rsid w:val="0013432A"/>
    <w:rsid w:val="00134511"/>
    <w:rsid w:val="0013479E"/>
    <w:rsid w:val="00134893"/>
    <w:rsid w:val="00134975"/>
    <w:rsid w:val="001349CA"/>
    <w:rsid w:val="00134A40"/>
    <w:rsid w:val="00134A76"/>
    <w:rsid w:val="00134A9C"/>
    <w:rsid w:val="00134AC5"/>
    <w:rsid w:val="00134AD9"/>
    <w:rsid w:val="00134B01"/>
    <w:rsid w:val="00134B35"/>
    <w:rsid w:val="00134BAA"/>
    <w:rsid w:val="00134C0A"/>
    <w:rsid w:val="00134C20"/>
    <w:rsid w:val="00134C21"/>
    <w:rsid w:val="00134D5E"/>
    <w:rsid w:val="00134DAC"/>
    <w:rsid w:val="00134DC6"/>
    <w:rsid w:val="00134DF2"/>
    <w:rsid w:val="00134FB6"/>
    <w:rsid w:val="00134FF6"/>
    <w:rsid w:val="001350AE"/>
    <w:rsid w:val="00135251"/>
    <w:rsid w:val="0013525D"/>
    <w:rsid w:val="001353E1"/>
    <w:rsid w:val="001353EB"/>
    <w:rsid w:val="001354ED"/>
    <w:rsid w:val="001355FB"/>
    <w:rsid w:val="0013561E"/>
    <w:rsid w:val="0013561F"/>
    <w:rsid w:val="0013566D"/>
    <w:rsid w:val="0013590A"/>
    <w:rsid w:val="00135925"/>
    <w:rsid w:val="00135936"/>
    <w:rsid w:val="0013593C"/>
    <w:rsid w:val="00135973"/>
    <w:rsid w:val="0013598F"/>
    <w:rsid w:val="00135AB8"/>
    <w:rsid w:val="00135B3A"/>
    <w:rsid w:val="00135B55"/>
    <w:rsid w:val="00135DF2"/>
    <w:rsid w:val="00135E84"/>
    <w:rsid w:val="00135E86"/>
    <w:rsid w:val="00135FCF"/>
    <w:rsid w:val="001361C1"/>
    <w:rsid w:val="0013623E"/>
    <w:rsid w:val="001362E4"/>
    <w:rsid w:val="001364DC"/>
    <w:rsid w:val="001365B6"/>
    <w:rsid w:val="00136603"/>
    <w:rsid w:val="00136608"/>
    <w:rsid w:val="00136618"/>
    <w:rsid w:val="00136866"/>
    <w:rsid w:val="001368BC"/>
    <w:rsid w:val="001368DF"/>
    <w:rsid w:val="00136BBA"/>
    <w:rsid w:val="00136BC9"/>
    <w:rsid w:val="00136BD9"/>
    <w:rsid w:val="00136CE4"/>
    <w:rsid w:val="00136FA8"/>
    <w:rsid w:val="001370FD"/>
    <w:rsid w:val="0013713F"/>
    <w:rsid w:val="0013718F"/>
    <w:rsid w:val="00137200"/>
    <w:rsid w:val="001372AC"/>
    <w:rsid w:val="001372BB"/>
    <w:rsid w:val="00137446"/>
    <w:rsid w:val="00137485"/>
    <w:rsid w:val="001374AA"/>
    <w:rsid w:val="001375D4"/>
    <w:rsid w:val="00137808"/>
    <w:rsid w:val="00137A61"/>
    <w:rsid w:val="00137AD8"/>
    <w:rsid w:val="00137B44"/>
    <w:rsid w:val="00137D9C"/>
    <w:rsid w:val="00137DF1"/>
    <w:rsid w:val="00137E2C"/>
    <w:rsid w:val="00137E82"/>
    <w:rsid w:val="0014000C"/>
    <w:rsid w:val="00140076"/>
    <w:rsid w:val="00140092"/>
    <w:rsid w:val="00140113"/>
    <w:rsid w:val="00140257"/>
    <w:rsid w:val="001403E5"/>
    <w:rsid w:val="0014056E"/>
    <w:rsid w:val="001405EE"/>
    <w:rsid w:val="00140801"/>
    <w:rsid w:val="00140B2A"/>
    <w:rsid w:val="00140B2F"/>
    <w:rsid w:val="00140C54"/>
    <w:rsid w:val="00140D3F"/>
    <w:rsid w:val="00140F4E"/>
    <w:rsid w:val="00140F8D"/>
    <w:rsid w:val="00141009"/>
    <w:rsid w:val="00141027"/>
    <w:rsid w:val="0014106C"/>
    <w:rsid w:val="0014107D"/>
    <w:rsid w:val="00141173"/>
    <w:rsid w:val="001411B5"/>
    <w:rsid w:val="0014130A"/>
    <w:rsid w:val="00141324"/>
    <w:rsid w:val="0014134F"/>
    <w:rsid w:val="001414C8"/>
    <w:rsid w:val="001416CE"/>
    <w:rsid w:val="00141714"/>
    <w:rsid w:val="00141834"/>
    <w:rsid w:val="00141847"/>
    <w:rsid w:val="00141983"/>
    <w:rsid w:val="001419BC"/>
    <w:rsid w:val="00141A36"/>
    <w:rsid w:val="00141BC7"/>
    <w:rsid w:val="00141C4E"/>
    <w:rsid w:val="00141C66"/>
    <w:rsid w:val="00141CD8"/>
    <w:rsid w:val="00141E3A"/>
    <w:rsid w:val="00141F41"/>
    <w:rsid w:val="0014206B"/>
    <w:rsid w:val="001421B2"/>
    <w:rsid w:val="001421F3"/>
    <w:rsid w:val="001421F7"/>
    <w:rsid w:val="0014242D"/>
    <w:rsid w:val="00142578"/>
    <w:rsid w:val="00142584"/>
    <w:rsid w:val="00142609"/>
    <w:rsid w:val="0014263E"/>
    <w:rsid w:val="00142898"/>
    <w:rsid w:val="001428D4"/>
    <w:rsid w:val="00142B06"/>
    <w:rsid w:val="00142BEC"/>
    <w:rsid w:val="00142D13"/>
    <w:rsid w:val="00142DA3"/>
    <w:rsid w:val="00142E14"/>
    <w:rsid w:val="00142E3F"/>
    <w:rsid w:val="00142E96"/>
    <w:rsid w:val="00142EB9"/>
    <w:rsid w:val="00142EFB"/>
    <w:rsid w:val="00142F12"/>
    <w:rsid w:val="00142F31"/>
    <w:rsid w:val="001430FD"/>
    <w:rsid w:val="001431A3"/>
    <w:rsid w:val="0014332E"/>
    <w:rsid w:val="001433E3"/>
    <w:rsid w:val="00143458"/>
    <w:rsid w:val="001434CC"/>
    <w:rsid w:val="001434EE"/>
    <w:rsid w:val="00143524"/>
    <w:rsid w:val="0014352A"/>
    <w:rsid w:val="0014354C"/>
    <w:rsid w:val="00143631"/>
    <w:rsid w:val="0014364C"/>
    <w:rsid w:val="00143693"/>
    <w:rsid w:val="001436F7"/>
    <w:rsid w:val="0014370A"/>
    <w:rsid w:val="0014379F"/>
    <w:rsid w:val="00143898"/>
    <w:rsid w:val="0014389A"/>
    <w:rsid w:val="001438FE"/>
    <w:rsid w:val="00143915"/>
    <w:rsid w:val="00143BF1"/>
    <w:rsid w:val="00143C01"/>
    <w:rsid w:val="00143E53"/>
    <w:rsid w:val="00143E8E"/>
    <w:rsid w:val="00143F08"/>
    <w:rsid w:val="00143F1E"/>
    <w:rsid w:val="00143F66"/>
    <w:rsid w:val="00144068"/>
    <w:rsid w:val="00144157"/>
    <w:rsid w:val="001441D7"/>
    <w:rsid w:val="001441F8"/>
    <w:rsid w:val="00144213"/>
    <w:rsid w:val="0014422B"/>
    <w:rsid w:val="0014427C"/>
    <w:rsid w:val="00144287"/>
    <w:rsid w:val="001442F2"/>
    <w:rsid w:val="001443E1"/>
    <w:rsid w:val="0014440F"/>
    <w:rsid w:val="00144548"/>
    <w:rsid w:val="00144562"/>
    <w:rsid w:val="001445CD"/>
    <w:rsid w:val="00144658"/>
    <w:rsid w:val="00144714"/>
    <w:rsid w:val="0014471B"/>
    <w:rsid w:val="001448B2"/>
    <w:rsid w:val="00144B73"/>
    <w:rsid w:val="00144B83"/>
    <w:rsid w:val="00144C9B"/>
    <w:rsid w:val="00144D26"/>
    <w:rsid w:val="00144F55"/>
    <w:rsid w:val="001451A1"/>
    <w:rsid w:val="001451D1"/>
    <w:rsid w:val="001451F5"/>
    <w:rsid w:val="0014545B"/>
    <w:rsid w:val="001454AE"/>
    <w:rsid w:val="0014553B"/>
    <w:rsid w:val="001455E2"/>
    <w:rsid w:val="00145639"/>
    <w:rsid w:val="001457E9"/>
    <w:rsid w:val="00145B26"/>
    <w:rsid w:val="00145BFF"/>
    <w:rsid w:val="00145C19"/>
    <w:rsid w:val="00145CFB"/>
    <w:rsid w:val="00145D06"/>
    <w:rsid w:val="00145E3A"/>
    <w:rsid w:val="00145E4A"/>
    <w:rsid w:val="00145F41"/>
    <w:rsid w:val="00145FD3"/>
    <w:rsid w:val="00146081"/>
    <w:rsid w:val="0014649C"/>
    <w:rsid w:val="001465A7"/>
    <w:rsid w:val="00146668"/>
    <w:rsid w:val="001466BC"/>
    <w:rsid w:val="001466FC"/>
    <w:rsid w:val="00146741"/>
    <w:rsid w:val="00146886"/>
    <w:rsid w:val="001468FC"/>
    <w:rsid w:val="00146C04"/>
    <w:rsid w:val="00146CE2"/>
    <w:rsid w:val="00146CF1"/>
    <w:rsid w:val="00146E4B"/>
    <w:rsid w:val="00146EC4"/>
    <w:rsid w:val="00146EE9"/>
    <w:rsid w:val="00146F9A"/>
    <w:rsid w:val="00147009"/>
    <w:rsid w:val="00147043"/>
    <w:rsid w:val="00147177"/>
    <w:rsid w:val="0014718D"/>
    <w:rsid w:val="001472A2"/>
    <w:rsid w:val="00147553"/>
    <w:rsid w:val="00147643"/>
    <w:rsid w:val="00147647"/>
    <w:rsid w:val="00147648"/>
    <w:rsid w:val="0014768C"/>
    <w:rsid w:val="001477D7"/>
    <w:rsid w:val="0014794F"/>
    <w:rsid w:val="001479C4"/>
    <w:rsid w:val="00147A31"/>
    <w:rsid w:val="00147A67"/>
    <w:rsid w:val="00147A97"/>
    <w:rsid w:val="00147BD3"/>
    <w:rsid w:val="00147D56"/>
    <w:rsid w:val="00147D63"/>
    <w:rsid w:val="00147DC3"/>
    <w:rsid w:val="00147ECC"/>
    <w:rsid w:val="0015007D"/>
    <w:rsid w:val="001500B2"/>
    <w:rsid w:val="0015022C"/>
    <w:rsid w:val="0015027A"/>
    <w:rsid w:val="0015031A"/>
    <w:rsid w:val="0015038F"/>
    <w:rsid w:val="0015052F"/>
    <w:rsid w:val="00150690"/>
    <w:rsid w:val="00150791"/>
    <w:rsid w:val="001507E7"/>
    <w:rsid w:val="00150819"/>
    <w:rsid w:val="00150846"/>
    <w:rsid w:val="00150962"/>
    <w:rsid w:val="001509AD"/>
    <w:rsid w:val="00150A1C"/>
    <w:rsid w:val="00150C0D"/>
    <w:rsid w:val="00150DD3"/>
    <w:rsid w:val="00150E32"/>
    <w:rsid w:val="00150F61"/>
    <w:rsid w:val="001510ED"/>
    <w:rsid w:val="00151184"/>
    <w:rsid w:val="0015152D"/>
    <w:rsid w:val="00151577"/>
    <w:rsid w:val="00151587"/>
    <w:rsid w:val="001517A7"/>
    <w:rsid w:val="001517C5"/>
    <w:rsid w:val="00151874"/>
    <w:rsid w:val="00151B76"/>
    <w:rsid w:val="00151BF3"/>
    <w:rsid w:val="00151E71"/>
    <w:rsid w:val="00151E93"/>
    <w:rsid w:val="00151F04"/>
    <w:rsid w:val="00151F3E"/>
    <w:rsid w:val="00151FC1"/>
    <w:rsid w:val="00152162"/>
    <w:rsid w:val="001521AA"/>
    <w:rsid w:val="00152600"/>
    <w:rsid w:val="0015277D"/>
    <w:rsid w:val="001527D8"/>
    <w:rsid w:val="001528AE"/>
    <w:rsid w:val="001529BB"/>
    <w:rsid w:val="00152A46"/>
    <w:rsid w:val="00152A63"/>
    <w:rsid w:val="00152BC5"/>
    <w:rsid w:val="00152D3D"/>
    <w:rsid w:val="00152D56"/>
    <w:rsid w:val="00152D69"/>
    <w:rsid w:val="00152DA7"/>
    <w:rsid w:val="00152DBD"/>
    <w:rsid w:val="00152DEA"/>
    <w:rsid w:val="00152E50"/>
    <w:rsid w:val="00152F2E"/>
    <w:rsid w:val="00153011"/>
    <w:rsid w:val="001530C3"/>
    <w:rsid w:val="00153197"/>
    <w:rsid w:val="001531C4"/>
    <w:rsid w:val="001531DF"/>
    <w:rsid w:val="001531E6"/>
    <w:rsid w:val="0015322C"/>
    <w:rsid w:val="0015338B"/>
    <w:rsid w:val="00153455"/>
    <w:rsid w:val="001534C4"/>
    <w:rsid w:val="001534E0"/>
    <w:rsid w:val="00153560"/>
    <w:rsid w:val="0015381A"/>
    <w:rsid w:val="0015390D"/>
    <w:rsid w:val="0015392F"/>
    <w:rsid w:val="00153964"/>
    <w:rsid w:val="00153AFD"/>
    <w:rsid w:val="00153B63"/>
    <w:rsid w:val="00153CDC"/>
    <w:rsid w:val="00153D63"/>
    <w:rsid w:val="00153D7E"/>
    <w:rsid w:val="00153D80"/>
    <w:rsid w:val="00153DCB"/>
    <w:rsid w:val="00153DE9"/>
    <w:rsid w:val="00153EB5"/>
    <w:rsid w:val="00153F49"/>
    <w:rsid w:val="00153FF7"/>
    <w:rsid w:val="00154041"/>
    <w:rsid w:val="0015407A"/>
    <w:rsid w:val="00154207"/>
    <w:rsid w:val="0015421B"/>
    <w:rsid w:val="00154317"/>
    <w:rsid w:val="0015484E"/>
    <w:rsid w:val="001548B1"/>
    <w:rsid w:val="001548B4"/>
    <w:rsid w:val="00154A04"/>
    <w:rsid w:val="00154AE5"/>
    <w:rsid w:val="00154BDC"/>
    <w:rsid w:val="00154CA1"/>
    <w:rsid w:val="00154D0B"/>
    <w:rsid w:val="00154D3E"/>
    <w:rsid w:val="00154E19"/>
    <w:rsid w:val="00154F23"/>
    <w:rsid w:val="00154F30"/>
    <w:rsid w:val="00154FAD"/>
    <w:rsid w:val="00154FC7"/>
    <w:rsid w:val="001550CE"/>
    <w:rsid w:val="001550F5"/>
    <w:rsid w:val="00155229"/>
    <w:rsid w:val="00155390"/>
    <w:rsid w:val="001553A6"/>
    <w:rsid w:val="00155488"/>
    <w:rsid w:val="001554C3"/>
    <w:rsid w:val="001554F7"/>
    <w:rsid w:val="00155511"/>
    <w:rsid w:val="001555B8"/>
    <w:rsid w:val="0015562B"/>
    <w:rsid w:val="0015567E"/>
    <w:rsid w:val="00155700"/>
    <w:rsid w:val="00155737"/>
    <w:rsid w:val="00155A83"/>
    <w:rsid w:val="00155AFE"/>
    <w:rsid w:val="00155B07"/>
    <w:rsid w:val="00155C88"/>
    <w:rsid w:val="00155CD5"/>
    <w:rsid w:val="00155D86"/>
    <w:rsid w:val="00155DB5"/>
    <w:rsid w:val="00155DBE"/>
    <w:rsid w:val="00155E49"/>
    <w:rsid w:val="00155E85"/>
    <w:rsid w:val="00155EA3"/>
    <w:rsid w:val="00155F0D"/>
    <w:rsid w:val="00155F3C"/>
    <w:rsid w:val="00156074"/>
    <w:rsid w:val="001560CC"/>
    <w:rsid w:val="00156187"/>
    <w:rsid w:val="0015633C"/>
    <w:rsid w:val="00156349"/>
    <w:rsid w:val="001563CE"/>
    <w:rsid w:val="001563DF"/>
    <w:rsid w:val="001563E9"/>
    <w:rsid w:val="00156768"/>
    <w:rsid w:val="0015676A"/>
    <w:rsid w:val="001567A3"/>
    <w:rsid w:val="001567E5"/>
    <w:rsid w:val="0015682A"/>
    <w:rsid w:val="001569A6"/>
    <w:rsid w:val="00156A03"/>
    <w:rsid w:val="00156A39"/>
    <w:rsid w:val="00156B4D"/>
    <w:rsid w:val="00156C8B"/>
    <w:rsid w:val="00156CC1"/>
    <w:rsid w:val="00156D34"/>
    <w:rsid w:val="00156F31"/>
    <w:rsid w:val="00156FF5"/>
    <w:rsid w:val="00157077"/>
    <w:rsid w:val="0015709F"/>
    <w:rsid w:val="001570E6"/>
    <w:rsid w:val="00157117"/>
    <w:rsid w:val="0015714B"/>
    <w:rsid w:val="00157174"/>
    <w:rsid w:val="001572F9"/>
    <w:rsid w:val="0015737E"/>
    <w:rsid w:val="001573C1"/>
    <w:rsid w:val="001576BE"/>
    <w:rsid w:val="00157732"/>
    <w:rsid w:val="00157746"/>
    <w:rsid w:val="00157759"/>
    <w:rsid w:val="00157845"/>
    <w:rsid w:val="00157902"/>
    <w:rsid w:val="001579E3"/>
    <w:rsid w:val="00157ACF"/>
    <w:rsid w:val="00157AF7"/>
    <w:rsid w:val="00157B0E"/>
    <w:rsid w:val="00157D2A"/>
    <w:rsid w:val="00157D48"/>
    <w:rsid w:val="00157D6A"/>
    <w:rsid w:val="00157E43"/>
    <w:rsid w:val="00157FCC"/>
    <w:rsid w:val="00157FE4"/>
    <w:rsid w:val="001600A4"/>
    <w:rsid w:val="001601AC"/>
    <w:rsid w:val="001601EB"/>
    <w:rsid w:val="001601F0"/>
    <w:rsid w:val="001602FE"/>
    <w:rsid w:val="00160374"/>
    <w:rsid w:val="001603E2"/>
    <w:rsid w:val="00160404"/>
    <w:rsid w:val="00160476"/>
    <w:rsid w:val="001604A9"/>
    <w:rsid w:val="00160588"/>
    <w:rsid w:val="0016071A"/>
    <w:rsid w:val="00160785"/>
    <w:rsid w:val="001607ED"/>
    <w:rsid w:val="00160816"/>
    <w:rsid w:val="001609DB"/>
    <w:rsid w:val="00160A0D"/>
    <w:rsid w:val="00160AC5"/>
    <w:rsid w:val="00160B06"/>
    <w:rsid w:val="00160B32"/>
    <w:rsid w:val="00160BF2"/>
    <w:rsid w:val="00160E2C"/>
    <w:rsid w:val="00160F92"/>
    <w:rsid w:val="00161055"/>
    <w:rsid w:val="0016108F"/>
    <w:rsid w:val="00161261"/>
    <w:rsid w:val="00161274"/>
    <w:rsid w:val="00161588"/>
    <w:rsid w:val="001616D0"/>
    <w:rsid w:val="00161982"/>
    <w:rsid w:val="00161A31"/>
    <w:rsid w:val="00161AC8"/>
    <w:rsid w:val="00161AF9"/>
    <w:rsid w:val="00161B0B"/>
    <w:rsid w:val="00161B83"/>
    <w:rsid w:val="00161C6D"/>
    <w:rsid w:val="00161D69"/>
    <w:rsid w:val="00161F39"/>
    <w:rsid w:val="00161FA1"/>
    <w:rsid w:val="0016203A"/>
    <w:rsid w:val="00162106"/>
    <w:rsid w:val="001622B8"/>
    <w:rsid w:val="001623F0"/>
    <w:rsid w:val="001623F1"/>
    <w:rsid w:val="00162431"/>
    <w:rsid w:val="001624B1"/>
    <w:rsid w:val="001624D6"/>
    <w:rsid w:val="001624E4"/>
    <w:rsid w:val="00162563"/>
    <w:rsid w:val="0016267D"/>
    <w:rsid w:val="0016281A"/>
    <w:rsid w:val="00162961"/>
    <w:rsid w:val="00162AE1"/>
    <w:rsid w:val="00162AFD"/>
    <w:rsid w:val="00162BE2"/>
    <w:rsid w:val="00162C7C"/>
    <w:rsid w:val="00162C9E"/>
    <w:rsid w:val="00162CD3"/>
    <w:rsid w:val="00162D17"/>
    <w:rsid w:val="00162D6B"/>
    <w:rsid w:val="00162E93"/>
    <w:rsid w:val="00162FDC"/>
    <w:rsid w:val="00163176"/>
    <w:rsid w:val="001631AD"/>
    <w:rsid w:val="00163286"/>
    <w:rsid w:val="00163321"/>
    <w:rsid w:val="001633C4"/>
    <w:rsid w:val="001633E4"/>
    <w:rsid w:val="001634B1"/>
    <w:rsid w:val="00163515"/>
    <w:rsid w:val="001635DA"/>
    <w:rsid w:val="001636D2"/>
    <w:rsid w:val="001636F0"/>
    <w:rsid w:val="00163749"/>
    <w:rsid w:val="001637D3"/>
    <w:rsid w:val="001638B9"/>
    <w:rsid w:val="001639DB"/>
    <w:rsid w:val="00163DD8"/>
    <w:rsid w:val="00164021"/>
    <w:rsid w:val="0016410A"/>
    <w:rsid w:val="0016411C"/>
    <w:rsid w:val="0016426B"/>
    <w:rsid w:val="001642CB"/>
    <w:rsid w:val="00164612"/>
    <w:rsid w:val="0016478F"/>
    <w:rsid w:val="001647AF"/>
    <w:rsid w:val="00164844"/>
    <w:rsid w:val="00164859"/>
    <w:rsid w:val="00164B0D"/>
    <w:rsid w:val="00164BCA"/>
    <w:rsid w:val="00164C25"/>
    <w:rsid w:val="00164D4A"/>
    <w:rsid w:val="00164EE8"/>
    <w:rsid w:val="001650B2"/>
    <w:rsid w:val="0016518F"/>
    <w:rsid w:val="00165239"/>
    <w:rsid w:val="0016529D"/>
    <w:rsid w:val="0016539E"/>
    <w:rsid w:val="001653D5"/>
    <w:rsid w:val="001653D8"/>
    <w:rsid w:val="0016548D"/>
    <w:rsid w:val="0016554B"/>
    <w:rsid w:val="0016556A"/>
    <w:rsid w:val="00165633"/>
    <w:rsid w:val="001656F3"/>
    <w:rsid w:val="0016573D"/>
    <w:rsid w:val="001657A1"/>
    <w:rsid w:val="001657A4"/>
    <w:rsid w:val="001657A8"/>
    <w:rsid w:val="001657DC"/>
    <w:rsid w:val="001658AB"/>
    <w:rsid w:val="001658D7"/>
    <w:rsid w:val="00165988"/>
    <w:rsid w:val="00165AB0"/>
    <w:rsid w:val="00165B47"/>
    <w:rsid w:val="00165C16"/>
    <w:rsid w:val="00165C75"/>
    <w:rsid w:val="00165F94"/>
    <w:rsid w:val="00165F9F"/>
    <w:rsid w:val="0016608C"/>
    <w:rsid w:val="001661D0"/>
    <w:rsid w:val="00166212"/>
    <w:rsid w:val="001663A8"/>
    <w:rsid w:val="001664F8"/>
    <w:rsid w:val="001665B4"/>
    <w:rsid w:val="00166662"/>
    <w:rsid w:val="001669AC"/>
    <w:rsid w:val="001669FB"/>
    <w:rsid w:val="00166A04"/>
    <w:rsid w:val="00166B20"/>
    <w:rsid w:val="00166C16"/>
    <w:rsid w:val="00166DB8"/>
    <w:rsid w:val="00166F64"/>
    <w:rsid w:val="00167056"/>
    <w:rsid w:val="001671E5"/>
    <w:rsid w:val="0016728D"/>
    <w:rsid w:val="001672E0"/>
    <w:rsid w:val="0016735A"/>
    <w:rsid w:val="001673E4"/>
    <w:rsid w:val="00167470"/>
    <w:rsid w:val="001675DF"/>
    <w:rsid w:val="00167627"/>
    <w:rsid w:val="00167665"/>
    <w:rsid w:val="0016783B"/>
    <w:rsid w:val="001678FB"/>
    <w:rsid w:val="0016795A"/>
    <w:rsid w:val="001679A9"/>
    <w:rsid w:val="00167B06"/>
    <w:rsid w:val="00167B33"/>
    <w:rsid w:val="00167BB2"/>
    <w:rsid w:val="00167D07"/>
    <w:rsid w:val="00167D38"/>
    <w:rsid w:val="00167D83"/>
    <w:rsid w:val="00167DDD"/>
    <w:rsid w:val="00167E21"/>
    <w:rsid w:val="00167EAC"/>
    <w:rsid w:val="00167ECC"/>
    <w:rsid w:val="00167ECF"/>
    <w:rsid w:val="00167FC8"/>
    <w:rsid w:val="00170053"/>
    <w:rsid w:val="00170184"/>
    <w:rsid w:val="0017018E"/>
    <w:rsid w:val="001701CF"/>
    <w:rsid w:val="001701ED"/>
    <w:rsid w:val="0017042E"/>
    <w:rsid w:val="00170493"/>
    <w:rsid w:val="001705D4"/>
    <w:rsid w:val="00170750"/>
    <w:rsid w:val="00170947"/>
    <w:rsid w:val="001709EE"/>
    <w:rsid w:val="00170B35"/>
    <w:rsid w:val="00170C20"/>
    <w:rsid w:val="00170E9E"/>
    <w:rsid w:val="00170EE3"/>
    <w:rsid w:val="00170F00"/>
    <w:rsid w:val="00170FC7"/>
    <w:rsid w:val="00171050"/>
    <w:rsid w:val="00171118"/>
    <w:rsid w:val="001711A2"/>
    <w:rsid w:val="001711C1"/>
    <w:rsid w:val="001712DD"/>
    <w:rsid w:val="00171343"/>
    <w:rsid w:val="001713C0"/>
    <w:rsid w:val="00171425"/>
    <w:rsid w:val="00171447"/>
    <w:rsid w:val="0017166F"/>
    <w:rsid w:val="00171882"/>
    <w:rsid w:val="0017188C"/>
    <w:rsid w:val="001718E9"/>
    <w:rsid w:val="00171AE7"/>
    <w:rsid w:val="00171AEB"/>
    <w:rsid w:val="00171B21"/>
    <w:rsid w:val="00171BD7"/>
    <w:rsid w:val="00171C28"/>
    <w:rsid w:val="00171C5C"/>
    <w:rsid w:val="00171C99"/>
    <w:rsid w:val="00171D5B"/>
    <w:rsid w:val="00171DE4"/>
    <w:rsid w:val="00171FB2"/>
    <w:rsid w:val="0017209F"/>
    <w:rsid w:val="0017211C"/>
    <w:rsid w:val="00172151"/>
    <w:rsid w:val="00172181"/>
    <w:rsid w:val="0017229C"/>
    <w:rsid w:val="0017238B"/>
    <w:rsid w:val="001723D3"/>
    <w:rsid w:val="00172447"/>
    <w:rsid w:val="00172559"/>
    <w:rsid w:val="00172613"/>
    <w:rsid w:val="00172658"/>
    <w:rsid w:val="001726BE"/>
    <w:rsid w:val="001727D9"/>
    <w:rsid w:val="0017290A"/>
    <w:rsid w:val="0017295E"/>
    <w:rsid w:val="00172995"/>
    <w:rsid w:val="001729A1"/>
    <w:rsid w:val="00172ABD"/>
    <w:rsid w:val="00172BDA"/>
    <w:rsid w:val="00172C2C"/>
    <w:rsid w:val="00172C54"/>
    <w:rsid w:val="00172C98"/>
    <w:rsid w:val="00172E01"/>
    <w:rsid w:val="00172EF9"/>
    <w:rsid w:val="00173096"/>
    <w:rsid w:val="001730AF"/>
    <w:rsid w:val="001730C2"/>
    <w:rsid w:val="00173104"/>
    <w:rsid w:val="0017316C"/>
    <w:rsid w:val="00173231"/>
    <w:rsid w:val="00173346"/>
    <w:rsid w:val="0017341A"/>
    <w:rsid w:val="00173458"/>
    <w:rsid w:val="001734E6"/>
    <w:rsid w:val="00173686"/>
    <w:rsid w:val="001737B9"/>
    <w:rsid w:val="00173897"/>
    <w:rsid w:val="00173A8C"/>
    <w:rsid w:val="00173AA6"/>
    <w:rsid w:val="00173B53"/>
    <w:rsid w:val="00173FE0"/>
    <w:rsid w:val="00174045"/>
    <w:rsid w:val="001740C1"/>
    <w:rsid w:val="001740E6"/>
    <w:rsid w:val="001742D8"/>
    <w:rsid w:val="00174370"/>
    <w:rsid w:val="0017438B"/>
    <w:rsid w:val="0017439D"/>
    <w:rsid w:val="001743D1"/>
    <w:rsid w:val="00174404"/>
    <w:rsid w:val="001744C1"/>
    <w:rsid w:val="001744E3"/>
    <w:rsid w:val="00174558"/>
    <w:rsid w:val="001745CF"/>
    <w:rsid w:val="001746B3"/>
    <w:rsid w:val="00174743"/>
    <w:rsid w:val="0017475F"/>
    <w:rsid w:val="0017484A"/>
    <w:rsid w:val="00174877"/>
    <w:rsid w:val="001748C1"/>
    <w:rsid w:val="001748DB"/>
    <w:rsid w:val="001748F1"/>
    <w:rsid w:val="00174B73"/>
    <w:rsid w:val="00174D13"/>
    <w:rsid w:val="00174E34"/>
    <w:rsid w:val="00174E51"/>
    <w:rsid w:val="00174E6A"/>
    <w:rsid w:val="00174E92"/>
    <w:rsid w:val="00174EE8"/>
    <w:rsid w:val="00174F80"/>
    <w:rsid w:val="001750AF"/>
    <w:rsid w:val="001751BC"/>
    <w:rsid w:val="00175341"/>
    <w:rsid w:val="001753B6"/>
    <w:rsid w:val="00175517"/>
    <w:rsid w:val="0017552D"/>
    <w:rsid w:val="00175627"/>
    <w:rsid w:val="00175694"/>
    <w:rsid w:val="00175733"/>
    <w:rsid w:val="001757AA"/>
    <w:rsid w:val="001757B3"/>
    <w:rsid w:val="0017580E"/>
    <w:rsid w:val="001758E7"/>
    <w:rsid w:val="001758E8"/>
    <w:rsid w:val="00175938"/>
    <w:rsid w:val="00175949"/>
    <w:rsid w:val="0017597E"/>
    <w:rsid w:val="00175B76"/>
    <w:rsid w:val="00175D95"/>
    <w:rsid w:val="00176034"/>
    <w:rsid w:val="001760C3"/>
    <w:rsid w:val="00176284"/>
    <w:rsid w:val="00176287"/>
    <w:rsid w:val="001762FF"/>
    <w:rsid w:val="00176391"/>
    <w:rsid w:val="001763C5"/>
    <w:rsid w:val="00176418"/>
    <w:rsid w:val="00176613"/>
    <w:rsid w:val="00176636"/>
    <w:rsid w:val="0017667F"/>
    <w:rsid w:val="00176731"/>
    <w:rsid w:val="001768CA"/>
    <w:rsid w:val="00176AAA"/>
    <w:rsid w:val="00176FE0"/>
    <w:rsid w:val="0017713E"/>
    <w:rsid w:val="00177189"/>
    <w:rsid w:val="001772F7"/>
    <w:rsid w:val="00177333"/>
    <w:rsid w:val="001774BE"/>
    <w:rsid w:val="001774D3"/>
    <w:rsid w:val="0017762A"/>
    <w:rsid w:val="00177689"/>
    <w:rsid w:val="00177694"/>
    <w:rsid w:val="001777A7"/>
    <w:rsid w:val="001777E2"/>
    <w:rsid w:val="00177824"/>
    <w:rsid w:val="00177845"/>
    <w:rsid w:val="0017785D"/>
    <w:rsid w:val="0017795B"/>
    <w:rsid w:val="00177980"/>
    <w:rsid w:val="00177983"/>
    <w:rsid w:val="00177A61"/>
    <w:rsid w:val="00177B0A"/>
    <w:rsid w:val="00177B30"/>
    <w:rsid w:val="00177B39"/>
    <w:rsid w:val="00177FC8"/>
    <w:rsid w:val="0018009B"/>
    <w:rsid w:val="001800E4"/>
    <w:rsid w:val="001802C1"/>
    <w:rsid w:val="0018045B"/>
    <w:rsid w:val="001804A0"/>
    <w:rsid w:val="00180567"/>
    <w:rsid w:val="00180573"/>
    <w:rsid w:val="00180812"/>
    <w:rsid w:val="00180905"/>
    <w:rsid w:val="001809EC"/>
    <w:rsid w:val="00180A02"/>
    <w:rsid w:val="00180A70"/>
    <w:rsid w:val="00180B0D"/>
    <w:rsid w:val="00180BF4"/>
    <w:rsid w:val="00180C5D"/>
    <w:rsid w:val="00180C97"/>
    <w:rsid w:val="00180CA7"/>
    <w:rsid w:val="00180CCD"/>
    <w:rsid w:val="00180CCF"/>
    <w:rsid w:val="00180D21"/>
    <w:rsid w:val="00180D25"/>
    <w:rsid w:val="00180D49"/>
    <w:rsid w:val="00180D59"/>
    <w:rsid w:val="00180FEE"/>
    <w:rsid w:val="00181049"/>
    <w:rsid w:val="00181105"/>
    <w:rsid w:val="00181174"/>
    <w:rsid w:val="001813C3"/>
    <w:rsid w:val="001814D2"/>
    <w:rsid w:val="00181590"/>
    <w:rsid w:val="00181736"/>
    <w:rsid w:val="001817FA"/>
    <w:rsid w:val="00181805"/>
    <w:rsid w:val="00181820"/>
    <w:rsid w:val="00181889"/>
    <w:rsid w:val="00181B0A"/>
    <w:rsid w:val="00181B0B"/>
    <w:rsid w:val="00181BEB"/>
    <w:rsid w:val="00181C76"/>
    <w:rsid w:val="00181C85"/>
    <w:rsid w:val="00181C8D"/>
    <w:rsid w:val="00181CB5"/>
    <w:rsid w:val="00181CE0"/>
    <w:rsid w:val="00181CE3"/>
    <w:rsid w:val="00181CE8"/>
    <w:rsid w:val="00181D03"/>
    <w:rsid w:val="00181DCC"/>
    <w:rsid w:val="00181E98"/>
    <w:rsid w:val="00182038"/>
    <w:rsid w:val="0018207C"/>
    <w:rsid w:val="00182130"/>
    <w:rsid w:val="0018229D"/>
    <w:rsid w:val="0018235D"/>
    <w:rsid w:val="001826B4"/>
    <w:rsid w:val="00182745"/>
    <w:rsid w:val="00182831"/>
    <w:rsid w:val="001829E9"/>
    <w:rsid w:val="00182A44"/>
    <w:rsid w:val="00182B34"/>
    <w:rsid w:val="00182B38"/>
    <w:rsid w:val="00182C0C"/>
    <w:rsid w:val="00182CF9"/>
    <w:rsid w:val="00182E89"/>
    <w:rsid w:val="00182E8D"/>
    <w:rsid w:val="00182EDF"/>
    <w:rsid w:val="00182FF5"/>
    <w:rsid w:val="001838EC"/>
    <w:rsid w:val="00183962"/>
    <w:rsid w:val="00183965"/>
    <w:rsid w:val="00183B4A"/>
    <w:rsid w:val="00183C3B"/>
    <w:rsid w:val="00183C3D"/>
    <w:rsid w:val="00183CF1"/>
    <w:rsid w:val="00183CF7"/>
    <w:rsid w:val="00183D61"/>
    <w:rsid w:val="00183E78"/>
    <w:rsid w:val="00183F8B"/>
    <w:rsid w:val="00183F9A"/>
    <w:rsid w:val="00184096"/>
    <w:rsid w:val="00184123"/>
    <w:rsid w:val="00184260"/>
    <w:rsid w:val="001842A2"/>
    <w:rsid w:val="00184324"/>
    <w:rsid w:val="0018433E"/>
    <w:rsid w:val="001843E1"/>
    <w:rsid w:val="00184495"/>
    <w:rsid w:val="00184534"/>
    <w:rsid w:val="00184557"/>
    <w:rsid w:val="001845BB"/>
    <w:rsid w:val="00184626"/>
    <w:rsid w:val="001846A5"/>
    <w:rsid w:val="001846AF"/>
    <w:rsid w:val="001848CD"/>
    <w:rsid w:val="0018490A"/>
    <w:rsid w:val="00184A3A"/>
    <w:rsid w:val="00184ACB"/>
    <w:rsid w:val="00184B04"/>
    <w:rsid w:val="00184B7A"/>
    <w:rsid w:val="00184C50"/>
    <w:rsid w:val="00184D56"/>
    <w:rsid w:val="00184F22"/>
    <w:rsid w:val="00184F54"/>
    <w:rsid w:val="00184FFD"/>
    <w:rsid w:val="00185016"/>
    <w:rsid w:val="00185109"/>
    <w:rsid w:val="0018516A"/>
    <w:rsid w:val="001856C4"/>
    <w:rsid w:val="00185719"/>
    <w:rsid w:val="001857A9"/>
    <w:rsid w:val="00185895"/>
    <w:rsid w:val="001858E3"/>
    <w:rsid w:val="00185CAF"/>
    <w:rsid w:val="00185CBF"/>
    <w:rsid w:val="00185DB2"/>
    <w:rsid w:val="00185E53"/>
    <w:rsid w:val="00185EFA"/>
    <w:rsid w:val="00185F18"/>
    <w:rsid w:val="00186102"/>
    <w:rsid w:val="0018620B"/>
    <w:rsid w:val="00186211"/>
    <w:rsid w:val="00186252"/>
    <w:rsid w:val="001862F4"/>
    <w:rsid w:val="001863DD"/>
    <w:rsid w:val="00186575"/>
    <w:rsid w:val="001867A3"/>
    <w:rsid w:val="001867C8"/>
    <w:rsid w:val="001868FD"/>
    <w:rsid w:val="00186A07"/>
    <w:rsid w:val="00186A7A"/>
    <w:rsid w:val="00186AE8"/>
    <w:rsid w:val="00186B0F"/>
    <w:rsid w:val="00186C76"/>
    <w:rsid w:val="00186D4F"/>
    <w:rsid w:val="00186E0D"/>
    <w:rsid w:val="00186E51"/>
    <w:rsid w:val="00186EB4"/>
    <w:rsid w:val="001870E9"/>
    <w:rsid w:val="001870ED"/>
    <w:rsid w:val="001870F0"/>
    <w:rsid w:val="001871D8"/>
    <w:rsid w:val="001872BC"/>
    <w:rsid w:val="00187345"/>
    <w:rsid w:val="0018747C"/>
    <w:rsid w:val="001874F3"/>
    <w:rsid w:val="0018751B"/>
    <w:rsid w:val="00187785"/>
    <w:rsid w:val="0018792F"/>
    <w:rsid w:val="00187999"/>
    <w:rsid w:val="00187B20"/>
    <w:rsid w:val="00187B64"/>
    <w:rsid w:val="00187BF5"/>
    <w:rsid w:val="00187CE2"/>
    <w:rsid w:val="0019018A"/>
    <w:rsid w:val="001901EE"/>
    <w:rsid w:val="00190356"/>
    <w:rsid w:val="001903E1"/>
    <w:rsid w:val="001903F2"/>
    <w:rsid w:val="0019053F"/>
    <w:rsid w:val="00190626"/>
    <w:rsid w:val="001906A3"/>
    <w:rsid w:val="001906F7"/>
    <w:rsid w:val="00190750"/>
    <w:rsid w:val="001907F3"/>
    <w:rsid w:val="00190903"/>
    <w:rsid w:val="00190B05"/>
    <w:rsid w:val="00190BA2"/>
    <w:rsid w:val="00190C3C"/>
    <w:rsid w:val="00190CFA"/>
    <w:rsid w:val="00190D10"/>
    <w:rsid w:val="00190E21"/>
    <w:rsid w:val="0019105D"/>
    <w:rsid w:val="0019118A"/>
    <w:rsid w:val="00191267"/>
    <w:rsid w:val="00191495"/>
    <w:rsid w:val="001914DB"/>
    <w:rsid w:val="00191551"/>
    <w:rsid w:val="001915F1"/>
    <w:rsid w:val="00191649"/>
    <w:rsid w:val="00191674"/>
    <w:rsid w:val="001916E0"/>
    <w:rsid w:val="00191743"/>
    <w:rsid w:val="0019179A"/>
    <w:rsid w:val="00191985"/>
    <w:rsid w:val="001919AB"/>
    <w:rsid w:val="001919EE"/>
    <w:rsid w:val="001919FD"/>
    <w:rsid w:val="00191AEB"/>
    <w:rsid w:val="00191BA6"/>
    <w:rsid w:val="00191D1B"/>
    <w:rsid w:val="00191EF1"/>
    <w:rsid w:val="00191EF6"/>
    <w:rsid w:val="0019202F"/>
    <w:rsid w:val="0019205F"/>
    <w:rsid w:val="00192120"/>
    <w:rsid w:val="001921D1"/>
    <w:rsid w:val="0019220B"/>
    <w:rsid w:val="0019222D"/>
    <w:rsid w:val="001923A0"/>
    <w:rsid w:val="001923D0"/>
    <w:rsid w:val="00192486"/>
    <w:rsid w:val="001925FE"/>
    <w:rsid w:val="00192639"/>
    <w:rsid w:val="00192726"/>
    <w:rsid w:val="00192756"/>
    <w:rsid w:val="0019281C"/>
    <w:rsid w:val="00192A8F"/>
    <w:rsid w:val="00192AAA"/>
    <w:rsid w:val="00192B2A"/>
    <w:rsid w:val="00192BD3"/>
    <w:rsid w:val="00192DAA"/>
    <w:rsid w:val="00192DF9"/>
    <w:rsid w:val="00193236"/>
    <w:rsid w:val="00193305"/>
    <w:rsid w:val="00193340"/>
    <w:rsid w:val="0019353E"/>
    <w:rsid w:val="0019356E"/>
    <w:rsid w:val="00193600"/>
    <w:rsid w:val="00193657"/>
    <w:rsid w:val="0019367C"/>
    <w:rsid w:val="0019379A"/>
    <w:rsid w:val="00193838"/>
    <w:rsid w:val="00193A8B"/>
    <w:rsid w:val="00193B06"/>
    <w:rsid w:val="00193BD4"/>
    <w:rsid w:val="00193FE2"/>
    <w:rsid w:val="00194050"/>
    <w:rsid w:val="00194088"/>
    <w:rsid w:val="001940F6"/>
    <w:rsid w:val="0019412D"/>
    <w:rsid w:val="0019417C"/>
    <w:rsid w:val="00194231"/>
    <w:rsid w:val="00194435"/>
    <w:rsid w:val="00194490"/>
    <w:rsid w:val="001944CB"/>
    <w:rsid w:val="001944DE"/>
    <w:rsid w:val="00194605"/>
    <w:rsid w:val="00194716"/>
    <w:rsid w:val="0019474B"/>
    <w:rsid w:val="00194B70"/>
    <w:rsid w:val="00194BA3"/>
    <w:rsid w:val="00194BE1"/>
    <w:rsid w:val="00194DC4"/>
    <w:rsid w:val="00194E1D"/>
    <w:rsid w:val="00194E76"/>
    <w:rsid w:val="00194E93"/>
    <w:rsid w:val="00194EED"/>
    <w:rsid w:val="00194F57"/>
    <w:rsid w:val="00194F5C"/>
    <w:rsid w:val="00195205"/>
    <w:rsid w:val="0019532A"/>
    <w:rsid w:val="001953FD"/>
    <w:rsid w:val="00195540"/>
    <w:rsid w:val="001955F6"/>
    <w:rsid w:val="00195690"/>
    <w:rsid w:val="001957CC"/>
    <w:rsid w:val="0019581A"/>
    <w:rsid w:val="00195862"/>
    <w:rsid w:val="00195968"/>
    <w:rsid w:val="001959B8"/>
    <w:rsid w:val="00195A67"/>
    <w:rsid w:val="00195B98"/>
    <w:rsid w:val="00195BB9"/>
    <w:rsid w:val="00195BCE"/>
    <w:rsid w:val="00195BE1"/>
    <w:rsid w:val="00195C07"/>
    <w:rsid w:val="00195C2B"/>
    <w:rsid w:val="00195E71"/>
    <w:rsid w:val="0019612A"/>
    <w:rsid w:val="00196200"/>
    <w:rsid w:val="001962C7"/>
    <w:rsid w:val="001962ED"/>
    <w:rsid w:val="00196305"/>
    <w:rsid w:val="00196372"/>
    <w:rsid w:val="00196388"/>
    <w:rsid w:val="001963D3"/>
    <w:rsid w:val="001964E7"/>
    <w:rsid w:val="00196570"/>
    <w:rsid w:val="001965F1"/>
    <w:rsid w:val="00196689"/>
    <w:rsid w:val="001966B0"/>
    <w:rsid w:val="0019672D"/>
    <w:rsid w:val="0019681C"/>
    <w:rsid w:val="0019682F"/>
    <w:rsid w:val="001968A7"/>
    <w:rsid w:val="001968FF"/>
    <w:rsid w:val="00196972"/>
    <w:rsid w:val="001969E2"/>
    <w:rsid w:val="00196A01"/>
    <w:rsid w:val="00196A56"/>
    <w:rsid w:val="00196B51"/>
    <w:rsid w:val="00196BFC"/>
    <w:rsid w:val="00196BFE"/>
    <w:rsid w:val="00196C17"/>
    <w:rsid w:val="00196D16"/>
    <w:rsid w:val="00196E73"/>
    <w:rsid w:val="00196F1F"/>
    <w:rsid w:val="0019705B"/>
    <w:rsid w:val="00197124"/>
    <w:rsid w:val="0019715B"/>
    <w:rsid w:val="00197247"/>
    <w:rsid w:val="00197282"/>
    <w:rsid w:val="0019732E"/>
    <w:rsid w:val="0019734E"/>
    <w:rsid w:val="00197382"/>
    <w:rsid w:val="0019743F"/>
    <w:rsid w:val="00197500"/>
    <w:rsid w:val="0019750D"/>
    <w:rsid w:val="0019750E"/>
    <w:rsid w:val="0019758C"/>
    <w:rsid w:val="001975FF"/>
    <w:rsid w:val="00197624"/>
    <w:rsid w:val="001977B4"/>
    <w:rsid w:val="001978DF"/>
    <w:rsid w:val="001979BA"/>
    <w:rsid w:val="001979F7"/>
    <w:rsid w:val="00197A26"/>
    <w:rsid w:val="00197A51"/>
    <w:rsid w:val="00197C8B"/>
    <w:rsid w:val="00197CAD"/>
    <w:rsid w:val="00197E28"/>
    <w:rsid w:val="00197EBE"/>
    <w:rsid w:val="00197FCD"/>
    <w:rsid w:val="001A004B"/>
    <w:rsid w:val="001A0050"/>
    <w:rsid w:val="001A00A4"/>
    <w:rsid w:val="001A0109"/>
    <w:rsid w:val="001A0251"/>
    <w:rsid w:val="001A06F0"/>
    <w:rsid w:val="001A06FB"/>
    <w:rsid w:val="001A071C"/>
    <w:rsid w:val="001A073C"/>
    <w:rsid w:val="001A07E2"/>
    <w:rsid w:val="001A080B"/>
    <w:rsid w:val="001A08B1"/>
    <w:rsid w:val="001A095A"/>
    <w:rsid w:val="001A0BB2"/>
    <w:rsid w:val="001A0BD6"/>
    <w:rsid w:val="001A0C61"/>
    <w:rsid w:val="001A0CAF"/>
    <w:rsid w:val="001A0D01"/>
    <w:rsid w:val="001A0D52"/>
    <w:rsid w:val="001A0DD2"/>
    <w:rsid w:val="001A0DDA"/>
    <w:rsid w:val="001A0F98"/>
    <w:rsid w:val="001A0FD9"/>
    <w:rsid w:val="001A1128"/>
    <w:rsid w:val="001A12AC"/>
    <w:rsid w:val="001A133B"/>
    <w:rsid w:val="001A13CC"/>
    <w:rsid w:val="001A14BD"/>
    <w:rsid w:val="001A14D7"/>
    <w:rsid w:val="001A1546"/>
    <w:rsid w:val="001A164C"/>
    <w:rsid w:val="001A1651"/>
    <w:rsid w:val="001A168C"/>
    <w:rsid w:val="001A16D1"/>
    <w:rsid w:val="001A172C"/>
    <w:rsid w:val="001A189A"/>
    <w:rsid w:val="001A1953"/>
    <w:rsid w:val="001A1979"/>
    <w:rsid w:val="001A1A59"/>
    <w:rsid w:val="001A1B35"/>
    <w:rsid w:val="001A1D5E"/>
    <w:rsid w:val="001A1D6F"/>
    <w:rsid w:val="001A1E13"/>
    <w:rsid w:val="001A2111"/>
    <w:rsid w:val="001A2152"/>
    <w:rsid w:val="001A2225"/>
    <w:rsid w:val="001A229D"/>
    <w:rsid w:val="001A23C8"/>
    <w:rsid w:val="001A245C"/>
    <w:rsid w:val="001A24A5"/>
    <w:rsid w:val="001A24C8"/>
    <w:rsid w:val="001A24F1"/>
    <w:rsid w:val="001A24FA"/>
    <w:rsid w:val="001A2679"/>
    <w:rsid w:val="001A2947"/>
    <w:rsid w:val="001A297B"/>
    <w:rsid w:val="001A29E2"/>
    <w:rsid w:val="001A2AA1"/>
    <w:rsid w:val="001A2D92"/>
    <w:rsid w:val="001A2DCA"/>
    <w:rsid w:val="001A2DD8"/>
    <w:rsid w:val="001A2EBD"/>
    <w:rsid w:val="001A2F08"/>
    <w:rsid w:val="001A2F16"/>
    <w:rsid w:val="001A2FA2"/>
    <w:rsid w:val="001A3262"/>
    <w:rsid w:val="001A339C"/>
    <w:rsid w:val="001A33C2"/>
    <w:rsid w:val="001A34FB"/>
    <w:rsid w:val="001A354D"/>
    <w:rsid w:val="001A3684"/>
    <w:rsid w:val="001A3768"/>
    <w:rsid w:val="001A38C7"/>
    <w:rsid w:val="001A38FA"/>
    <w:rsid w:val="001A3922"/>
    <w:rsid w:val="001A3953"/>
    <w:rsid w:val="001A3C8F"/>
    <w:rsid w:val="001A3CF5"/>
    <w:rsid w:val="001A3E42"/>
    <w:rsid w:val="001A3E60"/>
    <w:rsid w:val="001A3E91"/>
    <w:rsid w:val="001A3F31"/>
    <w:rsid w:val="001A3FC7"/>
    <w:rsid w:val="001A408E"/>
    <w:rsid w:val="001A4273"/>
    <w:rsid w:val="001A42A8"/>
    <w:rsid w:val="001A4387"/>
    <w:rsid w:val="001A46F1"/>
    <w:rsid w:val="001A47CF"/>
    <w:rsid w:val="001A4822"/>
    <w:rsid w:val="001A496E"/>
    <w:rsid w:val="001A4AAA"/>
    <w:rsid w:val="001A4ADE"/>
    <w:rsid w:val="001A4B95"/>
    <w:rsid w:val="001A4C3F"/>
    <w:rsid w:val="001A4D39"/>
    <w:rsid w:val="001A4E28"/>
    <w:rsid w:val="001A4EB4"/>
    <w:rsid w:val="001A4F50"/>
    <w:rsid w:val="001A4F82"/>
    <w:rsid w:val="001A4FBA"/>
    <w:rsid w:val="001A5003"/>
    <w:rsid w:val="001A5118"/>
    <w:rsid w:val="001A51B4"/>
    <w:rsid w:val="001A51F1"/>
    <w:rsid w:val="001A525B"/>
    <w:rsid w:val="001A5315"/>
    <w:rsid w:val="001A5485"/>
    <w:rsid w:val="001A551F"/>
    <w:rsid w:val="001A555B"/>
    <w:rsid w:val="001A563A"/>
    <w:rsid w:val="001A5684"/>
    <w:rsid w:val="001A56A6"/>
    <w:rsid w:val="001A56E9"/>
    <w:rsid w:val="001A582B"/>
    <w:rsid w:val="001A5896"/>
    <w:rsid w:val="001A5A0F"/>
    <w:rsid w:val="001A5AC9"/>
    <w:rsid w:val="001A5B91"/>
    <w:rsid w:val="001A5C6D"/>
    <w:rsid w:val="001A5D43"/>
    <w:rsid w:val="001A5D47"/>
    <w:rsid w:val="001A5DD4"/>
    <w:rsid w:val="001A5E5B"/>
    <w:rsid w:val="001A5E71"/>
    <w:rsid w:val="001A5F81"/>
    <w:rsid w:val="001A6037"/>
    <w:rsid w:val="001A61C6"/>
    <w:rsid w:val="001A63A7"/>
    <w:rsid w:val="001A64D5"/>
    <w:rsid w:val="001A657D"/>
    <w:rsid w:val="001A65DE"/>
    <w:rsid w:val="001A666B"/>
    <w:rsid w:val="001A6689"/>
    <w:rsid w:val="001A681E"/>
    <w:rsid w:val="001A683D"/>
    <w:rsid w:val="001A685F"/>
    <w:rsid w:val="001A68AD"/>
    <w:rsid w:val="001A6B8B"/>
    <w:rsid w:val="001A6CB4"/>
    <w:rsid w:val="001A6D0C"/>
    <w:rsid w:val="001A6D0E"/>
    <w:rsid w:val="001A6D1B"/>
    <w:rsid w:val="001A6E12"/>
    <w:rsid w:val="001A706E"/>
    <w:rsid w:val="001A7114"/>
    <w:rsid w:val="001A7231"/>
    <w:rsid w:val="001A72AA"/>
    <w:rsid w:val="001A72AC"/>
    <w:rsid w:val="001A7369"/>
    <w:rsid w:val="001A73FB"/>
    <w:rsid w:val="001A743D"/>
    <w:rsid w:val="001A74BE"/>
    <w:rsid w:val="001A7512"/>
    <w:rsid w:val="001A75B7"/>
    <w:rsid w:val="001A7655"/>
    <w:rsid w:val="001A770A"/>
    <w:rsid w:val="001A7753"/>
    <w:rsid w:val="001A785B"/>
    <w:rsid w:val="001A7877"/>
    <w:rsid w:val="001A78B1"/>
    <w:rsid w:val="001A78B8"/>
    <w:rsid w:val="001A7920"/>
    <w:rsid w:val="001A79CC"/>
    <w:rsid w:val="001A7A51"/>
    <w:rsid w:val="001A7A98"/>
    <w:rsid w:val="001A7AC4"/>
    <w:rsid w:val="001A7C70"/>
    <w:rsid w:val="001A7E8F"/>
    <w:rsid w:val="001A7F9A"/>
    <w:rsid w:val="001B007E"/>
    <w:rsid w:val="001B01E2"/>
    <w:rsid w:val="001B025C"/>
    <w:rsid w:val="001B027E"/>
    <w:rsid w:val="001B0325"/>
    <w:rsid w:val="001B0328"/>
    <w:rsid w:val="001B03E1"/>
    <w:rsid w:val="001B041B"/>
    <w:rsid w:val="001B0476"/>
    <w:rsid w:val="001B04A2"/>
    <w:rsid w:val="001B0509"/>
    <w:rsid w:val="001B05D5"/>
    <w:rsid w:val="001B0662"/>
    <w:rsid w:val="001B0696"/>
    <w:rsid w:val="001B0707"/>
    <w:rsid w:val="001B0728"/>
    <w:rsid w:val="001B07B3"/>
    <w:rsid w:val="001B0883"/>
    <w:rsid w:val="001B093C"/>
    <w:rsid w:val="001B0943"/>
    <w:rsid w:val="001B0969"/>
    <w:rsid w:val="001B09B5"/>
    <w:rsid w:val="001B0AE6"/>
    <w:rsid w:val="001B0AEF"/>
    <w:rsid w:val="001B0C40"/>
    <w:rsid w:val="001B0C4A"/>
    <w:rsid w:val="001B0C50"/>
    <w:rsid w:val="001B0E49"/>
    <w:rsid w:val="001B0E87"/>
    <w:rsid w:val="001B0E89"/>
    <w:rsid w:val="001B0EB9"/>
    <w:rsid w:val="001B0F52"/>
    <w:rsid w:val="001B114E"/>
    <w:rsid w:val="001B1167"/>
    <w:rsid w:val="001B12DE"/>
    <w:rsid w:val="001B135F"/>
    <w:rsid w:val="001B147D"/>
    <w:rsid w:val="001B14F0"/>
    <w:rsid w:val="001B1518"/>
    <w:rsid w:val="001B167D"/>
    <w:rsid w:val="001B17D9"/>
    <w:rsid w:val="001B1801"/>
    <w:rsid w:val="001B1B0A"/>
    <w:rsid w:val="001B1BDA"/>
    <w:rsid w:val="001B1DA7"/>
    <w:rsid w:val="001B1DF9"/>
    <w:rsid w:val="001B1E5F"/>
    <w:rsid w:val="001B1E63"/>
    <w:rsid w:val="001B1E6B"/>
    <w:rsid w:val="001B1F0C"/>
    <w:rsid w:val="001B1F30"/>
    <w:rsid w:val="001B1F84"/>
    <w:rsid w:val="001B217F"/>
    <w:rsid w:val="001B21C0"/>
    <w:rsid w:val="001B2238"/>
    <w:rsid w:val="001B2337"/>
    <w:rsid w:val="001B245B"/>
    <w:rsid w:val="001B2489"/>
    <w:rsid w:val="001B2502"/>
    <w:rsid w:val="001B2599"/>
    <w:rsid w:val="001B25BA"/>
    <w:rsid w:val="001B25F7"/>
    <w:rsid w:val="001B27B0"/>
    <w:rsid w:val="001B28F6"/>
    <w:rsid w:val="001B2953"/>
    <w:rsid w:val="001B2B51"/>
    <w:rsid w:val="001B2B71"/>
    <w:rsid w:val="001B2C87"/>
    <w:rsid w:val="001B2CA2"/>
    <w:rsid w:val="001B2CBB"/>
    <w:rsid w:val="001B2D18"/>
    <w:rsid w:val="001B2E04"/>
    <w:rsid w:val="001B2EE7"/>
    <w:rsid w:val="001B3071"/>
    <w:rsid w:val="001B31DA"/>
    <w:rsid w:val="001B321F"/>
    <w:rsid w:val="001B3347"/>
    <w:rsid w:val="001B33F6"/>
    <w:rsid w:val="001B3447"/>
    <w:rsid w:val="001B3477"/>
    <w:rsid w:val="001B347A"/>
    <w:rsid w:val="001B3573"/>
    <w:rsid w:val="001B36FA"/>
    <w:rsid w:val="001B3737"/>
    <w:rsid w:val="001B38D1"/>
    <w:rsid w:val="001B3DB4"/>
    <w:rsid w:val="001B3EC6"/>
    <w:rsid w:val="001B4036"/>
    <w:rsid w:val="001B40A7"/>
    <w:rsid w:val="001B41A0"/>
    <w:rsid w:val="001B429D"/>
    <w:rsid w:val="001B4307"/>
    <w:rsid w:val="001B445B"/>
    <w:rsid w:val="001B44C0"/>
    <w:rsid w:val="001B44D8"/>
    <w:rsid w:val="001B44F2"/>
    <w:rsid w:val="001B45BF"/>
    <w:rsid w:val="001B45CC"/>
    <w:rsid w:val="001B465C"/>
    <w:rsid w:val="001B469B"/>
    <w:rsid w:val="001B46A0"/>
    <w:rsid w:val="001B4753"/>
    <w:rsid w:val="001B48A2"/>
    <w:rsid w:val="001B48D2"/>
    <w:rsid w:val="001B49CE"/>
    <w:rsid w:val="001B4C43"/>
    <w:rsid w:val="001B4C7A"/>
    <w:rsid w:val="001B4DF0"/>
    <w:rsid w:val="001B4F21"/>
    <w:rsid w:val="001B4F2D"/>
    <w:rsid w:val="001B4F6A"/>
    <w:rsid w:val="001B4FEF"/>
    <w:rsid w:val="001B5040"/>
    <w:rsid w:val="001B504A"/>
    <w:rsid w:val="001B50DD"/>
    <w:rsid w:val="001B50FF"/>
    <w:rsid w:val="001B5133"/>
    <w:rsid w:val="001B5164"/>
    <w:rsid w:val="001B51AB"/>
    <w:rsid w:val="001B520D"/>
    <w:rsid w:val="001B52E0"/>
    <w:rsid w:val="001B5317"/>
    <w:rsid w:val="001B533E"/>
    <w:rsid w:val="001B5430"/>
    <w:rsid w:val="001B5457"/>
    <w:rsid w:val="001B55A8"/>
    <w:rsid w:val="001B563D"/>
    <w:rsid w:val="001B57B9"/>
    <w:rsid w:val="001B59A9"/>
    <w:rsid w:val="001B5A07"/>
    <w:rsid w:val="001B5AE2"/>
    <w:rsid w:val="001B5B02"/>
    <w:rsid w:val="001B5B28"/>
    <w:rsid w:val="001B5B4B"/>
    <w:rsid w:val="001B5BD0"/>
    <w:rsid w:val="001B5CD5"/>
    <w:rsid w:val="001B5E18"/>
    <w:rsid w:val="001B5EC1"/>
    <w:rsid w:val="001B5FC1"/>
    <w:rsid w:val="001B6011"/>
    <w:rsid w:val="001B6028"/>
    <w:rsid w:val="001B60B6"/>
    <w:rsid w:val="001B61EF"/>
    <w:rsid w:val="001B6201"/>
    <w:rsid w:val="001B621A"/>
    <w:rsid w:val="001B623F"/>
    <w:rsid w:val="001B6369"/>
    <w:rsid w:val="001B6391"/>
    <w:rsid w:val="001B64AB"/>
    <w:rsid w:val="001B6573"/>
    <w:rsid w:val="001B663F"/>
    <w:rsid w:val="001B6664"/>
    <w:rsid w:val="001B669F"/>
    <w:rsid w:val="001B6748"/>
    <w:rsid w:val="001B6749"/>
    <w:rsid w:val="001B67EE"/>
    <w:rsid w:val="001B6886"/>
    <w:rsid w:val="001B68D8"/>
    <w:rsid w:val="001B6974"/>
    <w:rsid w:val="001B6C4A"/>
    <w:rsid w:val="001B6D39"/>
    <w:rsid w:val="001B6E27"/>
    <w:rsid w:val="001B6E82"/>
    <w:rsid w:val="001B6F4D"/>
    <w:rsid w:val="001B70FA"/>
    <w:rsid w:val="001B72A4"/>
    <w:rsid w:val="001B73AA"/>
    <w:rsid w:val="001B73F4"/>
    <w:rsid w:val="001B745F"/>
    <w:rsid w:val="001B754F"/>
    <w:rsid w:val="001B7CDB"/>
    <w:rsid w:val="001B7E49"/>
    <w:rsid w:val="001B7FD0"/>
    <w:rsid w:val="001B7FFB"/>
    <w:rsid w:val="001C0239"/>
    <w:rsid w:val="001C02A3"/>
    <w:rsid w:val="001C02B6"/>
    <w:rsid w:val="001C037A"/>
    <w:rsid w:val="001C03E0"/>
    <w:rsid w:val="001C045E"/>
    <w:rsid w:val="001C05B8"/>
    <w:rsid w:val="001C0684"/>
    <w:rsid w:val="001C0727"/>
    <w:rsid w:val="001C088B"/>
    <w:rsid w:val="001C08FD"/>
    <w:rsid w:val="001C09E6"/>
    <w:rsid w:val="001C0A73"/>
    <w:rsid w:val="001C0AC2"/>
    <w:rsid w:val="001C0BDD"/>
    <w:rsid w:val="001C0BF3"/>
    <w:rsid w:val="001C0C83"/>
    <w:rsid w:val="001C0CF1"/>
    <w:rsid w:val="001C0D57"/>
    <w:rsid w:val="001C0EE2"/>
    <w:rsid w:val="001C0F94"/>
    <w:rsid w:val="001C10B1"/>
    <w:rsid w:val="001C11EE"/>
    <w:rsid w:val="001C125E"/>
    <w:rsid w:val="001C1273"/>
    <w:rsid w:val="001C15D3"/>
    <w:rsid w:val="001C164A"/>
    <w:rsid w:val="001C165C"/>
    <w:rsid w:val="001C1664"/>
    <w:rsid w:val="001C1735"/>
    <w:rsid w:val="001C19E2"/>
    <w:rsid w:val="001C19EF"/>
    <w:rsid w:val="001C1A4C"/>
    <w:rsid w:val="001C1A97"/>
    <w:rsid w:val="001C1AFF"/>
    <w:rsid w:val="001C1B1F"/>
    <w:rsid w:val="001C1B36"/>
    <w:rsid w:val="001C1BA8"/>
    <w:rsid w:val="001C1BD6"/>
    <w:rsid w:val="001C1C99"/>
    <w:rsid w:val="001C1C9C"/>
    <w:rsid w:val="001C1E23"/>
    <w:rsid w:val="001C1E51"/>
    <w:rsid w:val="001C1E71"/>
    <w:rsid w:val="001C1F98"/>
    <w:rsid w:val="001C2024"/>
    <w:rsid w:val="001C2034"/>
    <w:rsid w:val="001C20D5"/>
    <w:rsid w:val="001C20DE"/>
    <w:rsid w:val="001C21C6"/>
    <w:rsid w:val="001C2270"/>
    <w:rsid w:val="001C229D"/>
    <w:rsid w:val="001C2358"/>
    <w:rsid w:val="001C2426"/>
    <w:rsid w:val="001C2476"/>
    <w:rsid w:val="001C24AD"/>
    <w:rsid w:val="001C24CE"/>
    <w:rsid w:val="001C25E2"/>
    <w:rsid w:val="001C2654"/>
    <w:rsid w:val="001C26D4"/>
    <w:rsid w:val="001C272C"/>
    <w:rsid w:val="001C27BD"/>
    <w:rsid w:val="001C2802"/>
    <w:rsid w:val="001C2875"/>
    <w:rsid w:val="001C2965"/>
    <w:rsid w:val="001C29C7"/>
    <w:rsid w:val="001C29F6"/>
    <w:rsid w:val="001C2CAD"/>
    <w:rsid w:val="001C2DB3"/>
    <w:rsid w:val="001C2F38"/>
    <w:rsid w:val="001C2F48"/>
    <w:rsid w:val="001C30E7"/>
    <w:rsid w:val="001C3207"/>
    <w:rsid w:val="001C325C"/>
    <w:rsid w:val="001C32EB"/>
    <w:rsid w:val="001C333C"/>
    <w:rsid w:val="001C34BD"/>
    <w:rsid w:val="001C361B"/>
    <w:rsid w:val="001C36B5"/>
    <w:rsid w:val="001C3814"/>
    <w:rsid w:val="001C381B"/>
    <w:rsid w:val="001C3878"/>
    <w:rsid w:val="001C38E5"/>
    <w:rsid w:val="001C38FC"/>
    <w:rsid w:val="001C3951"/>
    <w:rsid w:val="001C39B2"/>
    <w:rsid w:val="001C3ADE"/>
    <w:rsid w:val="001C3D9A"/>
    <w:rsid w:val="001C3E07"/>
    <w:rsid w:val="001C3E84"/>
    <w:rsid w:val="001C3EBB"/>
    <w:rsid w:val="001C3FC7"/>
    <w:rsid w:val="001C408E"/>
    <w:rsid w:val="001C40C2"/>
    <w:rsid w:val="001C425A"/>
    <w:rsid w:val="001C4267"/>
    <w:rsid w:val="001C4293"/>
    <w:rsid w:val="001C43D7"/>
    <w:rsid w:val="001C45AD"/>
    <w:rsid w:val="001C460D"/>
    <w:rsid w:val="001C46DC"/>
    <w:rsid w:val="001C4741"/>
    <w:rsid w:val="001C47EC"/>
    <w:rsid w:val="001C4802"/>
    <w:rsid w:val="001C4842"/>
    <w:rsid w:val="001C4993"/>
    <w:rsid w:val="001C4A5D"/>
    <w:rsid w:val="001C4A73"/>
    <w:rsid w:val="001C4BBE"/>
    <w:rsid w:val="001C4D32"/>
    <w:rsid w:val="001C4D8E"/>
    <w:rsid w:val="001C4DF2"/>
    <w:rsid w:val="001C4DF3"/>
    <w:rsid w:val="001C4E37"/>
    <w:rsid w:val="001C4E89"/>
    <w:rsid w:val="001C4ED9"/>
    <w:rsid w:val="001C4EE0"/>
    <w:rsid w:val="001C4EF1"/>
    <w:rsid w:val="001C5121"/>
    <w:rsid w:val="001C5140"/>
    <w:rsid w:val="001C517D"/>
    <w:rsid w:val="001C517E"/>
    <w:rsid w:val="001C530B"/>
    <w:rsid w:val="001C5532"/>
    <w:rsid w:val="001C553D"/>
    <w:rsid w:val="001C5546"/>
    <w:rsid w:val="001C558B"/>
    <w:rsid w:val="001C5661"/>
    <w:rsid w:val="001C5668"/>
    <w:rsid w:val="001C57F0"/>
    <w:rsid w:val="001C5A5A"/>
    <w:rsid w:val="001C5A77"/>
    <w:rsid w:val="001C5B57"/>
    <w:rsid w:val="001C5B9C"/>
    <w:rsid w:val="001C5C70"/>
    <w:rsid w:val="001C5D4C"/>
    <w:rsid w:val="001C5FB8"/>
    <w:rsid w:val="001C60F0"/>
    <w:rsid w:val="001C617B"/>
    <w:rsid w:val="001C637F"/>
    <w:rsid w:val="001C6389"/>
    <w:rsid w:val="001C647C"/>
    <w:rsid w:val="001C65F0"/>
    <w:rsid w:val="001C66B2"/>
    <w:rsid w:val="001C6745"/>
    <w:rsid w:val="001C6747"/>
    <w:rsid w:val="001C6B6A"/>
    <w:rsid w:val="001C6C24"/>
    <w:rsid w:val="001C6C56"/>
    <w:rsid w:val="001C6F39"/>
    <w:rsid w:val="001C71C9"/>
    <w:rsid w:val="001C7291"/>
    <w:rsid w:val="001C7365"/>
    <w:rsid w:val="001C7383"/>
    <w:rsid w:val="001C73A4"/>
    <w:rsid w:val="001C749C"/>
    <w:rsid w:val="001C758C"/>
    <w:rsid w:val="001C7851"/>
    <w:rsid w:val="001C79D3"/>
    <w:rsid w:val="001C79F9"/>
    <w:rsid w:val="001C7C1A"/>
    <w:rsid w:val="001C7C6A"/>
    <w:rsid w:val="001C7D55"/>
    <w:rsid w:val="001C7D83"/>
    <w:rsid w:val="001C7DE3"/>
    <w:rsid w:val="001D0029"/>
    <w:rsid w:val="001D00CB"/>
    <w:rsid w:val="001D0139"/>
    <w:rsid w:val="001D013C"/>
    <w:rsid w:val="001D0198"/>
    <w:rsid w:val="001D02F4"/>
    <w:rsid w:val="001D04D9"/>
    <w:rsid w:val="001D05C4"/>
    <w:rsid w:val="001D05D4"/>
    <w:rsid w:val="001D06AF"/>
    <w:rsid w:val="001D0849"/>
    <w:rsid w:val="001D0978"/>
    <w:rsid w:val="001D0AA4"/>
    <w:rsid w:val="001D0B0C"/>
    <w:rsid w:val="001D0B5A"/>
    <w:rsid w:val="001D0B63"/>
    <w:rsid w:val="001D0BA3"/>
    <w:rsid w:val="001D0BA6"/>
    <w:rsid w:val="001D0E93"/>
    <w:rsid w:val="001D0EAF"/>
    <w:rsid w:val="001D0F46"/>
    <w:rsid w:val="001D0F5F"/>
    <w:rsid w:val="001D0F7A"/>
    <w:rsid w:val="001D0F84"/>
    <w:rsid w:val="001D103C"/>
    <w:rsid w:val="001D1063"/>
    <w:rsid w:val="001D117B"/>
    <w:rsid w:val="001D11AC"/>
    <w:rsid w:val="001D11E4"/>
    <w:rsid w:val="001D12FA"/>
    <w:rsid w:val="001D12FF"/>
    <w:rsid w:val="001D135E"/>
    <w:rsid w:val="001D1433"/>
    <w:rsid w:val="001D149F"/>
    <w:rsid w:val="001D1519"/>
    <w:rsid w:val="001D161C"/>
    <w:rsid w:val="001D17ED"/>
    <w:rsid w:val="001D1821"/>
    <w:rsid w:val="001D1850"/>
    <w:rsid w:val="001D185D"/>
    <w:rsid w:val="001D18A3"/>
    <w:rsid w:val="001D1911"/>
    <w:rsid w:val="001D19ED"/>
    <w:rsid w:val="001D1ACD"/>
    <w:rsid w:val="001D1BB3"/>
    <w:rsid w:val="001D1C3A"/>
    <w:rsid w:val="001D1E52"/>
    <w:rsid w:val="001D1F87"/>
    <w:rsid w:val="001D1FF5"/>
    <w:rsid w:val="001D20CB"/>
    <w:rsid w:val="001D216A"/>
    <w:rsid w:val="001D2378"/>
    <w:rsid w:val="001D2380"/>
    <w:rsid w:val="001D241C"/>
    <w:rsid w:val="001D2479"/>
    <w:rsid w:val="001D2483"/>
    <w:rsid w:val="001D24A8"/>
    <w:rsid w:val="001D25DF"/>
    <w:rsid w:val="001D2670"/>
    <w:rsid w:val="001D27F3"/>
    <w:rsid w:val="001D2879"/>
    <w:rsid w:val="001D2A6E"/>
    <w:rsid w:val="001D2A85"/>
    <w:rsid w:val="001D2C13"/>
    <w:rsid w:val="001D2D35"/>
    <w:rsid w:val="001D2D59"/>
    <w:rsid w:val="001D2D98"/>
    <w:rsid w:val="001D2DE8"/>
    <w:rsid w:val="001D2E75"/>
    <w:rsid w:val="001D2F5D"/>
    <w:rsid w:val="001D2FC1"/>
    <w:rsid w:val="001D30C8"/>
    <w:rsid w:val="001D30D9"/>
    <w:rsid w:val="001D30F0"/>
    <w:rsid w:val="001D310D"/>
    <w:rsid w:val="001D31C5"/>
    <w:rsid w:val="001D3400"/>
    <w:rsid w:val="001D340C"/>
    <w:rsid w:val="001D3420"/>
    <w:rsid w:val="001D3430"/>
    <w:rsid w:val="001D3564"/>
    <w:rsid w:val="001D3583"/>
    <w:rsid w:val="001D361F"/>
    <w:rsid w:val="001D3862"/>
    <w:rsid w:val="001D38A7"/>
    <w:rsid w:val="001D3A8B"/>
    <w:rsid w:val="001D3B3B"/>
    <w:rsid w:val="001D3B96"/>
    <w:rsid w:val="001D3BD8"/>
    <w:rsid w:val="001D3E15"/>
    <w:rsid w:val="001D3E23"/>
    <w:rsid w:val="001D3E8B"/>
    <w:rsid w:val="001D3FDF"/>
    <w:rsid w:val="001D3FF4"/>
    <w:rsid w:val="001D40DD"/>
    <w:rsid w:val="001D42A3"/>
    <w:rsid w:val="001D43A9"/>
    <w:rsid w:val="001D44C7"/>
    <w:rsid w:val="001D44CC"/>
    <w:rsid w:val="001D44E4"/>
    <w:rsid w:val="001D4531"/>
    <w:rsid w:val="001D45DE"/>
    <w:rsid w:val="001D4635"/>
    <w:rsid w:val="001D466D"/>
    <w:rsid w:val="001D46F1"/>
    <w:rsid w:val="001D471D"/>
    <w:rsid w:val="001D4875"/>
    <w:rsid w:val="001D4894"/>
    <w:rsid w:val="001D489A"/>
    <w:rsid w:val="001D48C9"/>
    <w:rsid w:val="001D4B76"/>
    <w:rsid w:val="001D4BC4"/>
    <w:rsid w:val="001D4CBC"/>
    <w:rsid w:val="001D4EDA"/>
    <w:rsid w:val="001D5026"/>
    <w:rsid w:val="001D50C2"/>
    <w:rsid w:val="001D50E3"/>
    <w:rsid w:val="001D515E"/>
    <w:rsid w:val="001D54BE"/>
    <w:rsid w:val="001D5591"/>
    <w:rsid w:val="001D5718"/>
    <w:rsid w:val="001D57DA"/>
    <w:rsid w:val="001D5889"/>
    <w:rsid w:val="001D588A"/>
    <w:rsid w:val="001D58B4"/>
    <w:rsid w:val="001D5925"/>
    <w:rsid w:val="001D5957"/>
    <w:rsid w:val="001D595B"/>
    <w:rsid w:val="001D59FC"/>
    <w:rsid w:val="001D5A55"/>
    <w:rsid w:val="001D5C08"/>
    <w:rsid w:val="001D5D1E"/>
    <w:rsid w:val="001D5F15"/>
    <w:rsid w:val="001D5F5F"/>
    <w:rsid w:val="001D6001"/>
    <w:rsid w:val="001D60E8"/>
    <w:rsid w:val="001D61FC"/>
    <w:rsid w:val="001D621E"/>
    <w:rsid w:val="001D6525"/>
    <w:rsid w:val="001D65B1"/>
    <w:rsid w:val="001D6742"/>
    <w:rsid w:val="001D6784"/>
    <w:rsid w:val="001D678D"/>
    <w:rsid w:val="001D699B"/>
    <w:rsid w:val="001D6ABF"/>
    <w:rsid w:val="001D6AC5"/>
    <w:rsid w:val="001D6BD0"/>
    <w:rsid w:val="001D6BE8"/>
    <w:rsid w:val="001D6C2F"/>
    <w:rsid w:val="001D6D33"/>
    <w:rsid w:val="001D6F09"/>
    <w:rsid w:val="001D6F2A"/>
    <w:rsid w:val="001D6F8C"/>
    <w:rsid w:val="001D6FBE"/>
    <w:rsid w:val="001D6FDB"/>
    <w:rsid w:val="001D7077"/>
    <w:rsid w:val="001D71BD"/>
    <w:rsid w:val="001D724B"/>
    <w:rsid w:val="001D745A"/>
    <w:rsid w:val="001D74E2"/>
    <w:rsid w:val="001D7533"/>
    <w:rsid w:val="001D762B"/>
    <w:rsid w:val="001D77CB"/>
    <w:rsid w:val="001D7842"/>
    <w:rsid w:val="001D7871"/>
    <w:rsid w:val="001D78E2"/>
    <w:rsid w:val="001D7B8F"/>
    <w:rsid w:val="001D7BF3"/>
    <w:rsid w:val="001D7DC3"/>
    <w:rsid w:val="001D7F17"/>
    <w:rsid w:val="001E0006"/>
    <w:rsid w:val="001E008D"/>
    <w:rsid w:val="001E010B"/>
    <w:rsid w:val="001E013F"/>
    <w:rsid w:val="001E0202"/>
    <w:rsid w:val="001E0299"/>
    <w:rsid w:val="001E0422"/>
    <w:rsid w:val="001E0489"/>
    <w:rsid w:val="001E0554"/>
    <w:rsid w:val="001E0558"/>
    <w:rsid w:val="001E0647"/>
    <w:rsid w:val="001E0688"/>
    <w:rsid w:val="001E06C4"/>
    <w:rsid w:val="001E07B7"/>
    <w:rsid w:val="001E07DC"/>
    <w:rsid w:val="001E0976"/>
    <w:rsid w:val="001E0A25"/>
    <w:rsid w:val="001E0A2D"/>
    <w:rsid w:val="001E0B8A"/>
    <w:rsid w:val="001E0C59"/>
    <w:rsid w:val="001E0CC5"/>
    <w:rsid w:val="001E0D9E"/>
    <w:rsid w:val="001E0F18"/>
    <w:rsid w:val="001E0FBE"/>
    <w:rsid w:val="001E1008"/>
    <w:rsid w:val="001E1038"/>
    <w:rsid w:val="001E109F"/>
    <w:rsid w:val="001E10CF"/>
    <w:rsid w:val="001E10DB"/>
    <w:rsid w:val="001E1102"/>
    <w:rsid w:val="001E114A"/>
    <w:rsid w:val="001E1261"/>
    <w:rsid w:val="001E1274"/>
    <w:rsid w:val="001E12BE"/>
    <w:rsid w:val="001E13C4"/>
    <w:rsid w:val="001E160A"/>
    <w:rsid w:val="001E16EE"/>
    <w:rsid w:val="001E179F"/>
    <w:rsid w:val="001E17AA"/>
    <w:rsid w:val="001E18B1"/>
    <w:rsid w:val="001E1989"/>
    <w:rsid w:val="001E1A86"/>
    <w:rsid w:val="001E1B74"/>
    <w:rsid w:val="001E1C52"/>
    <w:rsid w:val="001E1D59"/>
    <w:rsid w:val="001E1D62"/>
    <w:rsid w:val="001E1DE2"/>
    <w:rsid w:val="001E1E02"/>
    <w:rsid w:val="001E1E2B"/>
    <w:rsid w:val="001E2006"/>
    <w:rsid w:val="001E20E8"/>
    <w:rsid w:val="001E238F"/>
    <w:rsid w:val="001E2479"/>
    <w:rsid w:val="001E2482"/>
    <w:rsid w:val="001E25F9"/>
    <w:rsid w:val="001E2667"/>
    <w:rsid w:val="001E2699"/>
    <w:rsid w:val="001E26D5"/>
    <w:rsid w:val="001E283A"/>
    <w:rsid w:val="001E28B6"/>
    <w:rsid w:val="001E28C5"/>
    <w:rsid w:val="001E29BC"/>
    <w:rsid w:val="001E29E6"/>
    <w:rsid w:val="001E29F5"/>
    <w:rsid w:val="001E2A64"/>
    <w:rsid w:val="001E2C34"/>
    <w:rsid w:val="001E2C92"/>
    <w:rsid w:val="001E2CAC"/>
    <w:rsid w:val="001E2F84"/>
    <w:rsid w:val="001E30F5"/>
    <w:rsid w:val="001E3209"/>
    <w:rsid w:val="001E32E3"/>
    <w:rsid w:val="001E35F5"/>
    <w:rsid w:val="001E369D"/>
    <w:rsid w:val="001E36AF"/>
    <w:rsid w:val="001E3785"/>
    <w:rsid w:val="001E3788"/>
    <w:rsid w:val="001E37BB"/>
    <w:rsid w:val="001E37DC"/>
    <w:rsid w:val="001E3877"/>
    <w:rsid w:val="001E38B1"/>
    <w:rsid w:val="001E38F8"/>
    <w:rsid w:val="001E3975"/>
    <w:rsid w:val="001E39F2"/>
    <w:rsid w:val="001E3B2A"/>
    <w:rsid w:val="001E3DA3"/>
    <w:rsid w:val="001E3E43"/>
    <w:rsid w:val="001E3FBB"/>
    <w:rsid w:val="001E403C"/>
    <w:rsid w:val="001E4041"/>
    <w:rsid w:val="001E405D"/>
    <w:rsid w:val="001E407B"/>
    <w:rsid w:val="001E4088"/>
    <w:rsid w:val="001E41DE"/>
    <w:rsid w:val="001E41E0"/>
    <w:rsid w:val="001E435A"/>
    <w:rsid w:val="001E4396"/>
    <w:rsid w:val="001E453F"/>
    <w:rsid w:val="001E459C"/>
    <w:rsid w:val="001E4717"/>
    <w:rsid w:val="001E4743"/>
    <w:rsid w:val="001E4949"/>
    <w:rsid w:val="001E499E"/>
    <w:rsid w:val="001E49A9"/>
    <w:rsid w:val="001E49AD"/>
    <w:rsid w:val="001E4ACC"/>
    <w:rsid w:val="001E4B14"/>
    <w:rsid w:val="001E4C2D"/>
    <w:rsid w:val="001E4C70"/>
    <w:rsid w:val="001E4D1D"/>
    <w:rsid w:val="001E4FCB"/>
    <w:rsid w:val="001E4FEB"/>
    <w:rsid w:val="001E50F5"/>
    <w:rsid w:val="001E5216"/>
    <w:rsid w:val="001E524A"/>
    <w:rsid w:val="001E52D8"/>
    <w:rsid w:val="001E5319"/>
    <w:rsid w:val="001E533D"/>
    <w:rsid w:val="001E5411"/>
    <w:rsid w:val="001E5458"/>
    <w:rsid w:val="001E545A"/>
    <w:rsid w:val="001E5464"/>
    <w:rsid w:val="001E5596"/>
    <w:rsid w:val="001E560F"/>
    <w:rsid w:val="001E563A"/>
    <w:rsid w:val="001E5670"/>
    <w:rsid w:val="001E57A8"/>
    <w:rsid w:val="001E589D"/>
    <w:rsid w:val="001E5912"/>
    <w:rsid w:val="001E5985"/>
    <w:rsid w:val="001E5A8B"/>
    <w:rsid w:val="001E5BA1"/>
    <w:rsid w:val="001E5BD1"/>
    <w:rsid w:val="001E5BDE"/>
    <w:rsid w:val="001E5C1E"/>
    <w:rsid w:val="001E5C68"/>
    <w:rsid w:val="001E5C8A"/>
    <w:rsid w:val="001E5D06"/>
    <w:rsid w:val="001E5DB5"/>
    <w:rsid w:val="001E5E15"/>
    <w:rsid w:val="001E5EDD"/>
    <w:rsid w:val="001E5FED"/>
    <w:rsid w:val="001E601C"/>
    <w:rsid w:val="001E6084"/>
    <w:rsid w:val="001E6088"/>
    <w:rsid w:val="001E611E"/>
    <w:rsid w:val="001E6141"/>
    <w:rsid w:val="001E6177"/>
    <w:rsid w:val="001E62D2"/>
    <w:rsid w:val="001E632A"/>
    <w:rsid w:val="001E6394"/>
    <w:rsid w:val="001E67B2"/>
    <w:rsid w:val="001E67F3"/>
    <w:rsid w:val="001E6857"/>
    <w:rsid w:val="001E691E"/>
    <w:rsid w:val="001E6A4E"/>
    <w:rsid w:val="001E6A76"/>
    <w:rsid w:val="001E6B64"/>
    <w:rsid w:val="001E6DA5"/>
    <w:rsid w:val="001E6F29"/>
    <w:rsid w:val="001E6FCD"/>
    <w:rsid w:val="001E72A0"/>
    <w:rsid w:val="001E75F9"/>
    <w:rsid w:val="001E7771"/>
    <w:rsid w:val="001E7871"/>
    <w:rsid w:val="001E78CB"/>
    <w:rsid w:val="001E795D"/>
    <w:rsid w:val="001E7A3E"/>
    <w:rsid w:val="001E7AE8"/>
    <w:rsid w:val="001E7B7C"/>
    <w:rsid w:val="001E7BE0"/>
    <w:rsid w:val="001E7D66"/>
    <w:rsid w:val="001E7EC8"/>
    <w:rsid w:val="001E7ED7"/>
    <w:rsid w:val="001F0024"/>
    <w:rsid w:val="001F01A4"/>
    <w:rsid w:val="001F0274"/>
    <w:rsid w:val="001F02FC"/>
    <w:rsid w:val="001F0341"/>
    <w:rsid w:val="001F039B"/>
    <w:rsid w:val="001F0585"/>
    <w:rsid w:val="001F05D5"/>
    <w:rsid w:val="001F063D"/>
    <w:rsid w:val="001F06C7"/>
    <w:rsid w:val="001F077A"/>
    <w:rsid w:val="001F0794"/>
    <w:rsid w:val="001F07B5"/>
    <w:rsid w:val="001F08B6"/>
    <w:rsid w:val="001F0954"/>
    <w:rsid w:val="001F0A5F"/>
    <w:rsid w:val="001F0AA5"/>
    <w:rsid w:val="001F0B6F"/>
    <w:rsid w:val="001F0D20"/>
    <w:rsid w:val="001F0D28"/>
    <w:rsid w:val="001F0EAD"/>
    <w:rsid w:val="001F0F16"/>
    <w:rsid w:val="001F0F9D"/>
    <w:rsid w:val="001F1093"/>
    <w:rsid w:val="001F1305"/>
    <w:rsid w:val="001F1366"/>
    <w:rsid w:val="001F14F1"/>
    <w:rsid w:val="001F15A0"/>
    <w:rsid w:val="001F15B9"/>
    <w:rsid w:val="001F15CF"/>
    <w:rsid w:val="001F1678"/>
    <w:rsid w:val="001F1680"/>
    <w:rsid w:val="001F1686"/>
    <w:rsid w:val="001F16A6"/>
    <w:rsid w:val="001F16E4"/>
    <w:rsid w:val="001F16F3"/>
    <w:rsid w:val="001F1754"/>
    <w:rsid w:val="001F17F0"/>
    <w:rsid w:val="001F17FB"/>
    <w:rsid w:val="001F187F"/>
    <w:rsid w:val="001F1A4C"/>
    <w:rsid w:val="001F1B36"/>
    <w:rsid w:val="001F1BD5"/>
    <w:rsid w:val="001F1CA7"/>
    <w:rsid w:val="001F1D08"/>
    <w:rsid w:val="001F1D0A"/>
    <w:rsid w:val="001F1DBB"/>
    <w:rsid w:val="001F1E5A"/>
    <w:rsid w:val="001F1F55"/>
    <w:rsid w:val="001F20EC"/>
    <w:rsid w:val="001F2312"/>
    <w:rsid w:val="001F26B2"/>
    <w:rsid w:val="001F2740"/>
    <w:rsid w:val="001F29D8"/>
    <w:rsid w:val="001F29DB"/>
    <w:rsid w:val="001F2B23"/>
    <w:rsid w:val="001F2D3A"/>
    <w:rsid w:val="001F2D4C"/>
    <w:rsid w:val="001F2D79"/>
    <w:rsid w:val="001F2E5B"/>
    <w:rsid w:val="001F2E7A"/>
    <w:rsid w:val="001F2EB1"/>
    <w:rsid w:val="001F2EE5"/>
    <w:rsid w:val="001F2F85"/>
    <w:rsid w:val="001F2FD9"/>
    <w:rsid w:val="001F30DE"/>
    <w:rsid w:val="001F3164"/>
    <w:rsid w:val="001F320B"/>
    <w:rsid w:val="001F3267"/>
    <w:rsid w:val="001F32A8"/>
    <w:rsid w:val="001F32D0"/>
    <w:rsid w:val="001F34A6"/>
    <w:rsid w:val="001F3575"/>
    <w:rsid w:val="001F359C"/>
    <w:rsid w:val="001F3671"/>
    <w:rsid w:val="001F3727"/>
    <w:rsid w:val="001F3766"/>
    <w:rsid w:val="001F37C8"/>
    <w:rsid w:val="001F38AF"/>
    <w:rsid w:val="001F3915"/>
    <w:rsid w:val="001F39EB"/>
    <w:rsid w:val="001F39FE"/>
    <w:rsid w:val="001F3A89"/>
    <w:rsid w:val="001F3BD1"/>
    <w:rsid w:val="001F3C5A"/>
    <w:rsid w:val="001F3CD5"/>
    <w:rsid w:val="001F3D41"/>
    <w:rsid w:val="001F3D49"/>
    <w:rsid w:val="001F3D58"/>
    <w:rsid w:val="001F3EC7"/>
    <w:rsid w:val="001F3F11"/>
    <w:rsid w:val="001F3F81"/>
    <w:rsid w:val="001F4008"/>
    <w:rsid w:val="001F40A7"/>
    <w:rsid w:val="001F40C5"/>
    <w:rsid w:val="001F40F7"/>
    <w:rsid w:val="001F420E"/>
    <w:rsid w:val="001F433B"/>
    <w:rsid w:val="001F463D"/>
    <w:rsid w:val="001F4777"/>
    <w:rsid w:val="001F4805"/>
    <w:rsid w:val="001F4810"/>
    <w:rsid w:val="001F485F"/>
    <w:rsid w:val="001F48E3"/>
    <w:rsid w:val="001F490D"/>
    <w:rsid w:val="001F496A"/>
    <w:rsid w:val="001F4982"/>
    <w:rsid w:val="001F49D3"/>
    <w:rsid w:val="001F4A2C"/>
    <w:rsid w:val="001F4ACE"/>
    <w:rsid w:val="001F4B3C"/>
    <w:rsid w:val="001F4B42"/>
    <w:rsid w:val="001F4B77"/>
    <w:rsid w:val="001F4C07"/>
    <w:rsid w:val="001F4C3C"/>
    <w:rsid w:val="001F4D1B"/>
    <w:rsid w:val="001F4E31"/>
    <w:rsid w:val="001F4E4A"/>
    <w:rsid w:val="001F4E69"/>
    <w:rsid w:val="001F4E72"/>
    <w:rsid w:val="001F50D6"/>
    <w:rsid w:val="001F51B9"/>
    <w:rsid w:val="001F520A"/>
    <w:rsid w:val="001F53EB"/>
    <w:rsid w:val="001F5445"/>
    <w:rsid w:val="001F5466"/>
    <w:rsid w:val="001F54C2"/>
    <w:rsid w:val="001F5505"/>
    <w:rsid w:val="001F551A"/>
    <w:rsid w:val="001F5567"/>
    <w:rsid w:val="001F5597"/>
    <w:rsid w:val="001F56F4"/>
    <w:rsid w:val="001F59E7"/>
    <w:rsid w:val="001F5A35"/>
    <w:rsid w:val="001F5B24"/>
    <w:rsid w:val="001F5B7D"/>
    <w:rsid w:val="001F5C9B"/>
    <w:rsid w:val="001F5ED0"/>
    <w:rsid w:val="001F5F76"/>
    <w:rsid w:val="001F60C4"/>
    <w:rsid w:val="001F611B"/>
    <w:rsid w:val="001F6387"/>
    <w:rsid w:val="001F6489"/>
    <w:rsid w:val="001F64E7"/>
    <w:rsid w:val="001F652D"/>
    <w:rsid w:val="001F661F"/>
    <w:rsid w:val="001F66BB"/>
    <w:rsid w:val="001F6863"/>
    <w:rsid w:val="001F6A17"/>
    <w:rsid w:val="001F6AA9"/>
    <w:rsid w:val="001F6D81"/>
    <w:rsid w:val="001F6E4D"/>
    <w:rsid w:val="001F6FDE"/>
    <w:rsid w:val="001F70B6"/>
    <w:rsid w:val="001F70C7"/>
    <w:rsid w:val="001F7103"/>
    <w:rsid w:val="001F711C"/>
    <w:rsid w:val="001F71EB"/>
    <w:rsid w:val="001F7307"/>
    <w:rsid w:val="001F7317"/>
    <w:rsid w:val="001F7517"/>
    <w:rsid w:val="001F7551"/>
    <w:rsid w:val="001F773F"/>
    <w:rsid w:val="001F781F"/>
    <w:rsid w:val="001F78D0"/>
    <w:rsid w:val="001F792D"/>
    <w:rsid w:val="001F7959"/>
    <w:rsid w:val="001F7A04"/>
    <w:rsid w:val="001F7A96"/>
    <w:rsid w:val="001F7AFE"/>
    <w:rsid w:val="001F7B6E"/>
    <w:rsid w:val="001F7CAB"/>
    <w:rsid w:val="001F7CCE"/>
    <w:rsid w:val="001F7D75"/>
    <w:rsid w:val="001F7E0E"/>
    <w:rsid w:val="001F7E1A"/>
    <w:rsid w:val="001F7EC3"/>
    <w:rsid w:val="001F7EE9"/>
    <w:rsid w:val="001F7F24"/>
    <w:rsid w:val="001F7F31"/>
    <w:rsid w:val="001F7F6F"/>
    <w:rsid w:val="001F7F70"/>
    <w:rsid w:val="001F7F9C"/>
    <w:rsid w:val="0020007E"/>
    <w:rsid w:val="0020017D"/>
    <w:rsid w:val="0020035B"/>
    <w:rsid w:val="002003A8"/>
    <w:rsid w:val="002003F6"/>
    <w:rsid w:val="00200422"/>
    <w:rsid w:val="00200491"/>
    <w:rsid w:val="00200667"/>
    <w:rsid w:val="002006E2"/>
    <w:rsid w:val="00200762"/>
    <w:rsid w:val="00200794"/>
    <w:rsid w:val="002007A1"/>
    <w:rsid w:val="002007E2"/>
    <w:rsid w:val="002009D0"/>
    <w:rsid w:val="002009F1"/>
    <w:rsid w:val="00200A8E"/>
    <w:rsid w:val="00200B23"/>
    <w:rsid w:val="00200B65"/>
    <w:rsid w:val="00200C81"/>
    <w:rsid w:val="00200CC8"/>
    <w:rsid w:val="00200D63"/>
    <w:rsid w:val="00200DC5"/>
    <w:rsid w:val="00200E09"/>
    <w:rsid w:val="00200E8E"/>
    <w:rsid w:val="00200F43"/>
    <w:rsid w:val="00200FA3"/>
    <w:rsid w:val="0020115E"/>
    <w:rsid w:val="002011C8"/>
    <w:rsid w:val="002012FA"/>
    <w:rsid w:val="00201323"/>
    <w:rsid w:val="00201353"/>
    <w:rsid w:val="00201607"/>
    <w:rsid w:val="00201662"/>
    <w:rsid w:val="0020188A"/>
    <w:rsid w:val="002018A5"/>
    <w:rsid w:val="00201A35"/>
    <w:rsid w:val="00201B6D"/>
    <w:rsid w:val="00201BB3"/>
    <w:rsid w:val="00201C79"/>
    <w:rsid w:val="00201E1B"/>
    <w:rsid w:val="00201E6D"/>
    <w:rsid w:val="00201F54"/>
    <w:rsid w:val="0020221A"/>
    <w:rsid w:val="002022D5"/>
    <w:rsid w:val="002023D1"/>
    <w:rsid w:val="002027B9"/>
    <w:rsid w:val="00202807"/>
    <w:rsid w:val="0020285F"/>
    <w:rsid w:val="002028C7"/>
    <w:rsid w:val="002029EA"/>
    <w:rsid w:val="00202B95"/>
    <w:rsid w:val="00202CEF"/>
    <w:rsid w:val="00202D2A"/>
    <w:rsid w:val="00202D4E"/>
    <w:rsid w:val="00202E88"/>
    <w:rsid w:val="00202FE9"/>
    <w:rsid w:val="0020301F"/>
    <w:rsid w:val="0020303E"/>
    <w:rsid w:val="00203042"/>
    <w:rsid w:val="0020305F"/>
    <w:rsid w:val="00203096"/>
    <w:rsid w:val="002030ED"/>
    <w:rsid w:val="002031E0"/>
    <w:rsid w:val="0020334C"/>
    <w:rsid w:val="002035B4"/>
    <w:rsid w:val="002035FC"/>
    <w:rsid w:val="00203622"/>
    <w:rsid w:val="002038CD"/>
    <w:rsid w:val="00203C5C"/>
    <w:rsid w:val="00203CFA"/>
    <w:rsid w:val="00203E63"/>
    <w:rsid w:val="00203ED0"/>
    <w:rsid w:val="00204060"/>
    <w:rsid w:val="00204262"/>
    <w:rsid w:val="00204528"/>
    <w:rsid w:val="0020452B"/>
    <w:rsid w:val="00204614"/>
    <w:rsid w:val="002046FE"/>
    <w:rsid w:val="00204722"/>
    <w:rsid w:val="00204801"/>
    <w:rsid w:val="002048C9"/>
    <w:rsid w:val="002049CA"/>
    <w:rsid w:val="002049F6"/>
    <w:rsid w:val="00204BF5"/>
    <w:rsid w:val="00204CDE"/>
    <w:rsid w:val="00204D0A"/>
    <w:rsid w:val="00204DB3"/>
    <w:rsid w:val="00204DDB"/>
    <w:rsid w:val="00204E44"/>
    <w:rsid w:val="00204ECB"/>
    <w:rsid w:val="00204EFB"/>
    <w:rsid w:val="00204F5A"/>
    <w:rsid w:val="00205065"/>
    <w:rsid w:val="00205098"/>
    <w:rsid w:val="002053C3"/>
    <w:rsid w:val="00205418"/>
    <w:rsid w:val="0020547C"/>
    <w:rsid w:val="0020577A"/>
    <w:rsid w:val="00205789"/>
    <w:rsid w:val="00205838"/>
    <w:rsid w:val="00205950"/>
    <w:rsid w:val="00205995"/>
    <w:rsid w:val="002059D3"/>
    <w:rsid w:val="00205A2B"/>
    <w:rsid w:val="00205BAD"/>
    <w:rsid w:val="00205C15"/>
    <w:rsid w:val="00205C67"/>
    <w:rsid w:val="00205D00"/>
    <w:rsid w:val="00205D52"/>
    <w:rsid w:val="00205D81"/>
    <w:rsid w:val="00205E53"/>
    <w:rsid w:val="00205EE3"/>
    <w:rsid w:val="00205F36"/>
    <w:rsid w:val="002060D6"/>
    <w:rsid w:val="0020617F"/>
    <w:rsid w:val="002061FA"/>
    <w:rsid w:val="0020630E"/>
    <w:rsid w:val="00206381"/>
    <w:rsid w:val="002063EB"/>
    <w:rsid w:val="00206479"/>
    <w:rsid w:val="00206518"/>
    <w:rsid w:val="00206607"/>
    <w:rsid w:val="00206647"/>
    <w:rsid w:val="0020694A"/>
    <w:rsid w:val="002069FE"/>
    <w:rsid w:val="00206A51"/>
    <w:rsid w:val="00206B51"/>
    <w:rsid w:val="00206DA1"/>
    <w:rsid w:val="00206E24"/>
    <w:rsid w:val="00206ECD"/>
    <w:rsid w:val="00206ED9"/>
    <w:rsid w:val="00206EF3"/>
    <w:rsid w:val="002070B6"/>
    <w:rsid w:val="002070BE"/>
    <w:rsid w:val="002070D4"/>
    <w:rsid w:val="0020715A"/>
    <w:rsid w:val="00207186"/>
    <w:rsid w:val="00207273"/>
    <w:rsid w:val="002072FA"/>
    <w:rsid w:val="00207303"/>
    <w:rsid w:val="00207365"/>
    <w:rsid w:val="002073F0"/>
    <w:rsid w:val="00207402"/>
    <w:rsid w:val="002076EE"/>
    <w:rsid w:val="00207775"/>
    <w:rsid w:val="002077A6"/>
    <w:rsid w:val="00207843"/>
    <w:rsid w:val="00207849"/>
    <w:rsid w:val="00207862"/>
    <w:rsid w:val="002078A0"/>
    <w:rsid w:val="002078C0"/>
    <w:rsid w:val="00207E39"/>
    <w:rsid w:val="00210025"/>
    <w:rsid w:val="00210064"/>
    <w:rsid w:val="002101BF"/>
    <w:rsid w:val="002101CC"/>
    <w:rsid w:val="00210330"/>
    <w:rsid w:val="0021038C"/>
    <w:rsid w:val="002103F1"/>
    <w:rsid w:val="0021040E"/>
    <w:rsid w:val="002104DA"/>
    <w:rsid w:val="00210505"/>
    <w:rsid w:val="00210575"/>
    <w:rsid w:val="00210577"/>
    <w:rsid w:val="00210578"/>
    <w:rsid w:val="00210665"/>
    <w:rsid w:val="002107F4"/>
    <w:rsid w:val="00210806"/>
    <w:rsid w:val="002108D2"/>
    <w:rsid w:val="00210980"/>
    <w:rsid w:val="00210C4B"/>
    <w:rsid w:val="00210DA3"/>
    <w:rsid w:val="00210DD2"/>
    <w:rsid w:val="00210E16"/>
    <w:rsid w:val="00210E8F"/>
    <w:rsid w:val="00210F7C"/>
    <w:rsid w:val="0021109C"/>
    <w:rsid w:val="00211126"/>
    <w:rsid w:val="002111D6"/>
    <w:rsid w:val="002111E3"/>
    <w:rsid w:val="00211280"/>
    <w:rsid w:val="002112F6"/>
    <w:rsid w:val="002113FC"/>
    <w:rsid w:val="00211673"/>
    <w:rsid w:val="002118DC"/>
    <w:rsid w:val="00211992"/>
    <w:rsid w:val="00211A2F"/>
    <w:rsid w:val="00211ACF"/>
    <w:rsid w:val="00211B72"/>
    <w:rsid w:val="00211C9A"/>
    <w:rsid w:val="00211EB6"/>
    <w:rsid w:val="00211F2A"/>
    <w:rsid w:val="00211F6E"/>
    <w:rsid w:val="002120DD"/>
    <w:rsid w:val="0021212D"/>
    <w:rsid w:val="002122CC"/>
    <w:rsid w:val="002125DF"/>
    <w:rsid w:val="00212621"/>
    <w:rsid w:val="00212792"/>
    <w:rsid w:val="0021280B"/>
    <w:rsid w:val="00212899"/>
    <w:rsid w:val="00212981"/>
    <w:rsid w:val="00212A51"/>
    <w:rsid w:val="00212B04"/>
    <w:rsid w:val="00212C58"/>
    <w:rsid w:val="00212C7C"/>
    <w:rsid w:val="00212CEE"/>
    <w:rsid w:val="00212D12"/>
    <w:rsid w:val="00212D5A"/>
    <w:rsid w:val="00212F9D"/>
    <w:rsid w:val="00213094"/>
    <w:rsid w:val="002130DC"/>
    <w:rsid w:val="002132B9"/>
    <w:rsid w:val="00213317"/>
    <w:rsid w:val="0021332B"/>
    <w:rsid w:val="0021335A"/>
    <w:rsid w:val="002137E7"/>
    <w:rsid w:val="0021386A"/>
    <w:rsid w:val="00213994"/>
    <w:rsid w:val="002139AA"/>
    <w:rsid w:val="00213B51"/>
    <w:rsid w:val="00213CAC"/>
    <w:rsid w:val="00213D4D"/>
    <w:rsid w:val="00213DC6"/>
    <w:rsid w:val="00213E96"/>
    <w:rsid w:val="0021406D"/>
    <w:rsid w:val="00214168"/>
    <w:rsid w:val="002141FF"/>
    <w:rsid w:val="00214241"/>
    <w:rsid w:val="00214345"/>
    <w:rsid w:val="002146D7"/>
    <w:rsid w:val="00214738"/>
    <w:rsid w:val="00214744"/>
    <w:rsid w:val="002147C2"/>
    <w:rsid w:val="00214892"/>
    <w:rsid w:val="00214A9F"/>
    <w:rsid w:val="00214BD2"/>
    <w:rsid w:val="00214CFC"/>
    <w:rsid w:val="00214D49"/>
    <w:rsid w:val="00214DD1"/>
    <w:rsid w:val="00214E76"/>
    <w:rsid w:val="00214EB7"/>
    <w:rsid w:val="00214EDF"/>
    <w:rsid w:val="00214FB5"/>
    <w:rsid w:val="00214FE9"/>
    <w:rsid w:val="0021502A"/>
    <w:rsid w:val="00215170"/>
    <w:rsid w:val="00215195"/>
    <w:rsid w:val="002151A7"/>
    <w:rsid w:val="002151DB"/>
    <w:rsid w:val="00215300"/>
    <w:rsid w:val="002154BA"/>
    <w:rsid w:val="0021558C"/>
    <w:rsid w:val="00215640"/>
    <w:rsid w:val="00215663"/>
    <w:rsid w:val="00215815"/>
    <w:rsid w:val="002159A4"/>
    <w:rsid w:val="002159F9"/>
    <w:rsid w:val="00215B4A"/>
    <w:rsid w:val="00215C43"/>
    <w:rsid w:val="00215C46"/>
    <w:rsid w:val="00215D07"/>
    <w:rsid w:val="00215D5F"/>
    <w:rsid w:val="00215DE9"/>
    <w:rsid w:val="00215E5F"/>
    <w:rsid w:val="00215F19"/>
    <w:rsid w:val="0021607C"/>
    <w:rsid w:val="00216134"/>
    <w:rsid w:val="00216201"/>
    <w:rsid w:val="00216221"/>
    <w:rsid w:val="00216258"/>
    <w:rsid w:val="002162A6"/>
    <w:rsid w:val="002162B5"/>
    <w:rsid w:val="00216318"/>
    <w:rsid w:val="00216393"/>
    <w:rsid w:val="00216511"/>
    <w:rsid w:val="0021659B"/>
    <w:rsid w:val="002166D2"/>
    <w:rsid w:val="00216770"/>
    <w:rsid w:val="00216BBC"/>
    <w:rsid w:val="00216D67"/>
    <w:rsid w:val="00216D8B"/>
    <w:rsid w:val="00216D9D"/>
    <w:rsid w:val="00216E68"/>
    <w:rsid w:val="00216F78"/>
    <w:rsid w:val="00216F82"/>
    <w:rsid w:val="00217108"/>
    <w:rsid w:val="00217136"/>
    <w:rsid w:val="0021716E"/>
    <w:rsid w:val="002171C8"/>
    <w:rsid w:val="00217262"/>
    <w:rsid w:val="00217264"/>
    <w:rsid w:val="002172BB"/>
    <w:rsid w:val="0021730A"/>
    <w:rsid w:val="002173EE"/>
    <w:rsid w:val="002174D0"/>
    <w:rsid w:val="0021754A"/>
    <w:rsid w:val="00217691"/>
    <w:rsid w:val="00217769"/>
    <w:rsid w:val="002179C1"/>
    <w:rsid w:val="00217B2D"/>
    <w:rsid w:val="00217C0D"/>
    <w:rsid w:val="00217CF9"/>
    <w:rsid w:val="00217DCA"/>
    <w:rsid w:val="00217DF9"/>
    <w:rsid w:val="00217FFD"/>
    <w:rsid w:val="00220019"/>
    <w:rsid w:val="002201F9"/>
    <w:rsid w:val="00220400"/>
    <w:rsid w:val="0022041C"/>
    <w:rsid w:val="002204C7"/>
    <w:rsid w:val="002206B4"/>
    <w:rsid w:val="002206E2"/>
    <w:rsid w:val="00220709"/>
    <w:rsid w:val="0022076E"/>
    <w:rsid w:val="002207F6"/>
    <w:rsid w:val="002209DE"/>
    <w:rsid w:val="00220A15"/>
    <w:rsid w:val="00220C0E"/>
    <w:rsid w:val="00220D69"/>
    <w:rsid w:val="00220E1D"/>
    <w:rsid w:val="00220E91"/>
    <w:rsid w:val="00220EFF"/>
    <w:rsid w:val="00221083"/>
    <w:rsid w:val="002210C6"/>
    <w:rsid w:val="002211C3"/>
    <w:rsid w:val="002212F8"/>
    <w:rsid w:val="0022134E"/>
    <w:rsid w:val="00221368"/>
    <w:rsid w:val="002213DF"/>
    <w:rsid w:val="002216F6"/>
    <w:rsid w:val="00221888"/>
    <w:rsid w:val="002218DB"/>
    <w:rsid w:val="00221996"/>
    <w:rsid w:val="00221AEB"/>
    <w:rsid w:val="00221AFD"/>
    <w:rsid w:val="00221B8D"/>
    <w:rsid w:val="00221C44"/>
    <w:rsid w:val="00221D28"/>
    <w:rsid w:val="00221D3D"/>
    <w:rsid w:val="00221E80"/>
    <w:rsid w:val="00221F48"/>
    <w:rsid w:val="00221F83"/>
    <w:rsid w:val="00221F8E"/>
    <w:rsid w:val="00221FE9"/>
    <w:rsid w:val="00222065"/>
    <w:rsid w:val="0022207D"/>
    <w:rsid w:val="002222AA"/>
    <w:rsid w:val="0022237D"/>
    <w:rsid w:val="00222384"/>
    <w:rsid w:val="002223A9"/>
    <w:rsid w:val="002223B3"/>
    <w:rsid w:val="0022255E"/>
    <w:rsid w:val="002225DA"/>
    <w:rsid w:val="002225EC"/>
    <w:rsid w:val="00222606"/>
    <w:rsid w:val="0022260C"/>
    <w:rsid w:val="0022282D"/>
    <w:rsid w:val="002228CD"/>
    <w:rsid w:val="00222917"/>
    <w:rsid w:val="00222AF7"/>
    <w:rsid w:val="00222C37"/>
    <w:rsid w:val="00222C54"/>
    <w:rsid w:val="00222CE4"/>
    <w:rsid w:val="00222D0E"/>
    <w:rsid w:val="00222E8B"/>
    <w:rsid w:val="00222EB4"/>
    <w:rsid w:val="00222F21"/>
    <w:rsid w:val="00222F3B"/>
    <w:rsid w:val="0022311B"/>
    <w:rsid w:val="00223147"/>
    <w:rsid w:val="0022315D"/>
    <w:rsid w:val="002231C8"/>
    <w:rsid w:val="00223217"/>
    <w:rsid w:val="0022336A"/>
    <w:rsid w:val="002233CE"/>
    <w:rsid w:val="00223455"/>
    <w:rsid w:val="002235D8"/>
    <w:rsid w:val="002236AE"/>
    <w:rsid w:val="00223787"/>
    <w:rsid w:val="00223794"/>
    <w:rsid w:val="002237E6"/>
    <w:rsid w:val="002237F7"/>
    <w:rsid w:val="002238EB"/>
    <w:rsid w:val="002239D9"/>
    <w:rsid w:val="00223BC9"/>
    <w:rsid w:val="00223C69"/>
    <w:rsid w:val="00223CAE"/>
    <w:rsid w:val="00223D37"/>
    <w:rsid w:val="00223D5C"/>
    <w:rsid w:val="00223DA7"/>
    <w:rsid w:val="00223F01"/>
    <w:rsid w:val="00223F1D"/>
    <w:rsid w:val="00224014"/>
    <w:rsid w:val="0022402F"/>
    <w:rsid w:val="00224148"/>
    <w:rsid w:val="0022421B"/>
    <w:rsid w:val="002243BF"/>
    <w:rsid w:val="00224432"/>
    <w:rsid w:val="002244B0"/>
    <w:rsid w:val="002244C9"/>
    <w:rsid w:val="0022461F"/>
    <w:rsid w:val="0022467D"/>
    <w:rsid w:val="0022478C"/>
    <w:rsid w:val="002248C5"/>
    <w:rsid w:val="00224D89"/>
    <w:rsid w:val="00224ED3"/>
    <w:rsid w:val="00224F92"/>
    <w:rsid w:val="00224FB9"/>
    <w:rsid w:val="002251C4"/>
    <w:rsid w:val="00225202"/>
    <w:rsid w:val="002252A4"/>
    <w:rsid w:val="00225505"/>
    <w:rsid w:val="00225518"/>
    <w:rsid w:val="0022554E"/>
    <w:rsid w:val="00225568"/>
    <w:rsid w:val="0022558B"/>
    <w:rsid w:val="0022568D"/>
    <w:rsid w:val="0022573E"/>
    <w:rsid w:val="00225770"/>
    <w:rsid w:val="00225785"/>
    <w:rsid w:val="0022580A"/>
    <w:rsid w:val="002259FB"/>
    <w:rsid w:val="00225A75"/>
    <w:rsid w:val="00225A8D"/>
    <w:rsid w:val="00225B90"/>
    <w:rsid w:val="00225C54"/>
    <w:rsid w:val="00225CB9"/>
    <w:rsid w:val="00225CE9"/>
    <w:rsid w:val="00225D17"/>
    <w:rsid w:val="00225D4C"/>
    <w:rsid w:val="00225E0B"/>
    <w:rsid w:val="00225ED0"/>
    <w:rsid w:val="00225F1E"/>
    <w:rsid w:val="00225F95"/>
    <w:rsid w:val="0022629A"/>
    <w:rsid w:val="0022637C"/>
    <w:rsid w:val="002263E5"/>
    <w:rsid w:val="00226658"/>
    <w:rsid w:val="0022668B"/>
    <w:rsid w:val="002266F9"/>
    <w:rsid w:val="0022678C"/>
    <w:rsid w:val="0022683D"/>
    <w:rsid w:val="002268DE"/>
    <w:rsid w:val="0022692F"/>
    <w:rsid w:val="00226C00"/>
    <w:rsid w:val="00226C96"/>
    <w:rsid w:val="00226D0B"/>
    <w:rsid w:val="00226D3E"/>
    <w:rsid w:val="00226D48"/>
    <w:rsid w:val="00226F95"/>
    <w:rsid w:val="00227156"/>
    <w:rsid w:val="002272A5"/>
    <w:rsid w:val="002273E1"/>
    <w:rsid w:val="0022751B"/>
    <w:rsid w:val="00227636"/>
    <w:rsid w:val="00227672"/>
    <w:rsid w:val="00227697"/>
    <w:rsid w:val="002276D3"/>
    <w:rsid w:val="002276E7"/>
    <w:rsid w:val="002277C7"/>
    <w:rsid w:val="0022787F"/>
    <w:rsid w:val="0022794E"/>
    <w:rsid w:val="0022796F"/>
    <w:rsid w:val="00227A3A"/>
    <w:rsid w:val="00227A46"/>
    <w:rsid w:val="00227B53"/>
    <w:rsid w:val="00227C7C"/>
    <w:rsid w:val="00227CD7"/>
    <w:rsid w:val="00227CF6"/>
    <w:rsid w:val="00227D22"/>
    <w:rsid w:val="00227D6C"/>
    <w:rsid w:val="00227D7D"/>
    <w:rsid w:val="00227E15"/>
    <w:rsid w:val="00227E4A"/>
    <w:rsid w:val="00227EE6"/>
    <w:rsid w:val="00230094"/>
    <w:rsid w:val="002301AF"/>
    <w:rsid w:val="002302CF"/>
    <w:rsid w:val="002302DD"/>
    <w:rsid w:val="002303CB"/>
    <w:rsid w:val="002304ED"/>
    <w:rsid w:val="002305D4"/>
    <w:rsid w:val="002305FD"/>
    <w:rsid w:val="00230713"/>
    <w:rsid w:val="00230BB8"/>
    <w:rsid w:val="00230BBA"/>
    <w:rsid w:val="00230C82"/>
    <w:rsid w:val="00230CAC"/>
    <w:rsid w:val="00230CBF"/>
    <w:rsid w:val="00230D6A"/>
    <w:rsid w:val="00230F25"/>
    <w:rsid w:val="00230FE6"/>
    <w:rsid w:val="0023107D"/>
    <w:rsid w:val="002310CC"/>
    <w:rsid w:val="0023110E"/>
    <w:rsid w:val="00231131"/>
    <w:rsid w:val="002311BE"/>
    <w:rsid w:val="0023135B"/>
    <w:rsid w:val="00231444"/>
    <w:rsid w:val="00231547"/>
    <w:rsid w:val="00231577"/>
    <w:rsid w:val="00231599"/>
    <w:rsid w:val="002315DA"/>
    <w:rsid w:val="00231607"/>
    <w:rsid w:val="0023171B"/>
    <w:rsid w:val="0023178D"/>
    <w:rsid w:val="00231842"/>
    <w:rsid w:val="0023188D"/>
    <w:rsid w:val="002318C8"/>
    <w:rsid w:val="002318F1"/>
    <w:rsid w:val="0023191A"/>
    <w:rsid w:val="00231A80"/>
    <w:rsid w:val="00231B11"/>
    <w:rsid w:val="00231D40"/>
    <w:rsid w:val="00231D50"/>
    <w:rsid w:val="00231DD4"/>
    <w:rsid w:val="00231F16"/>
    <w:rsid w:val="00231FB3"/>
    <w:rsid w:val="0023226C"/>
    <w:rsid w:val="002322F0"/>
    <w:rsid w:val="00232308"/>
    <w:rsid w:val="00232314"/>
    <w:rsid w:val="002323B4"/>
    <w:rsid w:val="002323BA"/>
    <w:rsid w:val="002323E1"/>
    <w:rsid w:val="00232616"/>
    <w:rsid w:val="00232619"/>
    <w:rsid w:val="002326B4"/>
    <w:rsid w:val="0023283B"/>
    <w:rsid w:val="002328A6"/>
    <w:rsid w:val="002328E7"/>
    <w:rsid w:val="0023291F"/>
    <w:rsid w:val="00232AF3"/>
    <w:rsid w:val="00232BF7"/>
    <w:rsid w:val="00232D2F"/>
    <w:rsid w:val="00232E1B"/>
    <w:rsid w:val="00232E56"/>
    <w:rsid w:val="002332E4"/>
    <w:rsid w:val="002333AB"/>
    <w:rsid w:val="002334B9"/>
    <w:rsid w:val="002335D6"/>
    <w:rsid w:val="00233A04"/>
    <w:rsid w:val="00233A66"/>
    <w:rsid w:val="00233BA7"/>
    <w:rsid w:val="00233C2E"/>
    <w:rsid w:val="00233C83"/>
    <w:rsid w:val="00233C9A"/>
    <w:rsid w:val="00233DA6"/>
    <w:rsid w:val="00233E19"/>
    <w:rsid w:val="00233E37"/>
    <w:rsid w:val="00234018"/>
    <w:rsid w:val="00234226"/>
    <w:rsid w:val="0023423C"/>
    <w:rsid w:val="00234264"/>
    <w:rsid w:val="00234361"/>
    <w:rsid w:val="00234375"/>
    <w:rsid w:val="00234530"/>
    <w:rsid w:val="002345F4"/>
    <w:rsid w:val="002345F8"/>
    <w:rsid w:val="00234676"/>
    <w:rsid w:val="002346F1"/>
    <w:rsid w:val="00234835"/>
    <w:rsid w:val="00234AA5"/>
    <w:rsid w:val="00234B1D"/>
    <w:rsid w:val="00234CDD"/>
    <w:rsid w:val="00234CE7"/>
    <w:rsid w:val="00234D71"/>
    <w:rsid w:val="00234DB8"/>
    <w:rsid w:val="002351ED"/>
    <w:rsid w:val="002351F6"/>
    <w:rsid w:val="00235205"/>
    <w:rsid w:val="0023520E"/>
    <w:rsid w:val="00235227"/>
    <w:rsid w:val="00235355"/>
    <w:rsid w:val="0023536C"/>
    <w:rsid w:val="002353CA"/>
    <w:rsid w:val="002353D5"/>
    <w:rsid w:val="0023558A"/>
    <w:rsid w:val="002355D9"/>
    <w:rsid w:val="00235662"/>
    <w:rsid w:val="00235AB2"/>
    <w:rsid w:val="00235AC1"/>
    <w:rsid w:val="00235BAF"/>
    <w:rsid w:val="00235C88"/>
    <w:rsid w:val="00235E22"/>
    <w:rsid w:val="00235E2E"/>
    <w:rsid w:val="00235EFE"/>
    <w:rsid w:val="00235FAA"/>
    <w:rsid w:val="00235FCF"/>
    <w:rsid w:val="0023612A"/>
    <w:rsid w:val="0023622D"/>
    <w:rsid w:val="00236261"/>
    <w:rsid w:val="00236386"/>
    <w:rsid w:val="0023647C"/>
    <w:rsid w:val="002364EC"/>
    <w:rsid w:val="002366ED"/>
    <w:rsid w:val="00236727"/>
    <w:rsid w:val="00236884"/>
    <w:rsid w:val="00236A94"/>
    <w:rsid w:val="00236DAE"/>
    <w:rsid w:val="00236E37"/>
    <w:rsid w:val="00237068"/>
    <w:rsid w:val="00237076"/>
    <w:rsid w:val="0023718D"/>
    <w:rsid w:val="002371CA"/>
    <w:rsid w:val="00237234"/>
    <w:rsid w:val="00237299"/>
    <w:rsid w:val="002373D4"/>
    <w:rsid w:val="0023771C"/>
    <w:rsid w:val="0023773A"/>
    <w:rsid w:val="002377E6"/>
    <w:rsid w:val="00237813"/>
    <w:rsid w:val="002379F7"/>
    <w:rsid w:val="00237A4A"/>
    <w:rsid w:val="00237B66"/>
    <w:rsid w:val="00237B6A"/>
    <w:rsid w:val="00237BF4"/>
    <w:rsid w:val="00237F50"/>
    <w:rsid w:val="00237F8C"/>
    <w:rsid w:val="00237FE0"/>
    <w:rsid w:val="00240069"/>
    <w:rsid w:val="002401A0"/>
    <w:rsid w:val="002403FD"/>
    <w:rsid w:val="002404C2"/>
    <w:rsid w:val="002405B6"/>
    <w:rsid w:val="002405F6"/>
    <w:rsid w:val="002405FE"/>
    <w:rsid w:val="00240661"/>
    <w:rsid w:val="00240665"/>
    <w:rsid w:val="002406B5"/>
    <w:rsid w:val="0024075D"/>
    <w:rsid w:val="00240A29"/>
    <w:rsid w:val="00240AE3"/>
    <w:rsid w:val="00240C9C"/>
    <w:rsid w:val="00240D54"/>
    <w:rsid w:val="00240DD0"/>
    <w:rsid w:val="00240E78"/>
    <w:rsid w:val="00240EBB"/>
    <w:rsid w:val="00240F70"/>
    <w:rsid w:val="00240F9F"/>
    <w:rsid w:val="002410FA"/>
    <w:rsid w:val="0024113A"/>
    <w:rsid w:val="002411CC"/>
    <w:rsid w:val="002411FA"/>
    <w:rsid w:val="0024122C"/>
    <w:rsid w:val="00241232"/>
    <w:rsid w:val="00241236"/>
    <w:rsid w:val="00241255"/>
    <w:rsid w:val="00241259"/>
    <w:rsid w:val="002412BD"/>
    <w:rsid w:val="002412D4"/>
    <w:rsid w:val="00241312"/>
    <w:rsid w:val="00241378"/>
    <w:rsid w:val="002414D5"/>
    <w:rsid w:val="002414D9"/>
    <w:rsid w:val="00241596"/>
    <w:rsid w:val="0024167C"/>
    <w:rsid w:val="00241840"/>
    <w:rsid w:val="00241B08"/>
    <w:rsid w:val="00241B46"/>
    <w:rsid w:val="00241DBF"/>
    <w:rsid w:val="00241E0F"/>
    <w:rsid w:val="00241EA1"/>
    <w:rsid w:val="00241F3E"/>
    <w:rsid w:val="00241F86"/>
    <w:rsid w:val="002420C4"/>
    <w:rsid w:val="002420CF"/>
    <w:rsid w:val="002420F9"/>
    <w:rsid w:val="00242199"/>
    <w:rsid w:val="002421C9"/>
    <w:rsid w:val="00242213"/>
    <w:rsid w:val="00242217"/>
    <w:rsid w:val="00242289"/>
    <w:rsid w:val="00242311"/>
    <w:rsid w:val="00242521"/>
    <w:rsid w:val="0024258D"/>
    <w:rsid w:val="002426E1"/>
    <w:rsid w:val="0024271C"/>
    <w:rsid w:val="002427DD"/>
    <w:rsid w:val="002427FD"/>
    <w:rsid w:val="00242821"/>
    <w:rsid w:val="002428D3"/>
    <w:rsid w:val="00242964"/>
    <w:rsid w:val="00242B3E"/>
    <w:rsid w:val="00242B5F"/>
    <w:rsid w:val="00242BAD"/>
    <w:rsid w:val="00242CC1"/>
    <w:rsid w:val="00242E32"/>
    <w:rsid w:val="00242F44"/>
    <w:rsid w:val="00242F83"/>
    <w:rsid w:val="00242FBB"/>
    <w:rsid w:val="00242FF7"/>
    <w:rsid w:val="00242FF9"/>
    <w:rsid w:val="00243052"/>
    <w:rsid w:val="002430AE"/>
    <w:rsid w:val="00243275"/>
    <w:rsid w:val="002433FA"/>
    <w:rsid w:val="0024344B"/>
    <w:rsid w:val="00243462"/>
    <w:rsid w:val="00243488"/>
    <w:rsid w:val="0024352B"/>
    <w:rsid w:val="00243544"/>
    <w:rsid w:val="002435EA"/>
    <w:rsid w:val="00243725"/>
    <w:rsid w:val="00243929"/>
    <w:rsid w:val="0024396C"/>
    <w:rsid w:val="00243997"/>
    <w:rsid w:val="002439A1"/>
    <w:rsid w:val="002439D6"/>
    <w:rsid w:val="00243C2C"/>
    <w:rsid w:val="00243C86"/>
    <w:rsid w:val="00243C89"/>
    <w:rsid w:val="00243CA5"/>
    <w:rsid w:val="00243D76"/>
    <w:rsid w:val="00243D8B"/>
    <w:rsid w:val="00243E78"/>
    <w:rsid w:val="00243EB5"/>
    <w:rsid w:val="00243ED4"/>
    <w:rsid w:val="00243FBD"/>
    <w:rsid w:val="0024404A"/>
    <w:rsid w:val="002442EB"/>
    <w:rsid w:val="00244333"/>
    <w:rsid w:val="00244458"/>
    <w:rsid w:val="00244530"/>
    <w:rsid w:val="002445B5"/>
    <w:rsid w:val="00244690"/>
    <w:rsid w:val="0024478A"/>
    <w:rsid w:val="00244B54"/>
    <w:rsid w:val="00244CDE"/>
    <w:rsid w:val="00244DBD"/>
    <w:rsid w:val="00244F17"/>
    <w:rsid w:val="00244FA9"/>
    <w:rsid w:val="0024511A"/>
    <w:rsid w:val="0024512D"/>
    <w:rsid w:val="0024528F"/>
    <w:rsid w:val="00245307"/>
    <w:rsid w:val="00245339"/>
    <w:rsid w:val="002453DB"/>
    <w:rsid w:val="002454BC"/>
    <w:rsid w:val="002454C7"/>
    <w:rsid w:val="002454F6"/>
    <w:rsid w:val="002455A3"/>
    <w:rsid w:val="00245623"/>
    <w:rsid w:val="00245653"/>
    <w:rsid w:val="00245857"/>
    <w:rsid w:val="002459F5"/>
    <w:rsid w:val="00245A61"/>
    <w:rsid w:val="00245CB6"/>
    <w:rsid w:val="00245CCB"/>
    <w:rsid w:val="00245D99"/>
    <w:rsid w:val="00245EE7"/>
    <w:rsid w:val="00246083"/>
    <w:rsid w:val="00246086"/>
    <w:rsid w:val="002460F0"/>
    <w:rsid w:val="00246116"/>
    <w:rsid w:val="002463EA"/>
    <w:rsid w:val="002466EA"/>
    <w:rsid w:val="002468A9"/>
    <w:rsid w:val="002468C6"/>
    <w:rsid w:val="00246929"/>
    <w:rsid w:val="0024696C"/>
    <w:rsid w:val="002469B5"/>
    <w:rsid w:val="00246AE6"/>
    <w:rsid w:val="00246C30"/>
    <w:rsid w:val="00246C57"/>
    <w:rsid w:val="00246D0D"/>
    <w:rsid w:val="00246D71"/>
    <w:rsid w:val="00246D8C"/>
    <w:rsid w:val="00246EE0"/>
    <w:rsid w:val="00246F11"/>
    <w:rsid w:val="00246F88"/>
    <w:rsid w:val="00246FC6"/>
    <w:rsid w:val="00246FCD"/>
    <w:rsid w:val="00246FCF"/>
    <w:rsid w:val="00246FEF"/>
    <w:rsid w:val="002470FA"/>
    <w:rsid w:val="00247247"/>
    <w:rsid w:val="002472A1"/>
    <w:rsid w:val="002472E3"/>
    <w:rsid w:val="0024730E"/>
    <w:rsid w:val="002474B7"/>
    <w:rsid w:val="002474F3"/>
    <w:rsid w:val="002475C5"/>
    <w:rsid w:val="002475F1"/>
    <w:rsid w:val="002476DE"/>
    <w:rsid w:val="002477E3"/>
    <w:rsid w:val="00247940"/>
    <w:rsid w:val="0024798E"/>
    <w:rsid w:val="00247B04"/>
    <w:rsid w:val="00247B09"/>
    <w:rsid w:val="00247BD9"/>
    <w:rsid w:val="00247C8E"/>
    <w:rsid w:val="00247E22"/>
    <w:rsid w:val="00247EEF"/>
    <w:rsid w:val="00250222"/>
    <w:rsid w:val="00250284"/>
    <w:rsid w:val="00250301"/>
    <w:rsid w:val="0025038D"/>
    <w:rsid w:val="002503B2"/>
    <w:rsid w:val="00250406"/>
    <w:rsid w:val="0025054B"/>
    <w:rsid w:val="002506D5"/>
    <w:rsid w:val="00250718"/>
    <w:rsid w:val="0025086E"/>
    <w:rsid w:val="00250887"/>
    <w:rsid w:val="002509A1"/>
    <w:rsid w:val="002509C4"/>
    <w:rsid w:val="002509F6"/>
    <w:rsid w:val="00250B55"/>
    <w:rsid w:val="00250BA9"/>
    <w:rsid w:val="00250D2C"/>
    <w:rsid w:val="00250FB9"/>
    <w:rsid w:val="00250FFC"/>
    <w:rsid w:val="00251078"/>
    <w:rsid w:val="00251079"/>
    <w:rsid w:val="002511B3"/>
    <w:rsid w:val="00251259"/>
    <w:rsid w:val="0025147B"/>
    <w:rsid w:val="002514C8"/>
    <w:rsid w:val="002515AA"/>
    <w:rsid w:val="00251670"/>
    <w:rsid w:val="0025180C"/>
    <w:rsid w:val="00251881"/>
    <w:rsid w:val="00251A4C"/>
    <w:rsid w:val="00251A6C"/>
    <w:rsid w:val="00251A99"/>
    <w:rsid w:val="00251ADE"/>
    <w:rsid w:val="00251B8C"/>
    <w:rsid w:val="00251CAA"/>
    <w:rsid w:val="00251CDE"/>
    <w:rsid w:val="00251D1E"/>
    <w:rsid w:val="00251DE8"/>
    <w:rsid w:val="00251ED4"/>
    <w:rsid w:val="00251F94"/>
    <w:rsid w:val="00252032"/>
    <w:rsid w:val="00252063"/>
    <w:rsid w:val="002520E3"/>
    <w:rsid w:val="00252123"/>
    <w:rsid w:val="00252300"/>
    <w:rsid w:val="00252449"/>
    <w:rsid w:val="00252497"/>
    <w:rsid w:val="002524DB"/>
    <w:rsid w:val="00252536"/>
    <w:rsid w:val="002525EA"/>
    <w:rsid w:val="00252650"/>
    <w:rsid w:val="00252726"/>
    <w:rsid w:val="0025276E"/>
    <w:rsid w:val="002527BB"/>
    <w:rsid w:val="002528A3"/>
    <w:rsid w:val="00252958"/>
    <w:rsid w:val="002529AE"/>
    <w:rsid w:val="002529F8"/>
    <w:rsid w:val="00252A9E"/>
    <w:rsid w:val="00252AAA"/>
    <w:rsid w:val="00252AB5"/>
    <w:rsid w:val="00252AF1"/>
    <w:rsid w:val="00252BCD"/>
    <w:rsid w:val="00252D1D"/>
    <w:rsid w:val="00252D4A"/>
    <w:rsid w:val="00252D71"/>
    <w:rsid w:val="00252DC4"/>
    <w:rsid w:val="00252F58"/>
    <w:rsid w:val="00252FAD"/>
    <w:rsid w:val="002530D0"/>
    <w:rsid w:val="0025310E"/>
    <w:rsid w:val="00253293"/>
    <w:rsid w:val="002535A6"/>
    <w:rsid w:val="002535CE"/>
    <w:rsid w:val="00253709"/>
    <w:rsid w:val="0025370E"/>
    <w:rsid w:val="0025380D"/>
    <w:rsid w:val="00253834"/>
    <w:rsid w:val="00253872"/>
    <w:rsid w:val="0025388D"/>
    <w:rsid w:val="0025389F"/>
    <w:rsid w:val="00253925"/>
    <w:rsid w:val="00253A80"/>
    <w:rsid w:val="00253AA7"/>
    <w:rsid w:val="00253AB9"/>
    <w:rsid w:val="00253AC4"/>
    <w:rsid w:val="00253AF1"/>
    <w:rsid w:val="00253C5D"/>
    <w:rsid w:val="00253C96"/>
    <w:rsid w:val="00253CA3"/>
    <w:rsid w:val="00253CB3"/>
    <w:rsid w:val="00253DAE"/>
    <w:rsid w:val="00253E9F"/>
    <w:rsid w:val="00253F06"/>
    <w:rsid w:val="00253FED"/>
    <w:rsid w:val="002540BF"/>
    <w:rsid w:val="00254144"/>
    <w:rsid w:val="00254198"/>
    <w:rsid w:val="0025425C"/>
    <w:rsid w:val="002543F9"/>
    <w:rsid w:val="00254461"/>
    <w:rsid w:val="00254567"/>
    <w:rsid w:val="002545EB"/>
    <w:rsid w:val="0025461F"/>
    <w:rsid w:val="002546AD"/>
    <w:rsid w:val="0025479C"/>
    <w:rsid w:val="002547F7"/>
    <w:rsid w:val="002548A4"/>
    <w:rsid w:val="00254A00"/>
    <w:rsid w:val="00254ADF"/>
    <w:rsid w:val="00254B02"/>
    <w:rsid w:val="00254BB2"/>
    <w:rsid w:val="00254D8A"/>
    <w:rsid w:val="00254D8D"/>
    <w:rsid w:val="00254E8E"/>
    <w:rsid w:val="002550A6"/>
    <w:rsid w:val="00255120"/>
    <w:rsid w:val="0025512A"/>
    <w:rsid w:val="0025514A"/>
    <w:rsid w:val="00255159"/>
    <w:rsid w:val="002552DF"/>
    <w:rsid w:val="00255331"/>
    <w:rsid w:val="00255332"/>
    <w:rsid w:val="002553EC"/>
    <w:rsid w:val="002554F8"/>
    <w:rsid w:val="0025571F"/>
    <w:rsid w:val="00255843"/>
    <w:rsid w:val="002558D0"/>
    <w:rsid w:val="00255904"/>
    <w:rsid w:val="0025599C"/>
    <w:rsid w:val="002559A8"/>
    <w:rsid w:val="00255A04"/>
    <w:rsid w:val="00255A3B"/>
    <w:rsid w:val="00255AAD"/>
    <w:rsid w:val="00255B9B"/>
    <w:rsid w:val="00255C85"/>
    <w:rsid w:val="00255DCB"/>
    <w:rsid w:val="00255F7C"/>
    <w:rsid w:val="0025601D"/>
    <w:rsid w:val="0025605D"/>
    <w:rsid w:val="002560D1"/>
    <w:rsid w:val="00256131"/>
    <w:rsid w:val="002561F8"/>
    <w:rsid w:val="00256201"/>
    <w:rsid w:val="0025624C"/>
    <w:rsid w:val="00256353"/>
    <w:rsid w:val="00256395"/>
    <w:rsid w:val="00256477"/>
    <w:rsid w:val="002564C8"/>
    <w:rsid w:val="002564C9"/>
    <w:rsid w:val="00256587"/>
    <w:rsid w:val="00256592"/>
    <w:rsid w:val="00256619"/>
    <w:rsid w:val="00256658"/>
    <w:rsid w:val="00256A61"/>
    <w:rsid w:val="00256B01"/>
    <w:rsid w:val="00256CD3"/>
    <w:rsid w:val="00256EA4"/>
    <w:rsid w:val="00256F27"/>
    <w:rsid w:val="00256F6E"/>
    <w:rsid w:val="00257227"/>
    <w:rsid w:val="0025729B"/>
    <w:rsid w:val="002572BE"/>
    <w:rsid w:val="002573C4"/>
    <w:rsid w:val="00257434"/>
    <w:rsid w:val="002575D8"/>
    <w:rsid w:val="00257626"/>
    <w:rsid w:val="00257703"/>
    <w:rsid w:val="0025774E"/>
    <w:rsid w:val="0025779F"/>
    <w:rsid w:val="002579A3"/>
    <w:rsid w:val="002579A8"/>
    <w:rsid w:val="00257A5D"/>
    <w:rsid w:val="00257C94"/>
    <w:rsid w:val="00257DA8"/>
    <w:rsid w:val="00257E89"/>
    <w:rsid w:val="00257F1D"/>
    <w:rsid w:val="0025DAA0"/>
    <w:rsid w:val="00260073"/>
    <w:rsid w:val="002602CC"/>
    <w:rsid w:val="00260386"/>
    <w:rsid w:val="0026039E"/>
    <w:rsid w:val="002604A0"/>
    <w:rsid w:val="002604D8"/>
    <w:rsid w:val="00260515"/>
    <w:rsid w:val="00260545"/>
    <w:rsid w:val="0026061B"/>
    <w:rsid w:val="0026085A"/>
    <w:rsid w:val="0026098A"/>
    <w:rsid w:val="002609A9"/>
    <w:rsid w:val="002609C8"/>
    <w:rsid w:val="00260A41"/>
    <w:rsid w:val="00260B31"/>
    <w:rsid w:val="00260B9A"/>
    <w:rsid w:val="00260CEC"/>
    <w:rsid w:val="00260D27"/>
    <w:rsid w:val="00260D3E"/>
    <w:rsid w:val="00260E38"/>
    <w:rsid w:val="00260F30"/>
    <w:rsid w:val="002611BE"/>
    <w:rsid w:val="00261204"/>
    <w:rsid w:val="002613CA"/>
    <w:rsid w:val="00261404"/>
    <w:rsid w:val="0026156D"/>
    <w:rsid w:val="0026156F"/>
    <w:rsid w:val="00261876"/>
    <w:rsid w:val="0026189E"/>
    <w:rsid w:val="00261A70"/>
    <w:rsid w:val="00261AA4"/>
    <w:rsid w:val="00261AEB"/>
    <w:rsid w:val="00261BBA"/>
    <w:rsid w:val="00261D38"/>
    <w:rsid w:val="00261D41"/>
    <w:rsid w:val="00261DC9"/>
    <w:rsid w:val="00261DFA"/>
    <w:rsid w:val="00261EEE"/>
    <w:rsid w:val="00261F0F"/>
    <w:rsid w:val="00262000"/>
    <w:rsid w:val="00262025"/>
    <w:rsid w:val="0026207A"/>
    <w:rsid w:val="002620BC"/>
    <w:rsid w:val="00262109"/>
    <w:rsid w:val="002623DD"/>
    <w:rsid w:val="002625F9"/>
    <w:rsid w:val="002626A2"/>
    <w:rsid w:val="002626E0"/>
    <w:rsid w:val="002628AE"/>
    <w:rsid w:val="00262A50"/>
    <w:rsid w:val="00262A67"/>
    <w:rsid w:val="00262B2C"/>
    <w:rsid w:val="00262BAD"/>
    <w:rsid w:val="00262D07"/>
    <w:rsid w:val="00262D6A"/>
    <w:rsid w:val="00262E16"/>
    <w:rsid w:val="00262E62"/>
    <w:rsid w:val="00262FAA"/>
    <w:rsid w:val="00262FC9"/>
    <w:rsid w:val="002630B5"/>
    <w:rsid w:val="00263168"/>
    <w:rsid w:val="0026321A"/>
    <w:rsid w:val="00263263"/>
    <w:rsid w:val="002632C4"/>
    <w:rsid w:val="00263327"/>
    <w:rsid w:val="002634EE"/>
    <w:rsid w:val="0026359F"/>
    <w:rsid w:val="002635AB"/>
    <w:rsid w:val="00263708"/>
    <w:rsid w:val="002637E9"/>
    <w:rsid w:val="00263AF9"/>
    <w:rsid w:val="00263B80"/>
    <w:rsid w:val="00263BDD"/>
    <w:rsid w:val="00263CF9"/>
    <w:rsid w:val="00263EB8"/>
    <w:rsid w:val="00263F62"/>
    <w:rsid w:val="00263FD8"/>
    <w:rsid w:val="002640BE"/>
    <w:rsid w:val="0026423E"/>
    <w:rsid w:val="0026429E"/>
    <w:rsid w:val="002642C8"/>
    <w:rsid w:val="0026438B"/>
    <w:rsid w:val="00264518"/>
    <w:rsid w:val="00264580"/>
    <w:rsid w:val="002645C5"/>
    <w:rsid w:val="002648A4"/>
    <w:rsid w:val="00264A48"/>
    <w:rsid w:val="00264AB0"/>
    <w:rsid w:val="00264D92"/>
    <w:rsid w:val="00264DFB"/>
    <w:rsid w:val="00264F44"/>
    <w:rsid w:val="00265165"/>
    <w:rsid w:val="0026519C"/>
    <w:rsid w:val="00265540"/>
    <w:rsid w:val="002655AB"/>
    <w:rsid w:val="00265626"/>
    <w:rsid w:val="00265789"/>
    <w:rsid w:val="002657A2"/>
    <w:rsid w:val="002657EC"/>
    <w:rsid w:val="00265974"/>
    <w:rsid w:val="00265A31"/>
    <w:rsid w:val="00265A36"/>
    <w:rsid w:val="00265A4E"/>
    <w:rsid w:val="00265A88"/>
    <w:rsid w:val="00265AA7"/>
    <w:rsid w:val="00265CC9"/>
    <w:rsid w:val="00265E37"/>
    <w:rsid w:val="00265F92"/>
    <w:rsid w:val="00266003"/>
    <w:rsid w:val="00266046"/>
    <w:rsid w:val="0026607B"/>
    <w:rsid w:val="002661E2"/>
    <w:rsid w:val="00266219"/>
    <w:rsid w:val="00266399"/>
    <w:rsid w:val="0026644B"/>
    <w:rsid w:val="00266722"/>
    <w:rsid w:val="002667AE"/>
    <w:rsid w:val="002667DF"/>
    <w:rsid w:val="00266A91"/>
    <w:rsid w:val="00266B11"/>
    <w:rsid w:val="00266B21"/>
    <w:rsid w:val="00266B77"/>
    <w:rsid w:val="00266B91"/>
    <w:rsid w:val="00266C5A"/>
    <w:rsid w:val="00266D08"/>
    <w:rsid w:val="00266D65"/>
    <w:rsid w:val="00266D8C"/>
    <w:rsid w:val="00266DBC"/>
    <w:rsid w:val="00266DD2"/>
    <w:rsid w:val="00266DEC"/>
    <w:rsid w:val="00266E89"/>
    <w:rsid w:val="00266EE6"/>
    <w:rsid w:val="00266FD9"/>
    <w:rsid w:val="00267027"/>
    <w:rsid w:val="0026704D"/>
    <w:rsid w:val="00267170"/>
    <w:rsid w:val="002671B4"/>
    <w:rsid w:val="0026725B"/>
    <w:rsid w:val="0026734B"/>
    <w:rsid w:val="00267390"/>
    <w:rsid w:val="002673CD"/>
    <w:rsid w:val="002673DC"/>
    <w:rsid w:val="00267748"/>
    <w:rsid w:val="00267799"/>
    <w:rsid w:val="002677CE"/>
    <w:rsid w:val="002678F2"/>
    <w:rsid w:val="0026791E"/>
    <w:rsid w:val="002679A6"/>
    <w:rsid w:val="00267A9E"/>
    <w:rsid w:val="00267B47"/>
    <w:rsid w:val="00267BE0"/>
    <w:rsid w:val="00267D17"/>
    <w:rsid w:val="00270075"/>
    <w:rsid w:val="002700C2"/>
    <w:rsid w:val="002700D9"/>
    <w:rsid w:val="00270116"/>
    <w:rsid w:val="00270180"/>
    <w:rsid w:val="00270191"/>
    <w:rsid w:val="0027020C"/>
    <w:rsid w:val="00270278"/>
    <w:rsid w:val="002702C8"/>
    <w:rsid w:val="00270419"/>
    <w:rsid w:val="00270423"/>
    <w:rsid w:val="00270463"/>
    <w:rsid w:val="0027059A"/>
    <w:rsid w:val="002705BA"/>
    <w:rsid w:val="00270704"/>
    <w:rsid w:val="00270740"/>
    <w:rsid w:val="00270874"/>
    <w:rsid w:val="002709AE"/>
    <w:rsid w:val="002709D4"/>
    <w:rsid w:val="002709DB"/>
    <w:rsid w:val="00270AEB"/>
    <w:rsid w:val="00270AFB"/>
    <w:rsid w:val="00270B47"/>
    <w:rsid w:val="00270D63"/>
    <w:rsid w:val="00270E9F"/>
    <w:rsid w:val="0027107B"/>
    <w:rsid w:val="00271118"/>
    <w:rsid w:val="00271175"/>
    <w:rsid w:val="0027120A"/>
    <w:rsid w:val="0027134B"/>
    <w:rsid w:val="0027136B"/>
    <w:rsid w:val="002713EA"/>
    <w:rsid w:val="00271489"/>
    <w:rsid w:val="0027152F"/>
    <w:rsid w:val="00271603"/>
    <w:rsid w:val="002716CB"/>
    <w:rsid w:val="002716D7"/>
    <w:rsid w:val="0027178D"/>
    <w:rsid w:val="00271843"/>
    <w:rsid w:val="002718E2"/>
    <w:rsid w:val="00271AA4"/>
    <w:rsid w:val="00271ABD"/>
    <w:rsid w:val="00271AF2"/>
    <w:rsid w:val="00271B26"/>
    <w:rsid w:val="00271C4C"/>
    <w:rsid w:val="00271CC1"/>
    <w:rsid w:val="00271CE5"/>
    <w:rsid w:val="00271D0B"/>
    <w:rsid w:val="00271D4E"/>
    <w:rsid w:val="00271F86"/>
    <w:rsid w:val="0027218D"/>
    <w:rsid w:val="0027240E"/>
    <w:rsid w:val="0027247E"/>
    <w:rsid w:val="002725A6"/>
    <w:rsid w:val="002726C1"/>
    <w:rsid w:val="0027294D"/>
    <w:rsid w:val="0027294E"/>
    <w:rsid w:val="00272961"/>
    <w:rsid w:val="0027297F"/>
    <w:rsid w:val="0027298F"/>
    <w:rsid w:val="00272AB9"/>
    <w:rsid w:val="00272AFA"/>
    <w:rsid w:val="00272B00"/>
    <w:rsid w:val="00272B33"/>
    <w:rsid w:val="00272C23"/>
    <w:rsid w:val="00272D8F"/>
    <w:rsid w:val="00272E26"/>
    <w:rsid w:val="00272EEF"/>
    <w:rsid w:val="00272EF8"/>
    <w:rsid w:val="00273010"/>
    <w:rsid w:val="002730AB"/>
    <w:rsid w:val="002731A4"/>
    <w:rsid w:val="002731AD"/>
    <w:rsid w:val="00273208"/>
    <w:rsid w:val="00273249"/>
    <w:rsid w:val="00273257"/>
    <w:rsid w:val="0027325A"/>
    <w:rsid w:val="002732AF"/>
    <w:rsid w:val="002732C4"/>
    <w:rsid w:val="002732C7"/>
    <w:rsid w:val="00273403"/>
    <w:rsid w:val="002735E8"/>
    <w:rsid w:val="00273629"/>
    <w:rsid w:val="00273664"/>
    <w:rsid w:val="0027367D"/>
    <w:rsid w:val="002736DB"/>
    <w:rsid w:val="002736F5"/>
    <w:rsid w:val="002738A1"/>
    <w:rsid w:val="0027399C"/>
    <w:rsid w:val="002739E9"/>
    <w:rsid w:val="00273A85"/>
    <w:rsid w:val="00273AFB"/>
    <w:rsid w:val="00273BF6"/>
    <w:rsid w:val="00273D0E"/>
    <w:rsid w:val="00273DCB"/>
    <w:rsid w:val="00273E2F"/>
    <w:rsid w:val="00273E3A"/>
    <w:rsid w:val="00273E9E"/>
    <w:rsid w:val="00273F74"/>
    <w:rsid w:val="00273FC2"/>
    <w:rsid w:val="002742C0"/>
    <w:rsid w:val="002742DE"/>
    <w:rsid w:val="00274307"/>
    <w:rsid w:val="002744C8"/>
    <w:rsid w:val="00274594"/>
    <w:rsid w:val="002746FE"/>
    <w:rsid w:val="0027470A"/>
    <w:rsid w:val="002748A5"/>
    <w:rsid w:val="00274BE3"/>
    <w:rsid w:val="00274C5D"/>
    <w:rsid w:val="00274DD4"/>
    <w:rsid w:val="00274E51"/>
    <w:rsid w:val="00274F1B"/>
    <w:rsid w:val="00275085"/>
    <w:rsid w:val="002751B5"/>
    <w:rsid w:val="0027541D"/>
    <w:rsid w:val="0027542C"/>
    <w:rsid w:val="002754B3"/>
    <w:rsid w:val="002754E8"/>
    <w:rsid w:val="0027552B"/>
    <w:rsid w:val="00275532"/>
    <w:rsid w:val="0027579B"/>
    <w:rsid w:val="00275970"/>
    <w:rsid w:val="0027599A"/>
    <w:rsid w:val="00275BE2"/>
    <w:rsid w:val="00275C26"/>
    <w:rsid w:val="00275DB1"/>
    <w:rsid w:val="00275E78"/>
    <w:rsid w:val="002760FA"/>
    <w:rsid w:val="00276390"/>
    <w:rsid w:val="002763AC"/>
    <w:rsid w:val="0027645D"/>
    <w:rsid w:val="0027647D"/>
    <w:rsid w:val="00276489"/>
    <w:rsid w:val="002765CA"/>
    <w:rsid w:val="0027686B"/>
    <w:rsid w:val="00276885"/>
    <w:rsid w:val="00276A50"/>
    <w:rsid w:val="00276B9C"/>
    <w:rsid w:val="00276CDD"/>
    <w:rsid w:val="00276D64"/>
    <w:rsid w:val="00276E0E"/>
    <w:rsid w:val="00276EDA"/>
    <w:rsid w:val="00276FA9"/>
    <w:rsid w:val="00277004"/>
    <w:rsid w:val="002770B3"/>
    <w:rsid w:val="0027715D"/>
    <w:rsid w:val="0027717A"/>
    <w:rsid w:val="002771BB"/>
    <w:rsid w:val="00277309"/>
    <w:rsid w:val="0027742F"/>
    <w:rsid w:val="002776EC"/>
    <w:rsid w:val="002779F6"/>
    <w:rsid w:val="00277A23"/>
    <w:rsid w:val="00277AD1"/>
    <w:rsid w:val="00277B10"/>
    <w:rsid w:val="00277B83"/>
    <w:rsid w:val="00277C8B"/>
    <w:rsid w:val="00277CE0"/>
    <w:rsid w:val="00277D04"/>
    <w:rsid w:val="00277DE2"/>
    <w:rsid w:val="00277E24"/>
    <w:rsid w:val="00277E84"/>
    <w:rsid w:val="00277FAB"/>
    <w:rsid w:val="00277FB6"/>
    <w:rsid w:val="0028005D"/>
    <w:rsid w:val="00280091"/>
    <w:rsid w:val="00280325"/>
    <w:rsid w:val="0028042D"/>
    <w:rsid w:val="0028068A"/>
    <w:rsid w:val="00280691"/>
    <w:rsid w:val="0028071F"/>
    <w:rsid w:val="00280725"/>
    <w:rsid w:val="0028073B"/>
    <w:rsid w:val="00280886"/>
    <w:rsid w:val="002808FF"/>
    <w:rsid w:val="00280954"/>
    <w:rsid w:val="002809B3"/>
    <w:rsid w:val="00280AEE"/>
    <w:rsid w:val="00280B27"/>
    <w:rsid w:val="00280BD8"/>
    <w:rsid w:val="00280BE8"/>
    <w:rsid w:val="00280CA8"/>
    <w:rsid w:val="00280D8B"/>
    <w:rsid w:val="00280F10"/>
    <w:rsid w:val="00280FE6"/>
    <w:rsid w:val="0028101B"/>
    <w:rsid w:val="002810D4"/>
    <w:rsid w:val="00281135"/>
    <w:rsid w:val="002811BD"/>
    <w:rsid w:val="00281213"/>
    <w:rsid w:val="002812FA"/>
    <w:rsid w:val="0028145A"/>
    <w:rsid w:val="00281558"/>
    <w:rsid w:val="002815CC"/>
    <w:rsid w:val="002815FB"/>
    <w:rsid w:val="0028171E"/>
    <w:rsid w:val="002817CC"/>
    <w:rsid w:val="00281819"/>
    <w:rsid w:val="002818A5"/>
    <w:rsid w:val="0028190E"/>
    <w:rsid w:val="00281975"/>
    <w:rsid w:val="00281982"/>
    <w:rsid w:val="002819FE"/>
    <w:rsid w:val="00281A0C"/>
    <w:rsid w:val="00281A3E"/>
    <w:rsid w:val="00281A66"/>
    <w:rsid w:val="00281A73"/>
    <w:rsid w:val="00281BC5"/>
    <w:rsid w:val="00281BDE"/>
    <w:rsid w:val="00281DB4"/>
    <w:rsid w:val="00281E5C"/>
    <w:rsid w:val="002821AA"/>
    <w:rsid w:val="002821BD"/>
    <w:rsid w:val="00282206"/>
    <w:rsid w:val="002822DC"/>
    <w:rsid w:val="00282488"/>
    <w:rsid w:val="002824E6"/>
    <w:rsid w:val="002824F0"/>
    <w:rsid w:val="00282538"/>
    <w:rsid w:val="0028253B"/>
    <w:rsid w:val="00282543"/>
    <w:rsid w:val="002825E2"/>
    <w:rsid w:val="00282607"/>
    <w:rsid w:val="0028260B"/>
    <w:rsid w:val="00282630"/>
    <w:rsid w:val="0028264E"/>
    <w:rsid w:val="002826D2"/>
    <w:rsid w:val="002827A8"/>
    <w:rsid w:val="002829E5"/>
    <w:rsid w:val="00282A12"/>
    <w:rsid w:val="00282B38"/>
    <w:rsid w:val="00282BED"/>
    <w:rsid w:val="00282BF9"/>
    <w:rsid w:val="00282C8E"/>
    <w:rsid w:val="00282CA0"/>
    <w:rsid w:val="00282D8D"/>
    <w:rsid w:val="00282EA3"/>
    <w:rsid w:val="00282EF7"/>
    <w:rsid w:val="00282F15"/>
    <w:rsid w:val="00282F89"/>
    <w:rsid w:val="0028303F"/>
    <w:rsid w:val="00283082"/>
    <w:rsid w:val="00283092"/>
    <w:rsid w:val="0028322E"/>
    <w:rsid w:val="0028326C"/>
    <w:rsid w:val="00283372"/>
    <w:rsid w:val="002833E4"/>
    <w:rsid w:val="002834BB"/>
    <w:rsid w:val="00283500"/>
    <w:rsid w:val="00283655"/>
    <w:rsid w:val="002836DA"/>
    <w:rsid w:val="002838DE"/>
    <w:rsid w:val="00283A44"/>
    <w:rsid w:val="00283B33"/>
    <w:rsid w:val="00283B3A"/>
    <w:rsid w:val="00283C1E"/>
    <w:rsid w:val="00283C8E"/>
    <w:rsid w:val="00283CCF"/>
    <w:rsid w:val="00283E35"/>
    <w:rsid w:val="00283EB1"/>
    <w:rsid w:val="00283EC1"/>
    <w:rsid w:val="00283F17"/>
    <w:rsid w:val="00283F73"/>
    <w:rsid w:val="0028409B"/>
    <w:rsid w:val="00284136"/>
    <w:rsid w:val="002841C6"/>
    <w:rsid w:val="00284305"/>
    <w:rsid w:val="00284354"/>
    <w:rsid w:val="002844F7"/>
    <w:rsid w:val="00284619"/>
    <w:rsid w:val="002846F6"/>
    <w:rsid w:val="0028479E"/>
    <w:rsid w:val="002847AC"/>
    <w:rsid w:val="00284A4A"/>
    <w:rsid w:val="00284AF9"/>
    <w:rsid w:val="00284B59"/>
    <w:rsid w:val="00284B6C"/>
    <w:rsid w:val="00284BBF"/>
    <w:rsid w:val="00284BED"/>
    <w:rsid w:val="00284E43"/>
    <w:rsid w:val="00284E79"/>
    <w:rsid w:val="00284E97"/>
    <w:rsid w:val="0028512E"/>
    <w:rsid w:val="00285173"/>
    <w:rsid w:val="0028538E"/>
    <w:rsid w:val="002854D3"/>
    <w:rsid w:val="002854D6"/>
    <w:rsid w:val="00285536"/>
    <w:rsid w:val="0028556E"/>
    <w:rsid w:val="00285572"/>
    <w:rsid w:val="00285601"/>
    <w:rsid w:val="00285754"/>
    <w:rsid w:val="00285774"/>
    <w:rsid w:val="00285781"/>
    <w:rsid w:val="00285A81"/>
    <w:rsid w:val="00285B17"/>
    <w:rsid w:val="00285B2B"/>
    <w:rsid w:val="00285C55"/>
    <w:rsid w:val="00285CE9"/>
    <w:rsid w:val="00285E0C"/>
    <w:rsid w:val="00285EAE"/>
    <w:rsid w:val="0028618F"/>
    <w:rsid w:val="00286191"/>
    <w:rsid w:val="002863E5"/>
    <w:rsid w:val="00286445"/>
    <w:rsid w:val="0028648D"/>
    <w:rsid w:val="00286494"/>
    <w:rsid w:val="002865E4"/>
    <w:rsid w:val="002865FE"/>
    <w:rsid w:val="002869D8"/>
    <w:rsid w:val="00286A17"/>
    <w:rsid w:val="00286A90"/>
    <w:rsid w:val="00286A92"/>
    <w:rsid w:val="00286B35"/>
    <w:rsid w:val="00286C06"/>
    <w:rsid w:val="00286C8F"/>
    <w:rsid w:val="00286EF1"/>
    <w:rsid w:val="00286F17"/>
    <w:rsid w:val="00287165"/>
    <w:rsid w:val="002871FA"/>
    <w:rsid w:val="002872DE"/>
    <w:rsid w:val="0028736A"/>
    <w:rsid w:val="00287371"/>
    <w:rsid w:val="002873CF"/>
    <w:rsid w:val="002873EF"/>
    <w:rsid w:val="00287480"/>
    <w:rsid w:val="00287520"/>
    <w:rsid w:val="0028757D"/>
    <w:rsid w:val="00287799"/>
    <w:rsid w:val="0028787F"/>
    <w:rsid w:val="00287890"/>
    <w:rsid w:val="002878EA"/>
    <w:rsid w:val="00287998"/>
    <w:rsid w:val="00287A26"/>
    <w:rsid w:val="00287A46"/>
    <w:rsid w:val="00287A49"/>
    <w:rsid w:val="00287A8C"/>
    <w:rsid w:val="00287B10"/>
    <w:rsid w:val="00287C32"/>
    <w:rsid w:val="00287C50"/>
    <w:rsid w:val="00287C6F"/>
    <w:rsid w:val="00287C84"/>
    <w:rsid w:val="00287DD9"/>
    <w:rsid w:val="00287E57"/>
    <w:rsid w:val="00287E69"/>
    <w:rsid w:val="00287F34"/>
    <w:rsid w:val="00287F50"/>
    <w:rsid w:val="00287F72"/>
    <w:rsid w:val="00287F79"/>
    <w:rsid w:val="00287FF7"/>
    <w:rsid w:val="00290056"/>
    <w:rsid w:val="002901FF"/>
    <w:rsid w:val="00290353"/>
    <w:rsid w:val="002904AD"/>
    <w:rsid w:val="002905DD"/>
    <w:rsid w:val="00290957"/>
    <w:rsid w:val="0029096D"/>
    <w:rsid w:val="002909F2"/>
    <w:rsid w:val="00290A70"/>
    <w:rsid w:val="00290AC3"/>
    <w:rsid w:val="00290B21"/>
    <w:rsid w:val="00290B39"/>
    <w:rsid w:val="00290B3F"/>
    <w:rsid w:val="00290C01"/>
    <w:rsid w:val="00290DE7"/>
    <w:rsid w:val="00290E20"/>
    <w:rsid w:val="00290E3A"/>
    <w:rsid w:val="00290F01"/>
    <w:rsid w:val="00290F19"/>
    <w:rsid w:val="00291200"/>
    <w:rsid w:val="00291506"/>
    <w:rsid w:val="002915AF"/>
    <w:rsid w:val="002915E8"/>
    <w:rsid w:val="00291761"/>
    <w:rsid w:val="0029182C"/>
    <w:rsid w:val="00291D5E"/>
    <w:rsid w:val="00291D6A"/>
    <w:rsid w:val="00291D7F"/>
    <w:rsid w:val="00291F07"/>
    <w:rsid w:val="00291FC7"/>
    <w:rsid w:val="00292085"/>
    <w:rsid w:val="002920CB"/>
    <w:rsid w:val="00292126"/>
    <w:rsid w:val="0029232A"/>
    <w:rsid w:val="00292337"/>
    <w:rsid w:val="00292341"/>
    <w:rsid w:val="002924C8"/>
    <w:rsid w:val="00292502"/>
    <w:rsid w:val="00292579"/>
    <w:rsid w:val="0029259C"/>
    <w:rsid w:val="002925C7"/>
    <w:rsid w:val="0029269B"/>
    <w:rsid w:val="0029275B"/>
    <w:rsid w:val="00292828"/>
    <w:rsid w:val="0029286A"/>
    <w:rsid w:val="002929B6"/>
    <w:rsid w:val="00292B27"/>
    <w:rsid w:val="00292B73"/>
    <w:rsid w:val="00292BAA"/>
    <w:rsid w:val="00292BC7"/>
    <w:rsid w:val="00292BDA"/>
    <w:rsid w:val="00292D19"/>
    <w:rsid w:val="00292D96"/>
    <w:rsid w:val="00292E42"/>
    <w:rsid w:val="00292F6A"/>
    <w:rsid w:val="002930E2"/>
    <w:rsid w:val="00293202"/>
    <w:rsid w:val="0029327D"/>
    <w:rsid w:val="002933F1"/>
    <w:rsid w:val="002934F4"/>
    <w:rsid w:val="0029356A"/>
    <w:rsid w:val="002936E2"/>
    <w:rsid w:val="0029383F"/>
    <w:rsid w:val="002938A1"/>
    <w:rsid w:val="00293990"/>
    <w:rsid w:val="00293A02"/>
    <w:rsid w:val="00293A16"/>
    <w:rsid w:val="00293A68"/>
    <w:rsid w:val="00293A82"/>
    <w:rsid w:val="00293AB9"/>
    <w:rsid w:val="00293B46"/>
    <w:rsid w:val="00293B50"/>
    <w:rsid w:val="00293BEF"/>
    <w:rsid w:val="00293C08"/>
    <w:rsid w:val="00293CE7"/>
    <w:rsid w:val="00293D2E"/>
    <w:rsid w:val="00293D48"/>
    <w:rsid w:val="00293D59"/>
    <w:rsid w:val="00293E70"/>
    <w:rsid w:val="00293E84"/>
    <w:rsid w:val="00294059"/>
    <w:rsid w:val="0029425E"/>
    <w:rsid w:val="0029427D"/>
    <w:rsid w:val="00294465"/>
    <w:rsid w:val="00294580"/>
    <w:rsid w:val="0029463E"/>
    <w:rsid w:val="002946F0"/>
    <w:rsid w:val="002947AA"/>
    <w:rsid w:val="002949D7"/>
    <w:rsid w:val="00294A42"/>
    <w:rsid w:val="00294A76"/>
    <w:rsid w:val="00294A7E"/>
    <w:rsid w:val="00294BEE"/>
    <w:rsid w:val="00294C15"/>
    <w:rsid w:val="00294C4A"/>
    <w:rsid w:val="00294C72"/>
    <w:rsid w:val="00294D3F"/>
    <w:rsid w:val="00294D44"/>
    <w:rsid w:val="00294DCC"/>
    <w:rsid w:val="00294E9A"/>
    <w:rsid w:val="002950AD"/>
    <w:rsid w:val="00295167"/>
    <w:rsid w:val="00295278"/>
    <w:rsid w:val="002952C2"/>
    <w:rsid w:val="00295339"/>
    <w:rsid w:val="00295341"/>
    <w:rsid w:val="002955D7"/>
    <w:rsid w:val="0029565B"/>
    <w:rsid w:val="0029571F"/>
    <w:rsid w:val="0029575A"/>
    <w:rsid w:val="002957CD"/>
    <w:rsid w:val="002957E4"/>
    <w:rsid w:val="00295865"/>
    <w:rsid w:val="002958C5"/>
    <w:rsid w:val="002958D8"/>
    <w:rsid w:val="00295900"/>
    <w:rsid w:val="00295B48"/>
    <w:rsid w:val="00295BE9"/>
    <w:rsid w:val="00295C83"/>
    <w:rsid w:val="00295DC3"/>
    <w:rsid w:val="00295DC8"/>
    <w:rsid w:val="00295DEC"/>
    <w:rsid w:val="00295E5D"/>
    <w:rsid w:val="002960AE"/>
    <w:rsid w:val="00296174"/>
    <w:rsid w:val="00296261"/>
    <w:rsid w:val="002962D9"/>
    <w:rsid w:val="0029636D"/>
    <w:rsid w:val="002963F2"/>
    <w:rsid w:val="00296444"/>
    <w:rsid w:val="002964B3"/>
    <w:rsid w:val="002965C9"/>
    <w:rsid w:val="00296742"/>
    <w:rsid w:val="002968D6"/>
    <w:rsid w:val="0029692C"/>
    <w:rsid w:val="0029696D"/>
    <w:rsid w:val="002969FC"/>
    <w:rsid w:val="00296A43"/>
    <w:rsid w:val="00296AA1"/>
    <w:rsid w:val="00296B8D"/>
    <w:rsid w:val="00296C26"/>
    <w:rsid w:val="00296C82"/>
    <w:rsid w:val="00296CFA"/>
    <w:rsid w:val="00296DC2"/>
    <w:rsid w:val="00296E05"/>
    <w:rsid w:val="00296E31"/>
    <w:rsid w:val="00296E82"/>
    <w:rsid w:val="00296F5C"/>
    <w:rsid w:val="00296FC0"/>
    <w:rsid w:val="00297062"/>
    <w:rsid w:val="0029715E"/>
    <w:rsid w:val="00297180"/>
    <w:rsid w:val="00297418"/>
    <w:rsid w:val="002975FE"/>
    <w:rsid w:val="00297610"/>
    <w:rsid w:val="0029762A"/>
    <w:rsid w:val="00297722"/>
    <w:rsid w:val="002979EF"/>
    <w:rsid w:val="00297AC9"/>
    <w:rsid w:val="00297AED"/>
    <w:rsid w:val="00297BA6"/>
    <w:rsid w:val="00297C3A"/>
    <w:rsid w:val="00297D4D"/>
    <w:rsid w:val="00297ECA"/>
    <w:rsid w:val="00297F0A"/>
    <w:rsid w:val="002A014C"/>
    <w:rsid w:val="002A0240"/>
    <w:rsid w:val="002A0306"/>
    <w:rsid w:val="002A031F"/>
    <w:rsid w:val="002A0367"/>
    <w:rsid w:val="002A04BB"/>
    <w:rsid w:val="002A04BC"/>
    <w:rsid w:val="002A05D7"/>
    <w:rsid w:val="002A05DC"/>
    <w:rsid w:val="002A05E5"/>
    <w:rsid w:val="002A063D"/>
    <w:rsid w:val="002A067D"/>
    <w:rsid w:val="002A06EB"/>
    <w:rsid w:val="002A0889"/>
    <w:rsid w:val="002A0A01"/>
    <w:rsid w:val="002A0ABA"/>
    <w:rsid w:val="002A0B39"/>
    <w:rsid w:val="002A0BAB"/>
    <w:rsid w:val="002A0BBC"/>
    <w:rsid w:val="002A0BBE"/>
    <w:rsid w:val="002A0C5C"/>
    <w:rsid w:val="002A0D77"/>
    <w:rsid w:val="002A0E3B"/>
    <w:rsid w:val="002A0F25"/>
    <w:rsid w:val="002A0F68"/>
    <w:rsid w:val="002A0FB6"/>
    <w:rsid w:val="002A1085"/>
    <w:rsid w:val="002A119E"/>
    <w:rsid w:val="002A1251"/>
    <w:rsid w:val="002A13DE"/>
    <w:rsid w:val="002A13F3"/>
    <w:rsid w:val="002A14AC"/>
    <w:rsid w:val="002A1532"/>
    <w:rsid w:val="002A160C"/>
    <w:rsid w:val="002A1641"/>
    <w:rsid w:val="002A1654"/>
    <w:rsid w:val="002A16E8"/>
    <w:rsid w:val="002A1731"/>
    <w:rsid w:val="002A177E"/>
    <w:rsid w:val="002A1A64"/>
    <w:rsid w:val="002A1AD6"/>
    <w:rsid w:val="002A1AF4"/>
    <w:rsid w:val="002A1B66"/>
    <w:rsid w:val="002A1B9C"/>
    <w:rsid w:val="002A1BC3"/>
    <w:rsid w:val="002A1BED"/>
    <w:rsid w:val="002A1DF1"/>
    <w:rsid w:val="002A1E29"/>
    <w:rsid w:val="002A1EFA"/>
    <w:rsid w:val="002A1F2D"/>
    <w:rsid w:val="002A1FE4"/>
    <w:rsid w:val="002A20CB"/>
    <w:rsid w:val="002A20CF"/>
    <w:rsid w:val="002A221D"/>
    <w:rsid w:val="002A2412"/>
    <w:rsid w:val="002A24D3"/>
    <w:rsid w:val="002A2500"/>
    <w:rsid w:val="002A26B2"/>
    <w:rsid w:val="002A2758"/>
    <w:rsid w:val="002A2A53"/>
    <w:rsid w:val="002A2B35"/>
    <w:rsid w:val="002A2B5E"/>
    <w:rsid w:val="002A2DEC"/>
    <w:rsid w:val="002A2E70"/>
    <w:rsid w:val="002A2EF2"/>
    <w:rsid w:val="002A2EFB"/>
    <w:rsid w:val="002A2F2F"/>
    <w:rsid w:val="002A2FA1"/>
    <w:rsid w:val="002A2FB6"/>
    <w:rsid w:val="002A33D0"/>
    <w:rsid w:val="002A3413"/>
    <w:rsid w:val="002A3619"/>
    <w:rsid w:val="002A3739"/>
    <w:rsid w:val="002A37E8"/>
    <w:rsid w:val="002A3806"/>
    <w:rsid w:val="002A39A6"/>
    <w:rsid w:val="002A39F9"/>
    <w:rsid w:val="002A3A7C"/>
    <w:rsid w:val="002A3A98"/>
    <w:rsid w:val="002A3ADD"/>
    <w:rsid w:val="002A3C9C"/>
    <w:rsid w:val="002A3D11"/>
    <w:rsid w:val="002A3D34"/>
    <w:rsid w:val="002A3E74"/>
    <w:rsid w:val="002A3EBC"/>
    <w:rsid w:val="002A3F07"/>
    <w:rsid w:val="002A3F68"/>
    <w:rsid w:val="002A407D"/>
    <w:rsid w:val="002A40EA"/>
    <w:rsid w:val="002A421B"/>
    <w:rsid w:val="002A4285"/>
    <w:rsid w:val="002A42BA"/>
    <w:rsid w:val="002A42C0"/>
    <w:rsid w:val="002A42E7"/>
    <w:rsid w:val="002A42FB"/>
    <w:rsid w:val="002A43D6"/>
    <w:rsid w:val="002A442C"/>
    <w:rsid w:val="002A446C"/>
    <w:rsid w:val="002A46EF"/>
    <w:rsid w:val="002A475C"/>
    <w:rsid w:val="002A48C4"/>
    <w:rsid w:val="002A4954"/>
    <w:rsid w:val="002A49EB"/>
    <w:rsid w:val="002A49EE"/>
    <w:rsid w:val="002A4CD5"/>
    <w:rsid w:val="002A4CD6"/>
    <w:rsid w:val="002A4D28"/>
    <w:rsid w:val="002A4DCE"/>
    <w:rsid w:val="002A4ED4"/>
    <w:rsid w:val="002A4F49"/>
    <w:rsid w:val="002A4FB3"/>
    <w:rsid w:val="002A51E7"/>
    <w:rsid w:val="002A52F5"/>
    <w:rsid w:val="002A5335"/>
    <w:rsid w:val="002A54B8"/>
    <w:rsid w:val="002A54D3"/>
    <w:rsid w:val="002A5510"/>
    <w:rsid w:val="002A553F"/>
    <w:rsid w:val="002A554E"/>
    <w:rsid w:val="002A55BC"/>
    <w:rsid w:val="002A5636"/>
    <w:rsid w:val="002A5654"/>
    <w:rsid w:val="002A5682"/>
    <w:rsid w:val="002A5688"/>
    <w:rsid w:val="002A570B"/>
    <w:rsid w:val="002A5764"/>
    <w:rsid w:val="002A579C"/>
    <w:rsid w:val="002A57B3"/>
    <w:rsid w:val="002A57EB"/>
    <w:rsid w:val="002A57F2"/>
    <w:rsid w:val="002A58A4"/>
    <w:rsid w:val="002A5B4C"/>
    <w:rsid w:val="002A5BB7"/>
    <w:rsid w:val="002A5C5B"/>
    <w:rsid w:val="002A5D54"/>
    <w:rsid w:val="002A5D7D"/>
    <w:rsid w:val="002A5E37"/>
    <w:rsid w:val="002A5E65"/>
    <w:rsid w:val="002A5F8E"/>
    <w:rsid w:val="002A6157"/>
    <w:rsid w:val="002A62B7"/>
    <w:rsid w:val="002A631E"/>
    <w:rsid w:val="002A633D"/>
    <w:rsid w:val="002A6467"/>
    <w:rsid w:val="002A6582"/>
    <w:rsid w:val="002A65D7"/>
    <w:rsid w:val="002A65DE"/>
    <w:rsid w:val="002A6647"/>
    <w:rsid w:val="002A66B1"/>
    <w:rsid w:val="002A69A4"/>
    <w:rsid w:val="002A6B62"/>
    <w:rsid w:val="002A6BFD"/>
    <w:rsid w:val="002A6DB9"/>
    <w:rsid w:val="002A6DCE"/>
    <w:rsid w:val="002A6E85"/>
    <w:rsid w:val="002A6FD3"/>
    <w:rsid w:val="002A70F4"/>
    <w:rsid w:val="002A7333"/>
    <w:rsid w:val="002A7729"/>
    <w:rsid w:val="002A78A2"/>
    <w:rsid w:val="002A7C90"/>
    <w:rsid w:val="002A7CC6"/>
    <w:rsid w:val="002A7CDE"/>
    <w:rsid w:val="002A7E7F"/>
    <w:rsid w:val="002A7F15"/>
    <w:rsid w:val="002A7F2A"/>
    <w:rsid w:val="002A7F49"/>
    <w:rsid w:val="002B0099"/>
    <w:rsid w:val="002B0425"/>
    <w:rsid w:val="002B0475"/>
    <w:rsid w:val="002B04FD"/>
    <w:rsid w:val="002B05A2"/>
    <w:rsid w:val="002B06AB"/>
    <w:rsid w:val="002B06AD"/>
    <w:rsid w:val="002B06E9"/>
    <w:rsid w:val="002B0729"/>
    <w:rsid w:val="002B0758"/>
    <w:rsid w:val="002B07E4"/>
    <w:rsid w:val="002B0808"/>
    <w:rsid w:val="002B0892"/>
    <w:rsid w:val="002B099B"/>
    <w:rsid w:val="002B0A42"/>
    <w:rsid w:val="002B0A8A"/>
    <w:rsid w:val="002B0B8F"/>
    <w:rsid w:val="002B0BB4"/>
    <w:rsid w:val="002B0EB2"/>
    <w:rsid w:val="002B0F00"/>
    <w:rsid w:val="002B1079"/>
    <w:rsid w:val="002B114D"/>
    <w:rsid w:val="002B1449"/>
    <w:rsid w:val="002B154B"/>
    <w:rsid w:val="002B157C"/>
    <w:rsid w:val="002B15F0"/>
    <w:rsid w:val="002B1620"/>
    <w:rsid w:val="002B1656"/>
    <w:rsid w:val="002B193D"/>
    <w:rsid w:val="002B1952"/>
    <w:rsid w:val="002B1A49"/>
    <w:rsid w:val="002B1A88"/>
    <w:rsid w:val="002B1C23"/>
    <w:rsid w:val="002B1C34"/>
    <w:rsid w:val="002B1C9C"/>
    <w:rsid w:val="002B1E2F"/>
    <w:rsid w:val="002B1E66"/>
    <w:rsid w:val="002B1E8F"/>
    <w:rsid w:val="002B1EF3"/>
    <w:rsid w:val="002B1EFD"/>
    <w:rsid w:val="002B1F62"/>
    <w:rsid w:val="002B200D"/>
    <w:rsid w:val="002B20C9"/>
    <w:rsid w:val="002B2253"/>
    <w:rsid w:val="002B2298"/>
    <w:rsid w:val="002B23B0"/>
    <w:rsid w:val="002B25A6"/>
    <w:rsid w:val="002B2690"/>
    <w:rsid w:val="002B279B"/>
    <w:rsid w:val="002B28E7"/>
    <w:rsid w:val="002B29FE"/>
    <w:rsid w:val="002B2B71"/>
    <w:rsid w:val="002B2BB2"/>
    <w:rsid w:val="002B2C64"/>
    <w:rsid w:val="002B2DB8"/>
    <w:rsid w:val="002B2DCC"/>
    <w:rsid w:val="002B2E38"/>
    <w:rsid w:val="002B2E78"/>
    <w:rsid w:val="002B2F70"/>
    <w:rsid w:val="002B2F73"/>
    <w:rsid w:val="002B301F"/>
    <w:rsid w:val="002B31D4"/>
    <w:rsid w:val="002B3221"/>
    <w:rsid w:val="002B3243"/>
    <w:rsid w:val="002B342C"/>
    <w:rsid w:val="002B3478"/>
    <w:rsid w:val="002B3636"/>
    <w:rsid w:val="002B36BF"/>
    <w:rsid w:val="002B387D"/>
    <w:rsid w:val="002B38A9"/>
    <w:rsid w:val="002B38D3"/>
    <w:rsid w:val="002B3A5E"/>
    <w:rsid w:val="002B3D82"/>
    <w:rsid w:val="002B3E67"/>
    <w:rsid w:val="002B3E80"/>
    <w:rsid w:val="002B3F8E"/>
    <w:rsid w:val="002B4004"/>
    <w:rsid w:val="002B408F"/>
    <w:rsid w:val="002B4193"/>
    <w:rsid w:val="002B41B1"/>
    <w:rsid w:val="002B41DB"/>
    <w:rsid w:val="002B41E8"/>
    <w:rsid w:val="002B432A"/>
    <w:rsid w:val="002B43E4"/>
    <w:rsid w:val="002B448E"/>
    <w:rsid w:val="002B483B"/>
    <w:rsid w:val="002B483F"/>
    <w:rsid w:val="002B48AA"/>
    <w:rsid w:val="002B495B"/>
    <w:rsid w:val="002B4A4C"/>
    <w:rsid w:val="002B4B86"/>
    <w:rsid w:val="002B4C20"/>
    <w:rsid w:val="002B4D7D"/>
    <w:rsid w:val="002B4E09"/>
    <w:rsid w:val="002B4E1A"/>
    <w:rsid w:val="002B4F1E"/>
    <w:rsid w:val="002B4F28"/>
    <w:rsid w:val="002B4FC8"/>
    <w:rsid w:val="002B4FED"/>
    <w:rsid w:val="002B50E0"/>
    <w:rsid w:val="002B538E"/>
    <w:rsid w:val="002B547D"/>
    <w:rsid w:val="002B5483"/>
    <w:rsid w:val="002B567D"/>
    <w:rsid w:val="002B5687"/>
    <w:rsid w:val="002B5701"/>
    <w:rsid w:val="002B5727"/>
    <w:rsid w:val="002B5745"/>
    <w:rsid w:val="002B57A1"/>
    <w:rsid w:val="002B57C5"/>
    <w:rsid w:val="002B5B09"/>
    <w:rsid w:val="002B5B51"/>
    <w:rsid w:val="002B5D86"/>
    <w:rsid w:val="002B5E85"/>
    <w:rsid w:val="002B5FC0"/>
    <w:rsid w:val="002B62DD"/>
    <w:rsid w:val="002B63F9"/>
    <w:rsid w:val="002B643E"/>
    <w:rsid w:val="002B6441"/>
    <w:rsid w:val="002B648B"/>
    <w:rsid w:val="002B64DA"/>
    <w:rsid w:val="002B64E5"/>
    <w:rsid w:val="002B6585"/>
    <w:rsid w:val="002B6651"/>
    <w:rsid w:val="002B669C"/>
    <w:rsid w:val="002B68E5"/>
    <w:rsid w:val="002B6ADA"/>
    <w:rsid w:val="002B6B03"/>
    <w:rsid w:val="002B6B88"/>
    <w:rsid w:val="002B6C29"/>
    <w:rsid w:val="002B6CED"/>
    <w:rsid w:val="002B6E24"/>
    <w:rsid w:val="002B6E43"/>
    <w:rsid w:val="002B6F3A"/>
    <w:rsid w:val="002B6F81"/>
    <w:rsid w:val="002B716D"/>
    <w:rsid w:val="002B7244"/>
    <w:rsid w:val="002B7285"/>
    <w:rsid w:val="002B731B"/>
    <w:rsid w:val="002B7420"/>
    <w:rsid w:val="002B7448"/>
    <w:rsid w:val="002B7484"/>
    <w:rsid w:val="002B74D7"/>
    <w:rsid w:val="002B74D8"/>
    <w:rsid w:val="002B7556"/>
    <w:rsid w:val="002B7763"/>
    <w:rsid w:val="002B7792"/>
    <w:rsid w:val="002B7872"/>
    <w:rsid w:val="002B78EB"/>
    <w:rsid w:val="002B7949"/>
    <w:rsid w:val="002B7A90"/>
    <w:rsid w:val="002B7CF9"/>
    <w:rsid w:val="002B7D80"/>
    <w:rsid w:val="002B7E3A"/>
    <w:rsid w:val="002B7F4A"/>
    <w:rsid w:val="002C005F"/>
    <w:rsid w:val="002C0108"/>
    <w:rsid w:val="002C0183"/>
    <w:rsid w:val="002C01D1"/>
    <w:rsid w:val="002C0202"/>
    <w:rsid w:val="002C02F7"/>
    <w:rsid w:val="002C0621"/>
    <w:rsid w:val="002C070E"/>
    <w:rsid w:val="002C0823"/>
    <w:rsid w:val="002C088A"/>
    <w:rsid w:val="002C08BA"/>
    <w:rsid w:val="002C08FF"/>
    <w:rsid w:val="002C0945"/>
    <w:rsid w:val="002C0A06"/>
    <w:rsid w:val="002C0A4D"/>
    <w:rsid w:val="002C0A66"/>
    <w:rsid w:val="002C0ACD"/>
    <w:rsid w:val="002C0BD4"/>
    <w:rsid w:val="002C0BFC"/>
    <w:rsid w:val="002C0CAC"/>
    <w:rsid w:val="002C0D5B"/>
    <w:rsid w:val="002C0F10"/>
    <w:rsid w:val="002C0FB9"/>
    <w:rsid w:val="002C0FC3"/>
    <w:rsid w:val="002C10DA"/>
    <w:rsid w:val="002C128C"/>
    <w:rsid w:val="002C1324"/>
    <w:rsid w:val="002C1329"/>
    <w:rsid w:val="002C14C7"/>
    <w:rsid w:val="002C1510"/>
    <w:rsid w:val="002C17A9"/>
    <w:rsid w:val="002C1807"/>
    <w:rsid w:val="002C1BE3"/>
    <w:rsid w:val="002C1C42"/>
    <w:rsid w:val="002C1D03"/>
    <w:rsid w:val="002C1DD6"/>
    <w:rsid w:val="002C1E52"/>
    <w:rsid w:val="002C1E91"/>
    <w:rsid w:val="002C1ED1"/>
    <w:rsid w:val="002C1F02"/>
    <w:rsid w:val="002C1F64"/>
    <w:rsid w:val="002C1F6E"/>
    <w:rsid w:val="002C2068"/>
    <w:rsid w:val="002C21B8"/>
    <w:rsid w:val="002C2221"/>
    <w:rsid w:val="002C22C1"/>
    <w:rsid w:val="002C2314"/>
    <w:rsid w:val="002C232F"/>
    <w:rsid w:val="002C2462"/>
    <w:rsid w:val="002C2510"/>
    <w:rsid w:val="002C254F"/>
    <w:rsid w:val="002C25B0"/>
    <w:rsid w:val="002C2640"/>
    <w:rsid w:val="002C2647"/>
    <w:rsid w:val="002C2752"/>
    <w:rsid w:val="002C27F2"/>
    <w:rsid w:val="002C2891"/>
    <w:rsid w:val="002C28BC"/>
    <w:rsid w:val="002C29FC"/>
    <w:rsid w:val="002C2B65"/>
    <w:rsid w:val="002C2B6D"/>
    <w:rsid w:val="002C2BC6"/>
    <w:rsid w:val="002C2C1B"/>
    <w:rsid w:val="002C2CE9"/>
    <w:rsid w:val="002C2DA6"/>
    <w:rsid w:val="002C2EFA"/>
    <w:rsid w:val="002C2F12"/>
    <w:rsid w:val="002C3118"/>
    <w:rsid w:val="002C3250"/>
    <w:rsid w:val="002C32D6"/>
    <w:rsid w:val="002C337A"/>
    <w:rsid w:val="002C3393"/>
    <w:rsid w:val="002C3447"/>
    <w:rsid w:val="002C3451"/>
    <w:rsid w:val="002C3498"/>
    <w:rsid w:val="002C34E9"/>
    <w:rsid w:val="002C358D"/>
    <w:rsid w:val="002C3605"/>
    <w:rsid w:val="002C3720"/>
    <w:rsid w:val="002C381B"/>
    <w:rsid w:val="002C3A48"/>
    <w:rsid w:val="002C3A82"/>
    <w:rsid w:val="002C3A8C"/>
    <w:rsid w:val="002C3AE1"/>
    <w:rsid w:val="002C3AEA"/>
    <w:rsid w:val="002C3B4B"/>
    <w:rsid w:val="002C3B50"/>
    <w:rsid w:val="002C3BAA"/>
    <w:rsid w:val="002C3D5B"/>
    <w:rsid w:val="002C3E5A"/>
    <w:rsid w:val="002C3FD1"/>
    <w:rsid w:val="002C3FDB"/>
    <w:rsid w:val="002C3FFC"/>
    <w:rsid w:val="002C4191"/>
    <w:rsid w:val="002C42A5"/>
    <w:rsid w:val="002C4350"/>
    <w:rsid w:val="002C438A"/>
    <w:rsid w:val="002C44B0"/>
    <w:rsid w:val="002C4606"/>
    <w:rsid w:val="002C464F"/>
    <w:rsid w:val="002C469B"/>
    <w:rsid w:val="002C46E4"/>
    <w:rsid w:val="002C47E4"/>
    <w:rsid w:val="002C4839"/>
    <w:rsid w:val="002C48D4"/>
    <w:rsid w:val="002C48E1"/>
    <w:rsid w:val="002C491B"/>
    <w:rsid w:val="002C4A59"/>
    <w:rsid w:val="002C4AC8"/>
    <w:rsid w:val="002C4BEC"/>
    <w:rsid w:val="002C4C19"/>
    <w:rsid w:val="002C4CA4"/>
    <w:rsid w:val="002C4E02"/>
    <w:rsid w:val="002C4E62"/>
    <w:rsid w:val="002C4E64"/>
    <w:rsid w:val="002C4EC4"/>
    <w:rsid w:val="002C4ECE"/>
    <w:rsid w:val="002C4EDF"/>
    <w:rsid w:val="002C507B"/>
    <w:rsid w:val="002C5384"/>
    <w:rsid w:val="002C54C7"/>
    <w:rsid w:val="002C563A"/>
    <w:rsid w:val="002C5756"/>
    <w:rsid w:val="002C578D"/>
    <w:rsid w:val="002C57A4"/>
    <w:rsid w:val="002C590E"/>
    <w:rsid w:val="002C5927"/>
    <w:rsid w:val="002C59CB"/>
    <w:rsid w:val="002C5A84"/>
    <w:rsid w:val="002C5BBB"/>
    <w:rsid w:val="002C5BD4"/>
    <w:rsid w:val="002C5BDD"/>
    <w:rsid w:val="002C5C4C"/>
    <w:rsid w:val="002C5CB3"/>
    <w:rsid w:val="002C5F81"/>
    <w:rsid w:val="002C5FAB"/>
    <w:rsid w:val="002C62D4"/>
    <w:rsid w:val="002C6311"/>
    <w:rsid w:val="002C6312"/>
    <w:rsid w:val="002C63E1"/>
    <w:rsid w:val="002C63F3"/>
    <w:rsid w:val="002C649F"/>
    <w:rsid w:val="002C6558"/>
    <w:rsid w:val="002C6949"/>
    <w:rsid w:val="002C6A9B"/>
    <w:rsid w:val="002C6ACF"/>
    <w:rsid w:val="002C6AFC"/>
    <w:rsid w:val="002C6B2F"/>
    <w:rsid w:val="002C6B3B"/>
    <w:rsid w:val="002C6B61"/>
    <w:rsid w:val="002C6BF6"/>
    <w:rsid w:val="002C6CE0"/>
    <w:rsid w:val="002C6DDC"/>
    <w:rsid w:val="002C7061"/>
    <w:rsid w:val="002C718D"/>
    <w:rsid w:val="002C7212"/>
    <w:rsid w:val="002C7262"/>
    <w:rsid w:val="002C73EE"/>
    <w:rsid w:val="002C7482"/>
    <w:rsid w:val="002C74D3"/>
    <w:rsid w:val="002C74F7"/>
    <w:rsid w:val="002C7534"/>
    <w:rsid w:val="002C75A9"/>
    <w:rsid w:val="002C75EB"/>
    <w:rsid w:val="002C779A"/>
    <w:rsid w:val="002C77E0"/>
    <w:rsid w:val="002C7A8C"/>
    <w:rsid w:val="002C7AFA"/>
    <w:rsid w:val="002C7BA1"/>
    <w:rsid w:val="002C7C76"/>
    <w:rsid w:val="002C7E57"/>
    <w:rsid w:val="002C7FD5"/>
    <w:rsid w:val="002CA004"/>
    <w:rsid w:val="002D0013"/>
    <w:rsid w:val="002D0039"/>
    <w:rsid w:val="002D0121"/>
    <w:rsid w:val="002D019F"/>
    <w:rsid w:val="002D020E"/>
    <w:rsid w:val="002D0241"/>
    <w:rsid w:val="002D0511"/>
    <w:rsid w:val="002D0589"/>
    <w:rsid w:val="002D062D"/>
    <w:rsid w:val="002D07A9"/>
    <w:rsid w:val="002D09CD"/>
    <w:rsid w:val="002D0ADE"/>
    <w:rsid w:val="002D0CA0"/>
    <w:rsid w:val="002D0CDC"/>
    <w:rsid w:val="002D0D09"/>
    <w:rsid w:val="002D0D72"/>
    <w:rsid w:val="002D0DCB"/>
    <w:rsid w:val="002D0E1D"/>
    <w:rsid w:val="002D0F26"/>
    <w:rsid w:val="002D1020"/>
    <w:rsid w:val="002D1056"/>
    <w:rsid w:val="002D10E8"/>
    <w:rsid w:val="002D10F9"/>
    <w:rsid w:val="002D10FE"/>
    <w:rsid w:val="002D1269"/>
    <w:rsid w:val="002D13B8"/>
    <w:rsid w:val="002D13CE"/>
    <w:rsid w:val="002D1640"/>
    <w:rsid w:val="002D1657"/>
    <w:rsid w:val="002D165A"/>
    <w:rsid w:val="002D16ED"/>
    <w:rsid w:val="002D1801"/>
    <w:rsid w:val="002D18BE"/>
    <w:rsid w:val="002D18C2"/>
    <w:rsid w:val="002D1944"/>
    <w:rsid w:val="002D1952"/>
    <w:rsid w:val="002D19BA"/>
    <w:rsid w:val="002D1A4A"/>
    <w:rsid w:val="002D1BDF"/>
    <w:rsid w:val="002D1C1F"/>
    <w:rsid w:val="002D1C70"/>
    <w:rsid w:val="002D1EE3"/>
    <w:rsid w:val="002D1F06"/>
    <w:rsid w:val="002D1FDA"/>
    <w:rsid w:val="002D20E9"/>
    <w:rsid w:val="002D2441"/>
    <w:rsid w:val="002D2532"/>
    <w:rsid w:val="002D253F"/>
    <w:rsid w:val="002D2542"/>
    <w:rsid w:val="002D276C"/>
    <w:rsid w:val="002D27A2"/>
    <w:rsid w:val="002D27B9"/>
    <w:rsid w:val="002D27D5"/>
    <w:rsid w:val="002D2824"/>
    <w:rsid w:val="002D28B4"/>
    <w:rsid w:val="002D290A"/>
    <w:rsid w:val="002D2916"/>
    <w:rsid w:val="002D2A7A"/>
    <w:rsid w:val="002D2A8F"/>
    <w:rsid w:val="002D2C96"/>
    <w:rsid w:val="002D2E59"/>
    <w:rsid w:val="002D2E7D"/>
    <w:rsid w:val="002D2EB6"/>
    <w:rsid w:val="002D3024"/>
    <w:rsid w:val="002D30BF"/>
    <w:rsid w:val="002D311E"/>
    <w:rsid w:val="002D318B"/>
    <w:rsid w:val="002D31FE"/>
    <w:rsid w:val="002D324F"/>
    <w:rsid w:val="002D3325"/>
    <w:rsid w:val="002D358D"/>
    <w:rsid w:val="002D3695"/>
    <w:rsid w:val="002D36D6"/>
    <w:rsid w:val="002D3723"/>
    <w:rsid w:val="002D3731"/>
    <w:rsid w:val="002D3825"/>
    <w:rsid w:val="002D3963"/>
    <w:rsid w:val="002D39E1"/>
    <w:rsid w:val="002D3AFE"/>
    <w:rsid w:val="002D3B13"/>
    <w:rsid w:val="002D3B77"/>
    <w:rsid w:val="002D3C6F"/>
    <w:rsid w:val="002D3D88"/>
    <w:rsid w:val="002D3EC7"/>
    <w:rsid w:val="002D3EDD"/>
    <w:rsid w:val="002D3F63"/>
    <w:rsid w:val="002D407B"/>
    <w:rsid w:val="002D4203"/>
    <w:rsid w:val="002D4305"/>
    <w:rsid w:val="002D44E8"/>
    <w:rsid w:val="002D479D"/>
    <w:rsid w:val="002D4A20"/>
    <w:rsid w:val="002D4C5D"/>
    <w:rsid w:val="002D4D1C"/>
    <w:rsid w:val="002D4D85"/>
    <w:rsid w:val="002D4EEB"/>
    <w:rsid w:val="002D51E7"/>
    <w:rsid w:val="002D525C"/>
    <w:rsid w:val="002D529C"/>
    <w:rsid w:val="002D52D7"/>
    <w:rsid w:val="002D5326"/>
    <w:rsid w:val="002D5350"/>
    <w:rsid w:val="002D53B1"/>
    <w:rsid w:val="002D549E"/>
    <w:rsid w:val="002D54C4"/>
    <w:rsid w:val="002D556C"/>
    <w:rsid w:val="002D55F7"/>
    <w:rsid w:val="002D5602"/>
    <w:rsid w:val="002D56F4"/>
    <w:rsid w:val="002D577B"/>
    <w:rsid w:val="002D5945"/>
    <w:rsid w:val="002D5980"/>
    <w:rsid w:val="002D59D7"/>
    <w:rsid w:val="002D608E"/>
    <w:rsid w:val="002D60F3"/>
    <w:rsid w:val="002D63AF"/>
    <w:rsid w:val="002D64B6"/>
    <w:rsid w:val="002D64C3"/>
    <w:rsid w:val="002D652D"/>
    <w:rsid w:val="002D670E"/>
    <w:rsid w:val="002D6712"/>
    <w:rsid w:val="002D6764"/>
    <w:rsid w:val="002D6946"/>
    <w:rsid w:val="002D69D3"/>
    <w:rsid w:val="002D6C07"/>
    <w:rsid w:val="002D6CA9"/>
    <w:rsid w:val="002D6CD4"/>
    <w:rsid w:val="002D6D25"/>
    <w:rsid w:val="002D6E0C"/>
    <w:rsid w:val="002D6E59"/>
    <w:rsid w:val="002D6E77"/>
    <w:rsid w:val="002D6FDD"/>
    <w:rsid w:val="002D7063"/>
    <w:rsid w:val="002D7099"/>
    <w:rsid w:val="002D7164"/>
    <w:rsid w:val="002D7269"/>
    <w:rsid w:val="002D72E2"/>
    <w:rsid w:val="002D73A2"/>
    <w:rsid w:val="002D75BB"/>
    <w:rsid w:val="002D76B2"/>
    <w:rsid w:val="002D76FE"/>
    <w:rsid w:val="002D7834"/>
    <w:rsid w:val="002D7857"/>
    <w:rsid w:val="002D78B7"/>
    <w:rsid w:val="002D7A2F"/>
    <w:rsid w:val="002D7A56"/>
    <w:rsid w:val="002D7B27"/>
    <w:rsid w:val="002D7C36"/>
    <w:rsid w:val="002D7C7B"/>
    <w:rsid w:val="002D7EF9"/>
    <w:rsid w:val="002D7F00"/>
    <w:rsid w:val="002D7F0C"/>
    <w:rsid w:val="002D7F92"/>
    <w:rsid w:val="002D7FB3"/>
    <w:rsid w:val="002D89C6"/>
    <w:rsid w:val="002E0282"/>
    <w:rsid w:val="002E02C2"/>
    <w:rsid w:val="002E02C5"/>
    <w:rsid w:val="002E0305"/>
    <w:rsid w:val="002E03C6"/>
    <w:rsid w:val="002E041B"/>
    <w:rsid w:val="002E04FD"/>
    <w:rsid w:val="002E058F"/>
    <w:rsid w:val="002E06F3"/>
    <w:rsid w:val="002E0790"/>
    <w:rsid w:val="002E0960"/>
    <w:rsid w:val="002E09A7"/>
    <w:rsid w:val="002E0A02"/>
    <w:rsid w:val="002E0AF2"/>
    <w:rsid w:val="002E0D5F"/>
    <w:rsid w:val="002E0DF5"/>
    <w:rsid w:val="002E0E13"/>
    <w:rsid w:val="002E0E37"/>
    <w:rsid w:val="002E0E93"/>
    <w:rsid w:val="002E0FE6"/>
    <w:rsid w:val="002E1093"/>
    <w:rsid w:val="002E11AC"/>
    <w:rsid w:val="002E11EC"/>
    <w:rsid w:val="002E126A"/>
    <w:rsid w:val="002E12F7"/>
    <w:rsid w:val="002E1346"/>
    <w:rsid w:val="002E1552"/>
    <w:rsid w:val="002E15C4"/>
    <w:rsid w:val="002E15E4"/>
    <w:rsid w:val="002E187F"/>
    <w:rsid w:val="002E19DB"/>
    <w:rsid w:val="002E1A0B"/>
    <w:rsid w:val="002E1A1D"/>
    <w:rsid w:val="002E1AF5"/>
    <w:rsid w:val="002E1B29"/>
    <w:rsid w:val="002E1C95"/>
    <w:rsid w:val="002E1DE0"/>
    <w:rsid w:val="002E1ED0"/>
    <w:rsid w:val="002E1F35"/>
    <w:rsid w:val="002E1F40"/>
    <w:rsid w:val="002E1F62"/>
    <w:rsid w:val="002E2080"/>
    <w:rsid w:val="002E2109"/>
    <w:rsid w:val="002E211C"/>
    <w:rsid w:val="002E2126"/>
    <w:rsid w:val="002E2134"/>
    <w:rsid w:val="002E234D"/>
    <w:rsid w:val="002E2561"/>
    <w:rsid w:val="002E261A"/>
    <w:rsid w:val="002E2665"/>
    <w:rsid w:val="002E2864"/>
    <w:rsid w:val="002E2983"/>
    <w:rsid w:val="002E2A3A"/>
    <w:rsid w:val="002E2A61"/>
    <w:rsid w:val="002E2AF4"/>
    <w:rsid w:val="002E2B12"/>
    <w:rsid w:val="002E2B9C"/>
    <w:rsid w:val="002E2D5A"/>
    <w:rsid w:val="002E2D62"/>
    <w:rsid w:val="002E2D99"/>
    <w:rsid w:val="002E2DCB"/>
    <w:rsid w:val="002E2E71"/>
    <w:rsid w:val="002E2FAF"/>
    <w:rsid w:val="002E2FD5"/>
    <w:rsid w:val="002E30CD"/>
    <w:rsid w:val="002E3121"/>
    <w:rsid w:val="002E318E"/>
    <w:rsid w:val="002E31E5"/>
    <w:rsid w:val="002E3253"/>
    <w:rsid w:val="002E3272"/>
    <w:rsid w:val="002E3368"/>
    <w:rsid w:val="002E3432"/>
    <w:rsid w:val="002E3582"/>
    <w:rsid w:val="002E3615"/>
    <w:rsid w:val="002E3772"/>
    <w:rsid w:val="002E3AF5"/>
    <w:rsid w:val="002E3B12"/>
    <w:rsid w:val="002E3C65"/>
    <w:rsid w:val="002E3F4C"/>
    <w:rsid w:val="002E3FE3"/>
    <w:rsid w:val="002E4039"/>
    <w:rsid w:val="002E4088"/>
    <w:rsid w:val="002E40F9"/>
    <w:rsid w:val="002E430D"/>
    <w:rsid w:val="002E4351"/>
    <w:rsid w:val="002E4353"/>
    <w:rsid w:val="002E4808"/>
    <w:rsid w:val="002E4820"/>
    <w:rsid w:val="002E4875"/>
    <w:rsid w:val="002E48DE"/>
    <w:rsid w:val="002E494F"/>
    <w:rsid w:val="002E4987"/>
    <w:rsid w:val="002E49E1"/>
    <w:rsid w:val="002E49FC"/>
    <w:rsid w:val="002E4A96"/>
    <w:rsid w:val="002E4C34"/>
    <w:rsid w:val="002E4D41"/>
    <w:rsid w:val="002E4E02"/>
    <w:rsid w:val="002E4E63"/>
    <w:rsid w:val="002E508B"/>
    <w:rsid w:val="002E5138"/>
    <w:rsid w:val="002E5162"/>
    <w:rsid w:val="002E52AC"/>
    <w:rsid w:val="002E5336"/>
    <w:rsid w:val="002E5396"/>
    <w:rsid w:val="002E548C"/>
    <w:rsid w:val="002E54CB"/>
    <w:rsid w:val="002E54D6"/>
    <w:rsid w:val="002E5555"/>
    <w:rsid w:val="002E55DA"/>
    <w:rsid w:val="002E5618"/>
    <w:rsid w:val="002E564B"/>
    <w:rsid w:val="002E564F"/>
    <w:rsid w:val="002E56DC"/>
    <w:rsid w:val="002E57BF"/>
    <w:rsid w:val="002E57F7"/>
    <w:rsid w:val="002E5C62"/>
    <w:rsid w:val="002E5D80"/>
    <w:rsid w:val="002E5F5C"/>
    <w:rsid w:val="002E60A1"/>
    <w:rsid w:val="002E6182"/>
    <w:rsid w:val="002E61A9"/>
    <w:rsid w:val="002E61EC"/>
    <w:rsid w:val="002E61F2"/>
    <w:rsid w:val="002E622B"/>
    <w:rsid w:val="002E6420"/>
    <w:rsid w:val="002E64C9"/>
    <w:rsid w:val="002E653F"/>
    <w:rsid w:val="002E655D"/>
    <w:rsid w:val="002E6811"/>
    <w:rsid w:val="002E68C6"/>
    <w:rsid w:val="002E6954"/>
    <w:rsid w:val="002E696D"/>
    <w:rsid w:val="002E69C2"/>
    <w:rsid w:val="002E6A02"/>
    <w:rsid w:val="002E6A97"/>
    <w:rsid w:val="002E6B86"/>
    <w:rsid w:val="002E6C49"/>
    <w:rsid w:val="002E6CC1"/>
    <w:rsid w:val="002E6CFA"/>
    <w:rsid w:val="002E6E18"/>
    <w:rsid w:val="002E7048"/>
    <w:rsid w:val="002E70ED"/>
    <w:rsid w:val="002E7149"/>
    <w:rsid w:val="002E71C6"/>
    <w:rsid w:val="002E720D"/>
    <w:rsid w:val="002E722D"/>
    <w:rsid w:val="002E7281"/>
    <w:rsid w:val="002E74DB"/>
    <w:rsid w:val="002E750B"/>
    <w:rsid w:val="002E7688"/>
    <w:rsid w:val="002E7709"/>
    <w:rsid w:val="002E7758"/>
    <w:rsid w:val="002E77AD"/>
    <w:rsid w:val="002E77E5"/>
    <w:rsid w:val="002E7A0A"/>
    <w:rsid w:val="002E7AD8"/>
    <w:rsid w:val="002E7BDC"/>
    <w:rsid w:val="002E7E18"/>
    <w:rsid w:val="002E7E89"/>
    <w:rsid w:val="002E7F8D"/>
    <w:rsid w:val="002F0034"/>
    <w:rsid w:val="002F0068"/>
    <w:rsid w:val="002F0125"/>
    <w:rsid w:val="002F016A"/>
    <w:rsid w:val="002F0178"/>
    <w:rsid w:val="002F01AB"/>
    <w:rsid w:val="002F034C"/>
    <w:rsid w:val="002F036E"/>
    <w:rsid w:val="002F04A5"/>
    <w:rsid w:val="002F05F5"/>
    <w:rsid w:val="002F067A"/>
    <w:rsid w:val="002F0686"/>
    <w:rsid w:val="002F06AF"/>
    <w:rsid w:val="002F086E"/>
    <w:rsid w:val="002F09EE"/>
    <w:rsid w:val="002F0A5A"/>
    <w:rsid w:val="002F0A63"/>
    <w:rsid w:val="002F0A6C"/>
    <w:rsid w:val="002F0ADD"/>
    <w:rsid w:val="002F0BEA"/>
    <w:rsid w:val="002F0BFC"/>
    <w:rsid w:val="002F0CA2"/>
    <w:rsid w:val="002F0CBE"/>
    <w:rsid w:val="002F0D50"/>
    <w:rsid w:val="002F0EC7"/>
    <w:rsid w:val="002F0F17"/>
    <w:rsid w:val="002F10F7"/>
    <w:rsid w:val="002F114B"/>
    <w:rsid w:val="002F117E"/>
    <w:rsid w:val="002F1224"/>
    <w:rsid w:val="002F122E"/>
    <w:rsid w:val="002F132A"/>
    <w:rsid w:val="002F1379"/>
    <w:rsid w:val="002F13E4"/>
    <w:rsid w:val="002F1557"/>
    <w:rsid w:val="002F161D"/>
    <w:rsid w:val="002F1661"/>
    <w:rsid w:val="002F16B0"/>
    <w:rsid w:val="002F174D"/>
    <w:rsid w:val="002F1921"/>
    <w:rsid w:val="002F1B9B"/>
    <w:rsid w:val="002F1C25"/>
    <w:rsid w:val="002F1D39"/>
    <w:rsid w:val="002F1FD8"/>
    <w:rsid w:val="002F214F"/>
    <w:rsid w:val="002F2168"/>
    <w:rsid w:val="002F21C2"/>
    <w:rsid w:val="002F22BB"/>
    <w:rsid w:val="002F2302"/>
    <w:rsid w:val="002F23BB"/>
    <w:rsid w:val="002F2411"/>
    <w:rsid w:val="002F2426"/>
    <w:rsid w:val="002F2479"/>
    <w:rsid w:val="002F24B3"/>
    <w:rsid w:val="002F25F0"/>
    <w:rsid w:val="002F262C"/>
    <w:rsid w:val="002F263E"/>
    <w:rsid w:val="002F2697"/>
    <w:rsid w:val="002F274F"/>
    <w:rsid w:val="002F28AE"/>
    <w:rsid w:val="002F290B"/>
    <w:rsid w:val="002F292A"/>
    <w:rsid w:val="002F2949"/>
    <w:rsid w:val="002F299F"/>
    <w:rsid w:val="002F2A8E"/>
    <w:rsid w:val="002F2D97"/>
    <w:rsid w:val="002F2F75"/>
    <w:rsid w:val="002F2FF1"/>
    <w:rsid w:val="002F3019"/>
    <w:rsid w:val="002F30DE"/>
    <w:rsid w:val="002F3114"/>
    <w:rsid w:val="002F318C"/>
    <w:rsid w:val="002F32A0"/>
    <w:rsid w:val="002F333C"/>
    <w:rsid w:val="002F3368"/>
    <w:rsid w:val="002F349C"/>
    <w:rsid w:val="002F34E8"/>
    <w:rsid w:val="002F3518"/>
    <w:rsid w:val="002F35D2"/>
    <w:rsid w:val="002F362C"/>
    <w:rsid w:val="002F3673"/>
    <w:rsid w:val="002F3790"/>
    <w:rsid w:val="002F37A3"/>
    <w:rsid w:val="002F38B4"/>
    <w:rsid w:val="002F3D1F"/>
    <w:rsid w:val="002F3D93"/>
    <w:rsid w:val="002F3F9E"/>
    <w:rsid w:val="002F40D9"/>
    <w:rsid w:val="002F40FE"/>
    <w:rsid w:val="002F41C1"/>
    <w:rsid w:val="002F41E5"/>
    <w:rsid w:val="002F43C1"/>
    <w:rsid w:val="002F442A"/>
    <w:rsid w:val="002F44C9"/>
    <w:rsid w:val="002F44D8"/>
    <w:rsid w:val="002F4642"/>
    <w:rsid w:val="002F46E4"/>
    <w:rsid w:val="002F4709"/>
    <w:rsid w:val="002F478F"/>
    <w:rsid w:val="002F48C1"/>
    <w:rsid w:val="002F4979"/>
    <w:rsid w:val="002F499E"/>
    <w:rsid w:val="002F4A1F"/>
    <w:rsid w:val="002F4B9F"/>
    <w:rsid w:val="002F4C81"/>
    <w:rsid w:val="002F4D8B"/>
    <w:rsid w:val="002F4E20"/>
    <w:rsid w:val="002F4E92"/>
    <w:rsid w:val="002F4F10"/>
    <w:rsid w:val="002F505C"/>
    <w:rsid w:val="002F5065"/>
    <w:rsid w:val="002F516B"/>
    <w:rsid w:val="002F51BB"/>
    <w:rsid w:val="002F53C1"/>
    <w:rsid w:val="002F54A6"/>
    <w:rsid w:val="002F54CB"/>
    <w:rsid w:val="002F54E7"/>
    <w:rsid w:val="002F54F1"/>
    <w:rsid w:val="002F5568"/>
    <w:rsid w:val="002F55B6"/>
    <w:rsid w:val="002F55D2"/>
    <w:rsid w:val="002F5628"/>
    <w:rsid w:val="002F57C9"/>
    <w:rsid w:val="002F5A24"/>
    <w:rsid w:val="002F5B06"/>
    <w:rsid w:val="002F5B25"/>
    <w:rsid w:val="002F5B94"/>
    <w:rsid w:val="002F5C24"/>
    <w:rsid w:val="002F5C5C"/>
    <w:rsid w:val="002F5C88"/>
    <w:rsid w:val="002F5DBA"/>
    <w:rsid w:val="002F6138"/>
    <w:rsid w:val="002F61A9"/>
    <w:rsid w:val="002F61FC"/>
    <w:rsid w:val="002F62C9"/>
    <w:rsid w:val="002F6439"/>
    <w:rsid w:val="002F64A0"/>
    <w:rsid w:val="002F656C"/>
    <w:rsid w:val="002F6684"/>
    <w:rsid w:val="002F6704"/>
    <w:rsid w:val="002F6766"/>
    <w:rsid w:val="002F6872"/>
    <w:rsid w:val="002F68BE"/>
    <w:rsid w:val="002F68FE"/>
    <w:rsid w:val="002F6A45"/>
    <w:rsid w:val="002F6BD1"/>
    <w:rsid w:val="002F6D93"/>
    <w:rsid w:val="002F6E5F"/>
    <w:rsid w:val="002F6F9C"/>
    <w:rsid w:val="002F705B"/>
    <w:rsid w:val="002F707D"/>
    <w:rsid w:val="002F70A2"/>
    <w:rsid w:val="002F7151"/>
    <w:rsid w:val="002F71A1"/>
    <w:rsid w:val="002F71A4"/>
    <w:rsid w:val="002F7254"/>
    <w:rsid w:val="002F72D5"/>
    <w:rsid w:val="002F7389"/>
    <w:rsid w:val="002F73DE"/>
    <w:rsid w:val="002F7417"/>
    <w:rsid w:val="002F745A"/>
    <w:rsid w:val="002F74D4"/>
    <w:rsid w:val="002F74F7"/>
    <w:rsid w:val="002F7702"/>
    <w:rsid w:val="002F7784"/>
    <w:rsid w:val="002F77E8"/>
    <w:rsid w:val="002F7A89"/>
    <w:rsid w:val="002F7B0E"/>
    <w:rsid w:val="002F7C2F"/>
    <w:rsid w:val="002F7CB5"/>
    <w:rsid w:val="002F7CEF"/>
    <w:rsid w:val="002F7D25"/>
    <w:rsid w:val="002F7D5F"/>
    <w:rsid w:val="002F7DE2"/>
    <w:rsid w:val="002F7DF0"/>
    <w:rsid w:val="002F7F41"/>
    <w:rsid w:val="002F7F91"/>
    <w:rsid w:val="0030022F"/>
    <w:rsid w:val="0030024A"/>
    <w:rsid w:val="003002CA"/>
    <w:rsid w:val="00300350"/>
    <w:rsid w:val="0030037C"/>
    <w:rsid w:val="00300455"/>
    <w:rsid w:val="0030045A"/>
    <w:rsid w:val="003004FF"/>
    <w:rsid w:val="00300503"/>
    <w:rsid w:val="0030053C"/>
    <w:rsid w:val="0030060A"/>
    <w:rsid w:val="00300691"/>
    <w:rsid w:val="003006A7"/>
    <w:rsid w:val="003006B4"/>
    <w:rsid w:val="003006BF"/>
    <w:rsid w:val="00300733"/>
    <w:rsid w:val="00300766"/>
    <w:rsid w:val="00300887"/>
    <w:rsid w:val="003009AB"/>
    <w:rsid w:val="003009E6"/>
    <w:rsid w:val="00300AEF"/>
    <w:rsid w:val="00300B16"/>
    <w:rsid w:val="00300C2F"/>
    <w:rsid w:val="00300D13"/>
    <w:rsid w:val="00300D76"/>
    <w:rsid w:val="00300E5C"/>
    <w:rsid w:val="00300EE4"/>
    <w:rsid w:val="00301065"/>
    <w:rsid w:val="00301076"/>
    <w:rsid w:val="00301112"/>
    <w:rsid w:val="00301285"/>
    <w:rsid w:val="003013A9"/>
    <w:rsid w:val="00301496"/>
    <w:rsid w:val="00301556"/>
    <w:rsid w:val="00301576"/>
    <w:rsid w:val="00301585"/>
    <w:rsid w:val="0030160F"/>
    <w:rsid w:val="003016F1"/>
    <w:rsid w:val="0030172E"/>
    <w:rsid w:val="0030186C"/>
    <w:rsid w:val="0030190B"/>
    <w:rsid w:val="00301A1A"/>
    <w:rsid w:val="00301C41"/>
    <w:rsid w:val="00301E03"/>
    <w:rsid w:val="00301E59"/>
    <w:rsid w:val="00301EFC"/>
    <w:rsid w:val="00301F11"/>
    <w:rsid w:val="00301F93"/>
    <w:rsid w:val="00301FA4"/>
    <w:rsid w:val="003020EF"/>
    <w:rsid w:val="0030212B"/>
    <w:rsid w:val="00302201"/>
    <w:rsid w:val="003022B5"/>
    <w:rsid w:val="00302352"/>
    <w:rsid w:val="00302391"/>
    <w:rsid w:val="0030242E"/>
    <w:rsid w:val="0030258F"/>
    <w:rsid w:val="003025CC"/>
    <w:rsid w:val="003026A6"/>
    <w:rsid w:val="003026EB"/>
    <w:rsid w:val="003027C4"/>
    <w:rsid w:val="00302838"/>
    <w:rsid w:val="003028B8"/>
    <w:rsid w:val="0030297F"/>
    <w:rsid w:val="003029A5"/>
    <w:rsid w:val="003029C3"/>
    <w:rsid w:val="00302A13"/>
    <w:rsid w:val="00302A95"/>
    <w:rsid w:val="00302AE3"/>
    <w:rsid w:val="00302B48"/>
    <w:rsid w:val="00302C6B"/>
    <w:rsid w:val="00302D05"/>
    <w:rsid w:val="00302D24"/>
    <w:rsid w:val="00302D94"/>
    <w:rsid w:val="00302E89"/>
    <w:rsid w:val="00302ECE"/>
    <w:rsid w:val="00302F43"/>
    <w:rsid w:val="00303017"/>
    <w:rsid w:val="00303030"/>
    <w:rsid w:val="003031B7"/>
    <w:rsid w:val="003031D7"/>
    <w:rsid w:val="003031EF"/>
    <w:rsid w:val="00303237"/>
    <w:rsid w:val="0030327D"/>
    <w:rsid w:val="00303281"/>
    <w:rsid w:val="003034E4"/>
    <w:rsid w:val="003035E7"/>
    <w:rsid w:val="0030362C"/>
    <w:rsid w:val="003036CA"/>
    <w:rsid w:val="00303794"/>
    <w:rsid w:val="0030380C"/>
    <w:rsid w:val="00303889"/>
    <w:rsid w:val="00303983"/>
    <w:rsid w:val="003039A3"/>
    <w:rsid w:val="003039B9"/>
    <w:rsid w:val="003039F2"/>
    <w:rsid w:val="00303A4D"/>
    <w:rsid w:val="00303A5F"/>
    <w:rsid w:val="00303A99"/>
    <w:rsid w:val="00303B7A"/>
    <w:rsid w:val="00303D35"/>
    <w:rsid w:val="00303DB3"/>
    <w:rsid w:val="00303E55"/>
    <w:rsid w:val="00303EAC"/>
    <w:rsid w:val="00303F68"/>
    <w:rsid w:val="00303FAA"/>
    <w:rsid w:val="0030402D"/>
    <w:rsid w:val="00304055"/>
    <w:rsid w:val="003040BC"/>
    <w:rsid w:val="0030410F"/>
    <w:rsid w:val="0030416B"/>
    <w:rsid w:val="00304237"/>
    <w:rsid w:val="00304316"/>
    <w:rsid w:val="003043CC"/>
    <w:rsid w:val="00304427"/>
    <w:rsid w:val="003044FF"/>
    <w:rsid w:val="0030464D"/>
    <w:rsid w:val="003046C9"/>
    <w:rsid w:val="00304753"/>
    <w:rsid w:val="003047C1"/>
    <w:rsid w:val="00304812"/>
    <w:rsid w:val="0030488E"/>
    <w:rsid w:val="003049B6"/>
    <w:rsid w:val="003049C9"/>
    <w:rsid w:val="00304A1A"/>
    <w:rsid w:val="00304A39"/>
    <w:rsid w:val="00304A41"/>
    <w:rsid w:val="00304A63"/>
    <w:rsid w:val="00304A90"/>
    <w:rsid w:val="00304C8B"/>
    <w:rsid w:val="00304CA5"/>
    <w:rsid w:val="00304CC0"/>
    <w:rsid w:val="00304CD7"/>
    <w:rsid w:val="00304EF6"/>
    <w:rsid w:val="00304F1B"/>
    <w:rsid w:val="00304F22"/>
    <w:rsid w:val="00304F89"/>
    <w:rsid w:val="00304FE8"/>
    <w:rsid w:val="0030509F"/>
    <w:rsid w:val="0030538D"/>
    <w:rsid w:val="00305396"/>
    <w:rsid w:val="0030544A"/>
    <w:rsid w:val="00305458"/>
    <w:rsid w:val="0030569D"/>
    <w:rsid w:val="0030570C"/>
    <w:rsid w:val="0030590E"/>
    <w:rsid w:val="003059FB"/>
    <w:rsid w:val="003059FC"/>
    <w:rsid w:val="00305A03"/>
    <w:rsid w:val="00305BBA"/>
    <w:rsid w:val="00305C1C"/>
    <w:rsid w:val="00305C61"/>
    <w:rsid w:val="00305CB1"/>
    <w:rsid w:val="00305CC9"/>
    <w:rsid w:val="00305D05"/>
    <w:rsid w:val="00305D22"/>
    <w:rsid w:val="00305D5B"/>
    <w:rsid w:val="00305DDC"/>
    <w:rsid w:val="00305E25"/>
    <w:rsid w:val="00305E31"/>
    <w:rsid w:val="00305F00"/>
    <w:rsid w:val="00305F75"/>
    <w:rsid w:val="003060D6"/>
    <w:rsid w:val="003060E2"/>
    <w:rsid w:val="00306136"/>
    <w:rsid w:val="003061FA"/>
    <w:rsid w:val="00306392"/>
    <w:rsid w:val="003063DE"/>
    <w:rsid w:val="0030661E"/>
    <w:rsid w:val="0030672A"/>
    <w:rsid w:val="0030672F"/>
    <w:rsid w:val="003067DA"/>
    <w:rsid w:val="00306921"/>
    <w:rsid w:val="00306A01"/>
    <w:rsid w:val="00306AE9"/>
    <w:rsid w:val="00306AF6"/>
    <w:rsid w:val="00306B73"/>
    <w:rsid w:val="00306BC8"/>
    <w:rsid w:val="00306C4A"/>
    <w:rsid w:val="00306CC1"/>
    <w:rsid w:val="00306CE2"/>
    <w:rsid w:val="00306D4C"/>
    <w:rsid w:val="00306EF8"/>
    <w:rsid w:val="00307097"/>
    <w:rsid w:val="00307168"/>
    <w:rsid w:val="003071A6"/>
    <w:rsid w:val="003071EE"/>
    <w:rsid w:val="00307214"/>
    <w:rsid w:val="003072AD"/>
    <w:rsid w:val="003073AA"/>
    <w:rsid w:val="003073D6"/>
    <w:rsid w:val="0030743C"/>
    <w:rsid w:val="00307549"/>
    <w:rsid w:val="0030756B"/>
    <w:rsid w:val="003075B9"/>
    <w:rsid w:val="003076B6"/>
    <w:rsid w:val="00307864"/>
    <w:rsid w:val="0030787A"/>
    <w:rsid w:val="00307908"/>
    <w:rsid w:val="00307912"/>
    <w:rsid w:val="0030797C"/>
    <w:rsid w:val="00307B04"/>
    <w:rsid w:val="00307BBD"/>
    <w:rsid w:val="00307BE1"/>
    <w:rsid w:val="00307C7C"/>
    <w:rsid w:val="00307CCB"/>
    <w:rsid w:val="00307D85"/>
    <w:rsid w:val="00307F13"/>
    <w:rsid w:val="00310095"/>
    <w:rsid w:val="00310132"/>
    <w:rsid w:val="00310210"/>
    <w:rsid w:val="00310323"/>
    <w:rsid w:val="003103D1"/>
    <w:rsid w:val="003104AC"/>
    <w:rsid w:val="00310636"/>
    <w:rsid w:val="00310682"/>
    <w:rsid w:val="00310704"/>
    <w:rsid w:val="003107EA"/>
    <w:rsid w:val="003108E5"/>
    <w:rsid w:val="00310A22"/>
    <w:rsid w:val="00310C3A"/>
    <w:rsid w:val="00310C72"/>
    <w:rsid w:val="00310DB6"/>
    <w:rsid w:val="00310DBD"/>
    <w:rsid w:val="00310F82"/>
    <w:rsid w:val="00310FD2"/>
    <w:rsid w:val="00311026"/>
    <w:rsid w:val="003110BE"/>
    <w:rsid w:val="003110DB"/>
    <w:rsid w:val="00311143"/>
    <w:rsid w:val="003111C0"/>
    <w:rsid w:val="003112DE"/>
    <w:rsid w:val="003114ED"/>
    <w:rsid w:val="00311665"/>
    <w:rsid w:val="003116A5"/>
    <w:rsid w:val="003116C6"/>
    <w:rsid w:val="003117BF"/>
    <w:rsid w:val="00311831"/>
    <w:rsid w:val="003118C0"/>
    <w:rsid w:val="003118E5"/>
    <w:rsid w:val="00311AF9"/>
    <w:rsid w:val="00311B04"/>
    <w:rsid w:val="00311B89"/>
    <w:rsid w:val="00311DB9"/>
    <w:rsid w:val="00311F19"/>
    <w:rsid w:val="00311F28"/>
    <w:rsid w:val="00311FA1"/>
    <w:rsid w:val="00311FF2"/>
    <w:rsid w:val="003120C9"/>
    <w:rsid w:val="003122D6"/>
    <w:rsid w:val="0031230F"/>
    <w:rsid w:val="0031236F"/>
    <w:rsid w:val="00312431"/>
    <w:rsid w:val="003124A2"/>
    <w:rsid w:val="003124C1"/>
    <w:rsid w:val="00312771"/>
    <w:rsid w:val="003127BE"/>
    <w:rsid w:val="003127D0"/>
    <w:rsid w:val="00312888"/>
    <w:rsid w:val="003128E4"/>
    <w:rsid w:val="00312961"/>
    <w:rsid w:val="00312984"/>
    <w:rsid w:val="003129B5"/>
    <w:rsid w:val="003129DB"/>
    <w:rsid w:val="00312AF0"/>
    <w:rsid w:val="00312B45"/>
    <w:rsid w:val="00312B64"/>
    <w:rsid w:val="00312B88"/>
    <w:rsid w:val="00312B90"/>
    <w:rsid w:val="00312BBC"/>
    <w:rsid w:val="00312CA0"/>
    <w:rsid w:val="00312CB3"/>
    <w:rsid w:val="00312DAA"/>
    <w:rsid w:val="00312FBD"/>
    <w:rsid w:val="00313008"/>
    <w:rsid w:val="0031304D"/>
    <w:rsid w:val="0031306B"/>
    <w:rsid w:val="00313525"/>
    <w:rsid w:val="003136BE"/>
    <w:rsid w:val="003136F8"/>
    <w:rsid w:val="00313736"/>
    <w:rsid w:val="0031379A"/>
    <w:rsid w:val="00313841"/>
    <w:rsid w:val="00313994"/>
    <w:rsid w:val="00313A27"/>
    <w:rsid w:val="00313B26"/>
    <w:rsid w:val="00313B4F"/>
    <w:rsid w:val="00313C01"/>
    <w:rsid w:val="00313C14"/>
    <w:rsid w:val="00313E43"/>
    <w:rsid w:val="00313E64"/>
    <w:rsid w:val="00313F5D"/>
    <w:rsid w:val="00314153"/>
    <w:rsid w:val="0031439C"/>
    <w:rsid w:val="00314429"/>
    <w:rsid w:val="00314463"/>
    <w:rsid w:val="00314616"/>
    <w:rsid w:val="00314699"/>
    <w:rsid w:val="003146F2"/>
    <w:rsid w:val="00314939"/>
    <w:rsid w:val="003149EE"/>
    <w:rsid w:val="00314A35"/>
    <w:rsid w:val="00314D84"/>
    <w:rsid w:val="00314DB8"/>
    <w:rsid w:val="00314DF9"/>
    <w:rsid w:val="00314F05"/>
    <w:rsid w:val="00314FDA"/>
    <w:rsid w:val="0031508E"/>
    <w:rsid w:val="00315150"/>
    <w:rsid w:val="00315181"/>
    <w:rsid w:val="00315286"/>
    <w:rsid w:val="003152D5"/>
    <w:rsid w:val="0031531C"/>
    <w:rsid w:val="00315338"/>
    <w:rsid w:val="0031539B"/>
    <w:rsid w:val="003154D0"/>
    <w:rsid w:val="003155F1"/>
    <w:rsid w:val="0031565C"/>
    <w:rsid w:val="0031565D"/>
    <w:rsid w:val="0031579A"/>
    <w:rsid w:val="0031580B"/>
    <w:rsid w:val="003158B0"/>
    <w:rsid w:val="00315922"/>
    <w:rsid w:val="003159C2"/>
    <w:rsid w:val="00315B74"/>
    <w:rsid w:val="00315BE2"/>
    <w:rsid w:val="00315D80"/>
    <w:rsid w:val="00315DB8"/>
    <w:rsid w:val="00315DC8"/>
    <w:rsid w:val="00315F86"/>
    <w:rsid w:val="00315F98"/>
    <w:rsid w:val="00316096"/>
    <w:rsid w:val="00316100"/>
    <w:rsid w:val="00316299"/>
    <w:rsid w:val="00316341"/>
    <w:rsid w:val="00316364"/>
    <w:rsid w:val="0031654C"/>
    <w:rsid w:val="00316616"/>
    <w:rsid w:val="003167BE"/>
    <w:rsid w:val="00316B3F"/>
    <w:rsid w:val="00316D15"/>
    <w:rsid w:val="00316D24"/>
    <w:rsid w:val="00316E21"/>
    <w:rsid w:val="00316F5D"/>
    <w:rsid w:val="00316FCF"/>
    <w:rsid w:val="00317017"/>
    <w:rsid w:val="00317251"/>
    <w:rsid w:val="0031753F"/>
    <w:rsid w:val="00317714"/>
    <w:rsid w:val="00317831"/>
    <w:rsid w:val="00317890"/>
    <w:rsid w:val="003178E4"/>
    <w:rsid w:val="0031791C"/>
    <w:rsid w:val="003179C3"/>
    <w:rsid w:val="003179FB"/>
    <w:rsid w:val="00317A5B"/>
    <w:rsid w:val="00317B36"/>
    <w:rsid w:val="00317B9B"/>
    <w:rsid w:val="00317BCD"/>
    <w:rsid w:val="00317D8B"/>
    <w:rsid w:val="00317E72"/>
    <w:rsid w:val="00317E76"/>
    <w:rsid w:val="00317EA2"/>
    <w:rsid w:val="00317F8A"/>
    <w:rsid w:val="003200B4"/>
    <w:rsid w:val="003200DA"/>
    <w:rsid w:val="003200E5"/>
    <w:rsid w:val="0032027C"/>
    <w:rsid w:val="0032033F"/>
    <w:rsid w:val="00320343"/>
    <w:rsid w:val="00320395"/>
    <w:rsid w:val="0032039D"/>
    <w:rsid w:val="0032039E"/>
    <w:rsid w:val="00320404"/>
    <w:rsid w:val="00320430"/>
    <w:rsid w:val="003204A8"/>
    <w:rsid w:val="003206A1"/>
    <w:rsid w:val="003206E1"/>
    <w:rsid w:val="003206F6"/>
    <w:rsid w:val="0032083F"/>
    <w:rsid w:val="0032090E"/>
    <w:rsid w:val="00320988"/>
    <w:rsid w:val="00320B09"/>
    <w:rsid w:val="00320C62"/>
    <w:rsid w:val="00320D43"/>
    <w:rsid w:val="00320D6A"/>
    <w:rsid w:val="00320DC6"/>
    <w:rsid w:val="00320DDB"/>
    <w:rsid w:val="00320E1E"/>
    <w:rsid w:val="00320E2E"/>
    <w:rsid w:val="00321065"/>
    <w:rsid w:val="003210D0"/>
    <w:rsid w:val="003211BA"/>
    <w:rsid w:val="00321298"/>
    <w:rsid w:val="003212DE"/>
    <w:rsid w:val="003213CB"/>
    <w:rsid w:val="0032159E"/>
    <w:rsid w:val="003216AE"/>
    <w:rsid w:val="00321715"/>
    <w:rsid w:val="00321773"/>
    <w:rsid w:val="003218A9"/>
    <w:rsid w:val="00321921"/>
    <w:rsid w:val="00321A68"/>
    <w:rsid w:val="00321AB3"/>
    <w:rsid w:val="00321AF1"/>
    <w:rsid w:val="00321C17"/>
    <w:rsid w:val="00321C4D"/>
    <w:rsid w:val="00321CBA"/>
    <w:rsid w:val="00321D54"/>
    <w:rsid w:val="00321D7C"/>
    <w:rsid w:val="00321D85"/>
    <w:rsid w:val="00321EA8"/>
    <w:rsid w:val="00322046"/>
    <w:rsid w:val="003220FE"/>
    <w:rsid w:val="00322168"/>
    <w:rsid w:val="003221EE"/>
    <w:rsid w:val="00322357"/>
    <w:rsid w:val="003223DB"/>
    <w:rsid w:val="00322618"/>
    <w:rsid w:val="00322744"/>
    <w:rsid w:val="00322784"/>
    <w:rsid w:val="003228CC"/>
    <w:rsid w:val="00322977"/>
    <w:rsid w:val="003229A8"/>
    <w:rsid w:val="00322BCD"/>
    <w:rsid w:val="00322D47"/>
    <w:rsid w:val="00322E26"/>
    <w:rsid w:val="00322F26"/>
    <w:rsid w:val="00322FBB"/>
    <w:rsid w:val="00322FD8"/>
    <w:rsid w:val="0032321A"/>
    <w:rsid w:val="0032344A"/>
    <w:rsid w:val="00323452"/>
    <w:rsid w:val="003234C2"/>
    <w:rsid w:val="00323565"/>
    <w:rsid w:val="003235DB"/>
    <w:rsid w:val="0032383A"/>
    <w:rsid w:val="0032383C"/>
    <w:rsid w:val="00323B23"/>
    <w:rsid w:val="00323B38"/>
    <w:rsid w:val="00323B4C"/>
    <w:rsid w:val="00323C15"/>
    <w:rsid w:val="00323CBC"/>
    <w:rsid w:val="00323EE6"/>
    <w:rsid w:val="00323F58"/>
    <w:rsid w:val="003240CF"/>
    <w:rsid w:val="003241CD"/>
    <w:rsid w:val="00324233"/>
    <w:rsid w:val="0032431E"/>
    <w:rsid w:val="00324356"/>
    <w:rsid w:val="003243CE"/>
    <w:rsid w:val="00324403"/>
    <w:rsid w:val="00324685"/>
    <w:rsid w:val="0032489C"/>
    <w:rsid w:val="00324BD6"/>
    <w:rsid w:val="00324D28"/>
    <w:rsid w:val="00324DFE"/>
    <w:rsid w:val="00324F30"/>
    <w:rsid w:val="00324FB6"/>
    <w:rsid w:val="00325023"/>
    <w:rsid w:val="00325086"/>
    <w:rsid w:val="0032511E"/>
    <w:rsid w:val="0032518D"/>
    <w:rsid w:val="003251CB"/>
    <w:rsid w:val="003252FA"/>
    <w:rsid w:val="003254B8"/>
    <w:rsid w:val="00325696"/>
    <w:rsid w:val="0032569E"/>
    <w:rsid w:val="003256B2"/>
    <w:rsid w:val="0032574F"/>
    <w:rsid w:val="003259A6"/>
    <w:rsid w:val="00325A3D"/>
    <w:rsid w:val="00325A51"/>
    <w:rsid w:val="00325ACE"/>
    <w:rsid w:val="00325B4E"/>
    <w:rsid w:val="00325BCA"/>
    <w:rsid w:val="00325C86"/>
    <w:rsid w:val="00325D1E"/>
    <w:rsid w:val="00325E9D"/>
    <w:rsid w:val="00325F86"/>
    <w:rsid w:val="00325FA9"/>
    <w:rsid w:val="00325FC8"/>
    <w:rsid w:val="0032608C"/>
    <w:rsid w:val="00326149"/>
    <w:rsid w:val="00326440"/>
    <w:rsid w:val="003265A6"/>
    <w:rsid w:val="003265DE"/>
    <w:rsid w:val="00326677"/>
    <w:rsid w:val="0032674A"/>
    <w:rsid w:val="00326A3E"/>
    <w:rsid w:val="00326ABC"/>
    <w:rsid w:val="00326C43"/>
    <w:rsid w:val="00326CDA"/>
    <w:rsid w:val="00326D6A"/>
    <w:rsid w:val="00326D7D"/>
    <w:rsid w:val="00326FB6"/>
    <w:rsid w:val="00327158"/>
    <w:rsid w:val="00327195"/>
    <w:rsid w:val="0032722F"/>
    <w:rsid w:val="0032733A"/>
    <w:rsid w:val="0032738F"/>
    <w:rsid w:val="003273B2"/>
    <w:rsid w:val="0032751F"/>
    <w:rsid w:val="003275E8"/>
    <w:rsid w:val="003275EC"/>
    <w:rsid w:val="00327662"/>
    <w:rsid w:val="00327704"/>
    <w:rsid w:val="00327772"/>
    <w:rsid w:val="003278FC"/>
    <w:rsid w:val="00327963"/>
    <w:rsid w:val="00327A21"/>
    <w:rsid w:val="00327A93"/>
    <w:rsid w:val="00327B48"/>
    <w:rsid w:val="00327B7D"/>
    <w:rsid w:val="00327C41"/>
    <w:rsid w:val="00327D29"/>
    <w:rsid w:val="00327D80"/>
    <w:rsid w:val="00327DE6"/>
    <w:rsid w:val="00327DF8"/>
    <w:rsid w:val="0033017D"/>
    <w:rsid w:val="0033028E"/>
    <w:rsid w:val="00330307"/>
    <w:rsid w:val="00330349"/>
    <w:rsid w:val="003303B2"/>
    <w:rsid w:val="003304DA"/>
    <w:rsid w:val="003304EF"/>
    <w:rsid w:val="003307C3"/>
    <w:rsid w:val="0033088F"/>
    <w:rsid w:val="00330A57"/>
    <w:rsid w:val="00330BDB"/>
    <w:rsid w:val="00330CA8"/>
    <w:rsid w:val="00330CB9"/>
    <w:rsid w:val="00330D0F"/>
    <w:rsid w:val="00330D75"/>
    <w:rsid w:val="00330D95"/>
    <w:rsid w:val="00330E59"/>
    <w:rsid w:val="00330FE6"/>
    <w:rsid w:val="00331049"/>
    <w:rsid w:val="003310D9"/>
    <w:rsid w:val="00331137"/>
    <w:rsid w:val="003311B2"/>
    <w:rsid w:val="003312C6"/>
    <w:rsid w:val="003313FD"/>
    <w:rsid w:val="003315E0"/>
    <w:rsid w:val="00331700"/>
    <w:rsid w:val="00331735"/>
    <w:rsid w:val="003317D2"/>
    <w:rsid w:val="003318E0"/>
    <w:rsid w:val="00331A34"/>
    <w:rsid w:val="00331A64"/>
    <w:rsid w:val="00331B88"/>
    <w:rsid w:val="00331BA1"/>
    <w:rsid w:val="00331BAB"/>
    <w:rsid w:val="00331BE9"/>
    <w:rsid w:val="00331D2A"/>
    <w:rsid w:val="00331D3F"/>
    <w:rsid w:val="00331E2F"/>
    <w:rsid w:val="00331EAD"/>
    <w:rsid w:val="00331F44"/>
    <w:rsid w:val="00331F9E"/>
    <w:rsid w:val="00331FA7"/>
    <w:rsid w:val="00331FEC"/>
    <w:rsid w:val="00332145"/>
    <w:rsid w:val="003321FD"/>
    <w:rsid w:val="0033220C"/>
    <w:rsid w:val="003322F4"/>
    <w:rsid w:val="00332367"/>
    <w:rsid w:val="003324F7"/>
    <w:rsid w:val="0033254C"/>
    <w:rsid w:val="003325DE"/>
    <w:rsid w:val="003326C1"/>
    <w:rsid w:val="00332765"/>
    <w:rsid w:val="0033277C"/>
    <w:rsid w:val="00332880"/>
    <w:rsid w:val="00332984"/>
    <w:rsid w:val="00332995"/>
    <w:rsid w:val="00332AAD"/>
    <w:rsid w:val="00332B62"/>
    <w:rsid w:val="00332BD9"/>
    <w:rsid w:val="00332CCB"/>
    <w:rsid w:val="00332CED"/>
    <w:rsid w:val="00332D27"/>
    <w:rsid w:val="00332D91"/>
    <w:rsid w:val="00332DCA"/>
    <w:rsid w:val="00332F7A"/>
    <w:rsid w:val="00333003"/>
    <w:rsid w:val="00333049"/>
    <w:rsid w:val="00333065"/>
    <w:rsid w:val="003333FB"/>
    <w:rsid w:val="00333423"/>
    <w:rsid w:val="0033344D"/>
    <w:rsid w:val="003334DC"/>
    <w:rsid w:val="0033350A"/>
    <w:rsid w:val="003335BD"/>
    <w:rsid w:val="0033366A"/>
    <w:rsid w:val="003336C7"/>
    <w:rsid w:val="00333701"/>
    <w:rsid w:val="0033374E"/>
    <w:rsid w:val="00333792"/>
    <w:rsid w:val="003337CE"/>
    <w:rsid w:val="00333836"/>
    <w:rsid w:val="00333A70"/>
    <w:rsid w:val="00333BC3"/>
    <w:rsid w:val="00333C72"/>
    <w:rsid w:val="00333CDF"/>
    <w:rsid w:val="00333D59"/>
    <w:rsid w:val="00333E1D"/>
    <w:rsid w:val="00333EDE"/>
    <w:rsid w:val="00333FE6"/>
    <w:rsid w:val="0033409E"/>
    <w:rsid w:val="00334258"/>
    <w:rsid w:val="003342B6"/>
    <w:rsid w:val="00334415"/>
    <w:rsid w:val="00334484"/>
    <w:rsid w:val="0033453F"/>
    <w:rsid w:val="003346EF"/>
    <w:rsid w:val="003347A2"/>
    <w:rsid w:val="003347E5"/>
    <w:rsid w:val="00334831"/>
    <w:rsid w:val="0033488D"/>
    <w:rsid w:val="00334A89"/>
    <w:rsid w:val="00334A9C"/>
    <w:rsid w:val="00334C9F"/>
    <w:rsid w:val="00334DB0"/>
    <w:rsid w:val="00334E64"/>
    <w:rsid w:val="00334F9C"/>
    <w:rsid w:val="00335046"/>
    <w:rsid w:val="00335058"/>
    <w:rsid w:val="003350BD"/>
    <w:rsid w:val="00335206"/>
    <w:rsid w:val="0033527B"/>
    <w:rsid w:val="00335371"/>
    <w:rsid w:val="003354E7"/>
    <w:rsid w:val="0033550A"/>
    <w:rsid w:val="003355C4"/>
    <w:rsid w:val="003355F2"/>
    <w:rsid w:val="00335616"/>
    <w:rsid w:val="00335828"/>
    <w:rsid w:val="003358D7"/>
    <w:rsid w:val="00335AFC"/>
    <w:rsid w:val="00335B6C"/>
    <w:rsid w:val="00335B91"/>
    <w:rsid w:val="00335BEF"/>
    <w:rsid w:val="00335D6D"/>
    <w:rsid w:val="00335E85"/>
    <w:rsid w:val="00335ED2"/>
    <w:rsid w:val="00335FB9"/>
    <w:rsid w:val="00335FFF"/>
    <w:rsid w:val="0033606C"/>
    <w:rsid w:val="0033615A"/>
    <w:rsid w:val="003362A1"/>
    <w:rsid w:val="003363F5"/>
    <w:rsid w:val="00336467"/>
    <w:rsid w:val="00336498"/>
    <w:rsid w:val="003364FC"/>
    <w:rsid w:val="00336565"/>
    <w:rsid w:val="003366AE"/>
    <w:rsid w:val="003366F3"/>
    <w:rsid w:val="00336A25"/>
    <w:rsid w:val="00336B3E"/>
    <w:rsid w:val="00336B51"/>
    <w:rsid w:val="00336D4A"/>
    <w:rsid w:val="00336D67"/>
    <w:rsid w:val="00336F4E"/>
    <w:rsid w:val="00337064"/>
    <w:rsid w:val="003370CA"/>
    <w:rsid w:val="0033721F"/>
    <w:rsid w:val="003373E5"/>
    <w:rsid w:val="003376B0"/>
    <w:rsid w:val="0033774D"/>
    <w:rsid w:val="003377D8"/>
    <w:rsid w:val="003379AC"/>
    <w:rsid w:val="00337C35"/>
    <w:rsid w:val="00337CF3"/>
    <w:rsid w:val="00337D00"/>
    <w:rsid w:val="00337D6F"/>
    <w:rsid w:val="00337D84"/>
    <w:rsid w:val="00337D9F"/>
    <w:rsid w:val="00337DD3"/>
    <w:rsid w:val="00337F79"/>
    <w:rsid w:val="00340051"/>
    <w:rsid w:val="0034020F"/>
    <w:rsid w:val="00340227"/>
    <w:rsid w:val="003403BD"/>
    <w:rsid w:val="003404E0"/>
    <w:rsid w:val="00340583"/>
    <w:rsid w:val="003405C6"/>
    <w:rsid w:val="003406E4"/>
    <w:rsid w:val="00340849"/>
    <w:rsid w:val="003408DC"/>
    <w:rsid w:val="003408E8"/>
    <w:rsid w:val="00340A59"/>
    <w:rsid w:val="00340AC8"/>
    <w:rsid w:val="00340C32"/>
    <w:rsid w:val="00340CF2"/>
    <w:rsid w:val="00340E1B"/>
    <w:rsid w:val="00340E7B"/>
    <w:rsid w:val="00340F31"/>
    <w:rsid w:val="00340F36"/>
    <w:rsid w:val="00341016"/>
    <w:rsid w:val="0034112E"/>
    <w:rsid w:val="00341320"/>
    <w:rsid w:val="00341613"/>
    <w:rsid w:val="003416F4"/>
    <w:rsid w:val="00341CF1"/>
    <w:rsid w:val="00341DE7"/>
    <w:rsid w:val="00341E2E"/>
    <w:rsid w:val="00341F9C"/>
    <w:rsid w:val="00342016"/>
    <w:rsid w:val="00342030"/>
    <w:rsid w:val="0034208F"/>
    <w:rsid w:val="003420C0"/>
    <w:rsid w:val="003422E6"/>
    <w:rsid w:val="0034257B"/>
    <w:rsid w:val="00342643"/>
    <w:rsid w:val="00342644"/>
    <w:rsid w:val="0034269F"/>
    <w:rsid w:val="0034282F"/>
    <w:rsid w:val="0034283B"/>
    <w:rsid w:val="003428D0"/>
    <w:rsid w:val="0034296F"/>
    <w:rsid w:val="0034298E"/>
    <w:rsid w:val="00342B1E"/>
    <w:rsid w:val="00342B45"/>
    <w:rsid w:val="00342D72"/>
    <w:rsid w:val="00342D99"/>
    <w:rsid w:val="00342DD0"/>
    <w:rsid w:val="00342DD4"/>
    <w:rsid w:val="00342F32"/>
    <w:rsid w:val="00342F75"/>
    <w:rsid w:val="00342FB1"/>
    <w:rsid w:val="003430DD"/>
    <w:rsid w:val="003431B4"/>
    <w:rsid w:val="003433B2"/>
    <w:rsid w:val="00343497"/>
    <w:rsid w:val="00343641"/>
    <w:rsid w:val="00343666"/>
    <w:rsid w:val="003438F9"/>
    <w:rsid w:val="00343931"/>
    <w:rsid w:val="003439E8"/>
    <w:rsid w:val="00343A27"/>
    <w:rsid w:val="00343AB7"/>
    <w:rsid w:val="00343B22"/>
    <w:rsid w:val="00343D12"/>
    <w:rsid w:val="00343D53"/>
    <w:rsid w:val="00343D76"/>
    <w:rsid w:val="00343D7E"/>
    <w:rsid w:val="00343D7F"/>
    <w:rsid w:val="00343DD8"/>
    <w:rsid w:val="00343DD9"/>
    <w:rsid w:val="00343F1C"/>
    <w:rsid w:val="00344008"/>
    <w:rsid w:val="003441D5"/>
    <w:rsid w:val="003442C8"/>
    <w:rsid w:val="00344331"/>
    <w:rsid w:val="0034434D"/>
    <w:rsid w:val="00344384"/>
    <w:rsid w:val="003443AC"/>
    <w:rsid w:val="0034452C"/>
    <w:rsid w:val="0034455D"/>
    <w:rsid w:val="003445A9"/>
    <w:rsid w:val="003445D8"/>
    <w:rsid w:val="0034466A"/>
    <w:rsid w:val="003446E7"/>
    <w:rsid w:val="00344706"/>
    <w:rsid w:val="003447A6"/>
    <w:rsid w:val="003447C3"/>
    <w:rsid w:val="0034498F"/>
    <w:rsid w:val="003449F6"/>
    <w:rsid w:val="00344A20"/>
    <w:rsid w:val="00344A4E"/>
    <w:rsid w:val="00344A6B"/>
    <w:rsid w:val="00344C4F"/>
    <w:rsid w:val="00344C74"/>
    <w:rsid w:val="00344D2B"/>
    <w:rsid w:val="00344D99"/>
    <w:rsid w:val="00344E5D"/>
    <w:rsid w:val="00344F82"/>
    <w:rsid w:val="00344F97"/>
    <w:rsid w:val="00345159"/>
    <w:rsid w:val="0034538A"/>
    <w:rsid w:val="00345513"/>
    <w:rsid w:val="00345776"/>
    <w:rsid w:val="003457C3"/>
    <w:rsid w:val="003457D7"/>
    <w:rsid w:val="00345858"/>
    <w:rsid w:val="00345866"/>
    <w:rsid w:val="003458E0"/>
    <w:rsid w:val="003459DF"/>
    <w:rsid w:val="00345A08"/>
    <w:rsid w:val="00345A77"/>
    <w:rsid w:val="00345AC5"/>
    <w:rsid w:val="00345AE6"/>
    <w:rsid w:val="00345AEB"/>
    <w:rsid w:val="00345B10"/>
    <w:rsid w:val="00345B38"/>
    <w:rsid w:val="00345BAB"/>
    <w:rsid w:val="00345BE0"/>
    <w:rsid w:val="00345CC1"/>
    <w:rsid w:val="00345F1E"/>
    <w:rsid w:val="00345F93"/>
    <w:rsid w:val="00346045"/>
    <w:rsid w:val="003460F9"/>
    <w:rsid w:val="0034614E"/>
    <w:rsid w:val="003461D7"/>
    <w:rsid w:val="003462D3"/>
    <w:rsid w:val="003462D6"/>
    <w:rsid w:val="00346376"/>
    <w:rsid w:val="003464D0"/>
    <w:rsid w:val="0034650A"/>
    <w:rsid w:val="00346549"/>
    <w:rsid w:val="00346556"/>
    <w:rsid w:val="00346614"/>
    <w:rsid w:val="00346670"/>
    <w:rsid w:val="00346675"/>
    <w:rsid w:val="003467CB"/>
    <w:rsid w:val="00346895"/>
    <w:rsid w:val="00346B68"/>
    <w:rsid w:val="00346BA6"/>
    <w:rsid w:val="00346BFD"/>
    <w:rsid w:val="00346CCF"/>
    <w:rsid w:val="00346DA0"/>
    <w:rsid w:val="00346E09"/>
    <w:rsid w:val="00347080"/>
    <w:rsid w:val="00347229"/>
    <w:rsid w:val="0034739C"/>
    <w:rsid w:val="003474F4"/>
    <w:rsid w:val="0034762A"/>
    <w:rsid w:val="0034768C"/>
    <w:rsid w:val="003476F8"/>
    <w:rsid w:val="0034784D"/>
    <w:rsid w:val="00347883"/>
    <w:rsid w:val="00347998"/>
    <w:rsid w:val="003479C3"/>
    <w:rsid w:val="003479EC"/>
    <w:rsid w:val="00347A03"/>
    <w:rsid w:val="00347ADF"/>
    <w:rsid w:val="00347AED"/>
    <w:rsid w:val="00347B8D"/>
    <w:rsid w:val="00347CBE"/>
    <w:rsid w:val="00347CC3"/>
    <w:rsid w:val="00347D02"/>
    <w:rsid w:val="00347D06"/>
    <w:rsid w:val="00347DC7"/>
    <w:rsid w:val="00347E91"/>
    <w:rsid w:val="00350138"/>
    <w:rsid w:val="0035027D"/>
    <w:rsid w:val="0035029D"/>
    <w:rsid w:val="00350335"/>
    <w:rsid w:val="0035036D"/>
    <w:rsid w:val="0035039A"/>
    <w:rsid w:val="0035046D"/>
    <w:rsid w:val="00350588"/>
    <w:rsid w:val="0035059F"/>
    <w:rsid w:val="003505C7"/>
    <w:rsid w:val="003505CE"/>
    <w:rsid w:val="0035060E"/>
    <w:rsid w:val="00350733"/>
    <w:rsid w:val="00350798"/>
    <w:rsid w:val="003508F2"/>
    <w:rsid w:val="00350A10"/>
    <w:rsid w:val="00350AF5"/>
    <w:rsid w:val="00350B0F"/>
    <w:rsid w:val="00350B3B"/>
    <w:rsid w:val="00350B9C"/>
    <w:rsid w:val="00350EAE"/>
    <w:rsid w:val="00350EE7"/>
    <w:rsid w:val="00351058"/>
    <w:rsid w:val="0035160D"/>
    <w:rsid w:val="00351632"/>
    <w:rsid w:val="0035168A"/>
    <w:rsid w:val="003516A1"/>
    <w:rsid w:val="0035179C"/>
    <w:rsid w:val="003517DF"/>
    <w:rsid w:val="003517E6"/>
    <w:rsid w:val="003517F7"/>
    <w:rsid w:val="00351810"/>
    <w:rsid w:val="00351877"/>
    <w:rsid w:val="00351A0A"/>
    <w:rsid w:val="00351AF1"/>
    <w:rsid w:val="00351C73"/>
    <w:rsid w:val="00351D65"/>
    <w:rsid w:val="00351D78"/>
    <w:rsid w:val="00351E01"/>
    <w:rsid w:val="00351E11"/>
    <w:rsid w:val="00351EBB"/>
    <w:rsid w:val="00351F78"/>
    <w:rsid w:val="00351FD9"/>
    <w:rsid w:val="00352065"/>
    <w:rsid w:val="00352173"/>
    <w:rsid w:val="003521A5"/>
    <w:rsid w:val="003521C9"/>
    <w:rsid w:val="0035238E"/>
    <w:rsid w:val="003525FF"/>
    <w:rsid w:val="00352686"/>
    <w:rsid w:val="0035295D"/>
    <w:rsid w:val="003529CA"/>
    <w:rsid w:val="00352A41"/>
    <w:rsid w:val="00352B4B"/>
    <w:rsid w:val="00352BB3"/>
    <w:rsid w:val="00352D28"/>
    <w:rsid w:val="00352DA9"/>
    <w:rsid w:val="00352DDC"/>
    <w:rsid w:val="00352DEA"/>
    <w:rsid w:val="003530AD"/>
    <w:rsid w:val="003530E3"/>
    <w:rsid w:val="00353244"/>
    <w:rsid w:val="00353248"/>
    <w:rsid w:val="00353410"/>
    <w:rsid w:val="0035349E"/>
    <w:rsid w:val="003534D7"/>
    <w:rsid w:val="003535C7"/>
    <w:rsid w:val="003537E2"/>
    <w:rsid w:val="00353859"/>
    <w:rsid w:val="00353884"/>
    <w:rsid w:val="003538AA"/>
    <w:rsid w:val="003539F6"/>
    <w:rsid w:val="003539F7"/>
    <w:rsid w:val="00353A1F"/>
    <w:rsid w:val="00353A7B"/>
    <w:rsid w:val="00353BB1"/>
    <w:rsid w:val="00353C15"/>
    <w:rsid w:val="00353C8F"/>
    <w:rsid w:val="00353F01"/>
    <w:rsid w:val="00353F2E"/>
    <w:rsid w:val="00353F88"/>
    <w:rsid w:val="00353FF8"/>
    <w:rsid w:val="00354142"/>
    <w:rsid w:val="00354201"/>
    <w:rsid w:val="00354263"/>
    <w:rsid w:val="003543C4"/>
    <w:rsid w:val="00354488"/>
    <w:rsid w:val="003544C9"/>
    <w:rsid w:val="00354546"/>
    <w:rsid w:val="003545BA"/>
    <w:rsid w:val="00354681"/>
    <w:rsid w:val="003546C0"/>
    <w:rsid w:val="0035477A"/>
    <w:rsid w:val="00354791"/>
    <w:rsid w:val="0035482D"/>
    <w:rsid w:val="0035487F"/>
    <w:rsid w:val="003548A0"/>
    <w:rsid w:val="003548BF"/>
    <w:rsid w:val="00354B11"/>
    <w:rsid w:val="00354BD2"/>
    <w:rsid w:val="00354C82"/>
    <w:rsid w:val="00354E55"/>
    <w:rsid w:val="00355146"/>
    <w:rsid w:val="00355232"/>
    <w:rsid w:val="00355262"/>
    <w:rsid w:val="00355265"/>
    <w:rsid w:val="0035529D"/>
    <w:rsid w:val="003552F4"/>
    <w:rsid w:val="00355349"/>
    <w:rsid w:val="003553BA"/>
    <w:rsid w:val="003554CE"/>
    <w:rsid w:val="003555CD"/>
    <w:rsid w:val="0035563F"/>
    <w:rsid w:val="00355977"/>
    <w:rsid w:val="003559BB"/>
    <w:rsid w:val="00355A60"/>
    <w:rsid w:val="00355C9B"/>
    <w:rsid w:val="00355E6C"/>
    <w:rsid w:val="00355EFE"/>
    <w:rsid w:val="00355FBC"/>
    <w:rsid w:val="00355FC4"/>
    <w:rsid w:val="0035608B"/>
    <w:rsid w:val="0035614B"/>
    <w:rsid w:val="003562EB"/>
    <w:rsid w:val="0035630E"/>
    <w:rsid w:val="00356391"/>
    <w:rsid w:val="003563CE"/>
    <w:rsid w:val="003564A9"/>
    <w:rsid w:val="003564AF"/>
    <w:rsid w:val="0035658D"/>
    <w:rsid w:val="003565C4"/>
    <w:rsid w:val="0035663A"/>
    <w:rsid w:val="00356677"/>
    <w:rsid w:val="0035683F"/>
    <w:rsid w:val="003568C5"/>
    <w:rsid w:val="00356924"/>
    <w:rsid w:val="0035692D"/>
    <w:rsid w:val="00356AB0"/>
    <w:rsid w:val="00356C69"/>
    <w:rsid w:val="00356E39"/>
    <w:rsid w:val="00356EC8"/>
    <w:rsid w:val="00356F12"/>
    <w:rsid w:val="003572C3"/>
    <w:rsid w:val="00357364"/>
    <w:rsid w:val="0035750E"/>
    <w:rsid w:val="0035753D"/>
    <w:rsid w:val="00357642"/>
    <w:rsid w:val="0035779E"/>
    <w:rsid w:val="003577AD"/>
    <w:rsid w:val="00357860"/>
    <w:rsid w:val="00357877"/>
    <w:rsid w:val="00357902"/>
    <w:rsid w:val="003579E5"/>
    <w:rsid w:val="00357C7D"/>
    <w:rsid w:val="00357D7B"/>
    <w:rsid w:val="00357DC9"/>
    <w:rsid w:val="00357DDA"/>
    <w:rsid w:val="00357DDB"/>
    <w:rsid w:val="00357E2C"/>
    <w:rsid w:val="00357F19"/>
    <w:rsid w:val="00360009"/>
    <w:rsid w:val="00360011"/>
    <w:rsid w:val="0036014F"/>
    <w:rsid w:val="00360164"/>
    <w:rsid w:val="0036031B"/>
    <w:rsid w:val="00360402"/>
    <w:rsid w:val="00360414"/>
    <w:rsid w:val="003604A6"/>
    <w:rsid w:val="00360511"/>
    <w:rsid w:val="00360565"/>
    <w:rsid w:val="00360569"/>
    <w:rsid w:val="0036058D"/>
    <w:rsid w:val="00360705"/>
    <w:rsid w:val="0036070E"/>
    <w:rsid w:val="0036089A"/>
    <w:rsid w:val="00360A6C"/>
    <w:rsid w:val="00360B05"/>
    <w:rsid w:val="00360B7A"/>
    <w:rsid w:val="00360C08"/>
    <w:rsid w:val="00360E3F"/>
    <w:rsid w:val="00360F84"/>
    <w:rsid w:val="00360FDB"/>
    <w:rsid w:val="00361019"/>
    <w:rsid w:val="003611A0"/>
    <w:rsid w:val="003611B5"/>
    <w:rsid w:val="003612C4"/>
    <w:rsid w:val="003612E1"/>
    <w:rsid w:val="003612F4"/>
    <w:rsid w:val="0036137B"/>
    <w:rsid w:val="003613DB"/>
    <w:rsid w:val="0036162F"/>
    <w:rsid w:val="003616D2"/>
    <w:rsid w:val="003617A6"/>
    <w:rsid w:val="003617B4"/>
    <w:rsid w:val="00361814"/>
    <w:rsid w:val="00361926"/>
    <w:rsid w:val="00361996"/>
    <w:rsid w:val="00361B30"/>
    <w:rsid w:val="00361BA5"/>
    <w:rsid w:val="00361CEB"/>
    <w:rsid w:val="00362017"/>
    <w:rsid w:val="00362077"/>
    <w:rsid w:val="0036216E"/>
    <w:rsid w:val="00362239"/>
    <w:rsid w:val="00362265"/>
    <w:rsid w:val="003622F8"/>
    <w:rsid w:val="00362427"/>
    <w:rsid w:val="003624B7"/>
    <w:rsid w:val="003625A5"/>
    <w:rsid w:val="0036265D"/>
    <w:rsid w:val="00362704"/>
    <w:rsid w:val="00362707"/>
    <w:rsid w:val="0036287E"/>
    <w:rsid w:val="003628FF"/>
    <w:rsid w:val="00362901"/>
    <w:rsid w:val="00362981"/>
    <w:rsid w:val="00362983"/>
    <w:rsid w:val="00362B27"/>
    <w:rsid w:val="00362C7C"/>
    <w:rsid w:val="00362CF7"/>
    <w:rsid w:val="0036303B"/>
    <w:rsid w:val="00363060"/>
    <w:rsid w:val="003630B8"/>
    <w:rsid w:val="003630E0"/>
    <w:rsid w:val="003630F8"/>
    <w:rsid w:val="003632BD"/>
    <w:rsid w:val="003633FF"/>
    <w:rsid w:val="00363468"/>
    <w:rsid w:val="00363753"/>
    <w:rsid w:val="0036389A"/>
    <w:rsid w:val="003638B5"/>
    <w:rsid w:val="00363A3F"/>
    <w:rsid w:val="00363AE6"/>
    <w:rsid w:val="00363BB1"/>
    <w:rsid w:val="00363BE2"/>
    <w:rsid w:val="00363C13"/>
    <w:rsid w:val="00363CFC"/>
    <w:rsid w:val="00363D77"/>
    <w:rsid w:val="00363D9E"/>
    <w:rsid w:val="00363E20"/>
    <w:rsid w:val="00363E38"/>
    <w:rsid w:val="00363EBC"/>
    <w:rsid w:val="00363EF7"/>
    <w:rsid w:val="00363F00"/>
    <w:rsid w:val="003641BE"/>
    <w:rsid w:val="003642CD"/>
    <w:rsid w:val="003642D7"/>
    <w:rsid w:val="003645D4"/>
    <w:rsid w:val="00364675"/>
    <w:rsid w:val="003646CA"/>
    <w:rsid w:val="0036470E"/>
    <w:rsid w:val="00364869"/>
    <w:rsid w:val="003649C6"/>
    <w:rsid w:val="00364A98"/>
    <w:rsid w:val="00364B35"/>
    <w:rsid w:val="00364CE5"/>
    <w:rsid w:val="00364D5D"/>
    <w:rsid w:val="00364E4A"/>
    <w:rsid w:val="00364E70"/>
    <w:rsid w:val="00364E80"/>
    <w:rsid w:val="00364EF9"/>
    <w:rsid w:val="00364F1D"/>
    <w:rsid w:val="00365071"/>
    <w:rsid w:val="00365098"/>
    <w:rsid w:val="003651FE"/>
    <w:rsid w:val="0036521C"/>
    <w:rsid w:val="003653C6"/>
    <w:rsid w:val="003653DD"/>
    <w:rsid w:val="0036549D"/>
    <w:rsid w:val="0036549E"/>
    <w:rsid w:val="0036550E"/>
    <w:rsid w:val="003656B7"/>
    <w:rsid w:val="00365826"/>
    <w:rsid w:val="00365868"/>
    <w:rsid w:val="00365986"/>
    <w:rsid w:val="00365ABC"/>
    <w:rsid w:val="00365BF6"/>
    <w:rsid w:val="00365C32"/>
    <w:rsid w:val="00365C37"/>
    <w:rsid w:val="00365C55"/>
    <w:rsid w:val="00365CB5"/>
    <w:rsid w:val="00365CBD"/>
    <w:rsid w:val="00365E34"/>
    <w:rsid w:val="00365E9A"/>
    <w:rsid w:val="00365F71"/>
    <w:rsid w:val="00365F87"/>
    <w:rsid w:val="00366101"/>
    <w:rsid w:val="00366210"/>
    <w:rsid w:val="00366396"/>
    <w:rsid w:val="0036649F"/>
    <w:rsid w:val="003665BD"/>
    <w:rsid w:val="003665F4"/>
    <w:rsid w:val="003669D1"/>
    <w:rsid w:val="00366A1A"/>
    <w:rsid w:val="00366A21"/>
    <w:rsid w:val="00366B2E"/>
    <w:rsid w:val="00366BE8"/>
    <w:rsid w:val="00366C02"/>
    <w:rsid w:val="00366C13"/>
    <w:rsid w:val="00366D13"/>
    <w:rsid w:val="00366D29"/>
    <w:rsid w:val="00366F87"/>
    <w:rsid w:val="00366F9F"/>
    <w:rsid w:val="00366FAF"/>
    <w:rsid w:val="00367004"/>
    <w:rsid w:val="0036705E"/>
    <w:rsid w:val="00367060"/>
    <w:rsid w:val="00367184"/>
    <w:rsid w:val="00367273"/>
    <w:rsid w:val="003672DD"/>
    <w:rsid w:val="00367302"/>
    <w:rsid w:val="00367378"/>
    <w:rsid w:val="00367414"/>
    <w:rsid w:val="003675AB"/>
    <w:rsid w:val="00367794"/>
    <w:rsid w:val="003677CB"/>
    <w:rsid w:val="00367905"/>
    <w:rsid w:val="00367965"/>
    <w:rsid w:val="00367A68"/>
    <w:rsid w:val="00367C06"/>
    <w:rsid w:val="00367C40"/>
    <w:rsid w:val="00367C7C"/>
    <w:rsid w:val="00367C8C"/>
    <w:rsid w:val="00367D26"/>
    <w:rsid w:val="00367E32"/>
    <w:rsid w:val="0037005C"/>
    <w:rsid w:val="003700B9"/>
    <w:rsid w:val="003700DE"/>
    <w:rsid w:val="0037011A"/>
    <w:rsid w:val="00370449"/>
    <w:rsid w:val="0037056A"/>
    <w:rsid w:val="003707E0"/>
    <w:rsid w:val="00370944"/>
    <w:rsid w:val="0037095F"/>
    <w:rsid w:val="00370A34"/>
    <w:rsid w:val="00370A60"/>
    <w:rsid w:val="00370B04"/>
    <w:rsid w:val="00370B29"/>
    <w:rsid w:val="00370E0E"/>
    <w:rsid w:val="00370E25"/>
    <w:rsid w:val="00370F1D"/>
    <w:rsid w:val="00370F49"/>
    <w:rsid w:val="0037101A"/>
    <w:rsid w:val="00371026"/>
    <w:rsid w:val="00371085"/>
    <w:rsid w:val="0037115E"/>
    <w:rsid w:val="003713F6"/>
    <w:rsid w:val="00371A7B"/>
    <w:rsid w:val="00371AC7"/>
    <w:rsid w:val="00371AFE"/>
    <w:rsid w:val="00371B7D"/>
    <w:rsid w:val="00371BA3"/>
    <w:rsid w:val="00371BF8"/>
    <w:rsid w:val="00371CCB"/>
    <w:rsid w:val="00371CDB"/>
    <w:rsid w:val="00371E19"/>
    <w:rsid w:val="00371E35"/>
    <w:rsid w:val="00371F8E"/>
    <w:rsid w:val="00371FCC"/>
    <w:rsid w:val="00372106"/>
    <w:rsid w:val="003721FD"/>
    <w:rsid w:val="0037224F"/>
    <w:rsid w:val="00372259"/>
    <w:rsid w:val="00372333"/>
    <w:rsid w:val="0037237B"/>
    <w:rsid w:val="0037243A"/>
    <w:rsid w:val="0037245F"/>
    <w:rsid w:val="003724C6"/>
    <w:rsid w:val="003724FE"/>
    <w:rsid w:val="00372664"/>
    <w:rsid w:val="00372829"/>
    <w:rsid w:val="00372A68"/>
    <w:rsid w:val="00372AC0"/>
    <w:rsid w:val="00372E4D"/>
    <w:rsid w:val="00372E84"/>
    <w:rsid w:val="00372E99"/>
    <w:rsid w:val="00372F91"/>
    <w:rsid w:val="0037302B"/>
    <w:rsid w:val="0037311D"/>
    <w:rsid w:val="003732D4"/>
    <w:rsid w:val="00373450"/>
    <w:rsid w:val="003734A1"/>
    <w:rsid w:val="0037356E"/>
    <w:rsid w:val="00373636"/>
    <w:rsid w:val="0037363E"/>
    <w:rsid w:val="003738A1"/>
    <w:rsid w:val="00373961"/>
    <w:rsid w:val="003739F0"/>
    <w:rsid w:val="00373A14"/>
    <w:rsid w:val="00373A28"/>
    <w:rsid w:val="00373A9D"/>
    <w:rsid w:val="00373D7A"/>
    <w:rsid w:val="00373DB3"/>
    <w:rsid w:val="00373E79"/>
    <w:rsid w:val="00373F5A"/>
    <w:rsid w:val="00373FA6"/>
    <w:rsid w:val="00374213"/>
    <w:rsid w:val="00374441"/>
    <w:rsid w:val="0037447C"/>
    <w:rsid w:val="003744B4"/>
    <w:rsid w:val="00374562"/>
    <w:rsid w:val="003745AD"/>
    <w:rsid w:val="003746AA"/>
    <w:rsid w:val="003746E5"/>
    <w:rsid w:val="003747E2"/>
    <w:rsid w:val="00374982"/>
    <w:rsid w:val="003749D4"/>
    <w:rsid w:val="00374C0F"/>
    <w:rsid w:val="00374C72"/>
    <w:rsid w:val="00374CF7"/>
    <w:rsid w:val="00374DB2"/>
    <w:rsid w:val="00374DF8"/>
    <w:rsid w:val="00374E20"/>
    <w:rsid w:val="00374E21"/>
    <w:rsid w:val="00374EE7"/>
    <w:rsid w:val="00374FA7"/>
    <w:rsid w:val="00374FB7"/>
    <w:rsid w:val="00375213"/>
    <w:rsid w:val="00375220"/>
    <w:rsid w:val="0037545A"/>
    <w:rsid w:val="00375555"/>
    <w:rsid w:val="00375597"/>
    <w:rsid w:val="003755BD"/>
    <w:rsid w:val="0037588D"/>
    <w:rsid w:val="003758B9"/>
    <w:rsid w:val="003758CB"/>
    <w:rsid w:val="00375CB8"/>
    <w:rsid w:val="00375CED"/>
    <w:rsid w:val="00375D6E"/>
    <w:rsid w:val="00375DE1"/>
    <w:rsid w:val="00375E62"/>
    <w:rsid w:val="00375FA9"/>
    <w:rsid w:val="00375FB9"/>
    <w:rsid w:val="00375FD5"/>
    <w:rsid w:val="0037601A"/>
    <w:rsid w:val="0037604E"/>
    <w:rsid w:val="003760F7"/>
    <w:rsid w:val="0037615B"/>
    <w:rsid w:val="003761AC"/>
    <w:rsid w:val="00376217"/>
    <w:rsid w:val="0037624F"/>
    <w:rsid w:val="00376292"/>
    <w:rsid w:val="003763CA"/>
    <w:rsid w:val="003763E7"/>
    <w:rsid w:val="00376529"/>
    <w:rsid w:val="00376531"/>
    <w:rsid w:val="00376533"/>
    <w:rsid w:val="00376536"/>
    <w:rsid w:val="00376571"/>
    <w:rsid w:val="003767C4"/>
    <w:rsid w:val="00376AC2"/>
    <w:rsid w:val="00376CAB"/>
    <w:rsid w:val="00376F29"/>
    <w:rsid w:val="00376F42"/>
    <w:rsid w:val="00377009"/>
    <w:rsid w:val="00377020"/>
    <w:rsid w:val="0037702B"/>
    <w:rsid w:val="0037726A"/>
    <w:rsid w:val="003772FD"/>
    <w:rsid w:val="0037746B"/>
    <w:rsid w:val="0037748B"/>
    <w:rsid w:val="003774D0"/>
    <w:rsid w:val="003775AC"/>
    <w:rsid w:val="00377613"/>
    <w:rsid w:val="00377641"/>
    <w:rsid w:val="00377688"/>
    <w:rsid w:val="003776E8"/>
    <w:rsid w:val="0037775C"/>
    <w:rsid w:val="00377948"/>
    <w:rsid w:val="0037796C"/>
    <w:rsid w:val="003779E7"/>
    <w:rsid w:val="00377A6D"/>
    <w:rsid w:val="00377A70"/>
    <w:rsid w:val="00377A9C"/>
    <w:rsid w:val="00377BA9"/>
    <w:rsid w:val="00377CBA"/>
    <w:rsid w:val="00377E5E"/>
    <w:rsid w:val="00377ED3"/>
    <w:rsid w:val="00377F5B"/>
    <w:rsid w:val="00377FA3"/>
    <w:rsid w:val="003800B4"/>
    <w:rsid w:val="00380116"/>
    <w:rsid w:val="00380151"/>
    <w:rsid w:val="0038034A"/>
    <w:rsid w:val="00380353"/>
    <w:rsid w:val="0038037A"/>
    <w:rsid w:val="00380461"/>
    <w:rsid w:val="003804AC"/>
    <w:rsid w:val="003804CB"/>
    <w:rsid w:val="003805EA"/>
    <w:rsid w:val="00380672"/>
    <w:rsid w:val="003806C0"/>
    <w:rsid w:val="003806CD"/>
    <w:rsid w:val="003806EE"/>
    <w:rsid w:val="00380754"/>
    <w:rsid w:val="00380808"/>
    <w:rsid w:val="00380886"/>
    <w:rsid w:val="003808C7"/>
    <w:rsid w:val="00380A8D"/>
    <w:rsid w:val="00380A8F"/>
    <w:rsid w:val="00380AC9"/>
    <w:rsid w:val="00380AD9"/>
    <w:rsid w:val="00380D5C"/>
    <w:rsid w:val="00380FC1"/>
    <w:rsid w:val="0038101E"/>
    <w:rsid w:val="00381035"/>
    <w:rsid w:val="00381063"/>
    <w:rsid w:val="00381078"/>
    <w:rsid w:val="0038121F"/>
    <w:rsid w:val="0038122D"/>
    <w:rsid w:val="003812E0"/>
    <w:rsid w:val="003814B5"/>
    <w:rsid w:val="00381606"/>
    <w:rsid w:val="0038187B"/>
    <w:rsid w:val="00381894"/>
    <w:rsid w:val="00381A50"/>
    <w:rsid w:val="00381A76"/>
    <w:rsid w:val="00381C86"/>
    <w:rsid w:val="00381D4A"/>
    <w:rsid w:val="00381DC5"/>
    <w:rsid w:val="00381E7A"/>
    <w:rsid w:val="00381F9C"/>
    <w:rsid w:val="00382026"/>
    <w:rsid w:val="00382071"/>
    <w:rsid w:val="00382093"/>
    <w:rsid w:val="0038224E"/>
    <w:rsid w:val="0038225E"/>
    <w:rsid w:val="0038229E"/>
    <w:rsid w:val="00382328"/>
    <w:rsid w:val="00382385"/>
    <w:rsid w:val="003823C4"/>
    <w:rsid w:val="00382514"/>
    <w:rsid w:val="00382554"/>
    <w:rsid w:val="00382682"/>
    <w:rsid w:val="00382729"/>
    <w:rsid w:val="003827CF"/>
    <w:rsid w:val="00382839"/>
    <w:rsid w:val="00382856"/>
    <w:rsid w:val="0038287A"/>
    <w:rsid w:val="0038289E"/>
    <w:rsid w:val="003828B1"/>
    <w:rsid w:val="00382961"/>
    <w:rsid w:val="00382A9A"/>
    <w:rsid w:val="00382AD4"/>
    <w:rsid w:val="00382B7B"/>
    <w:rsid w:val="00382C3F"/>
    <w:rsid w:val="00382CE4"/>
    <w:rsid w:val="00382DC0"/>
    <w:rsid w:val="00382E8A"/>
    <w:rsid w:val="00382F46"/>
    <w:rsid w:val="00382F4F"/>
    <w:rsid w:val="00382F9C"/>
    <w:rsid w:val="00382FB0"/>
    <w:rsid w:val="003830A2"/>
    <w:rsid w:val="003832F5"/>
    <w:rsid w:val="0038347D"/>
    <w:rsid w:val="003834E2"/>
    <w:rsid w:val="003835CE"/>
    <w:rsid w:val="0038375F"/>
    <w:rsid w:val="00383793"/>
    <w:rsid w:val="003837A7"/>
    <w:rsid w:val="00383809"/>
    <w:rsid w:val="00383892"/>
    <w:rsid w:val="00383908"/>
    <w:rsid w:val="0038392F"/>
    <w:rsid w:val="0038395B"/>
    <w:rsid w:val="003839C3"/>
    <w:rsid w:val="003839E3"/>
    <w:rsid w:val="003839EA"/>
    <w:rsid w:val="003839F7"/>
    <w:rsid w:val="00383B7D"/>
    <w:rsid w:val="00383E7F"/>
    <w:rsid w:val="00383F76"/>
    <w:rsid w:val="00383FD9"/>
    <w:rsid w:val="00384210"/>
    <w:rsid w:val="00384389"/>
    <w:rsid w:val="00384413"/>
    <w:rsid w:val="003845B1"/>
    <w:rsid w:val="00384686"/>
    <w:rsid w:val="0038477C"/>
    <w:rsid w:val="00384A63"/>
    <w:rsid w:val="00384C00"/>
    <w:rsid w:val="00384C2C"/>
    <w:rsid w:val="00384C87"/>
    <w:rsid w:val="00384CAD"/>
    <w:rsid w:val="00384CD9"/>
    <w:rsid w:val="00384E1F"/>
    <w:rsid w:val="00384F00"/>
    <w:rsid w:val="00384F2C"/>
    <w:rsid w:val="00384F52"/>
    <w:rsid w:val="00385010"/>
    <w:rsid w:val="00385040"/>
    <w:rsid w:val="0038506D"/>
    <w:rsid w:val="003851F3"/>
    <w:rsid w:val="003852DD"/>
    <w:rsid w:val="00385315"/>
    <w:rsid w:val="00385388"/>
    <w:rsid w:val="003853AF"/>
    <w:rsid w:val="0038556E"/>
    <w:rsid w:val="003856E7"/>
    <w:rsid w:val="003857EC"/>
    <w:rsid w:val="003857FA"/>
    <w:rsid w:val="00385852"/>
    <w:rsid w:val="00385891"/>
    <w:rsid w:val="003858C8"/>
    <w:rsid w:val="003858EA"/>
    <w:rsid w:val="00385960"/>
    <w:rsid w:val="00385AD8"/>
    <w:rsid w:val="00385AFF"/>
    <w:rsid w:val="00385BE6"/>
    <w:rsid w:val="00385C2D"/>
    <w:rsid w:val="00385C33"/>
    <w:rsid w:val="00385C5C"/>
    <w:rsid w:val="0038604F"/>
    <w:rsid w:val="00386245"/>
    <w:rsid w:val="00386337"/>
    <w:rsid w:val="003864A8"/>
    <w:rsid w:val="003864E5"/>
    <w:rsid w:val="00386540"/>
    <w:rsid w:val="003865F4"/>
    <w:rsid w:val="003866C7"/>
    <w:rsid w:val="003866EF"/>
    <w:rsid w:val="0038678C"/>
    <w:rsid w:val="003867A6"/>
    <w:rsid w:val="003867DC"/>
    <w:rsid w:val="003868A5"/>
    <w:rsid w:val="00386910"/>
    <w:rsid w:val="003869FF"/>
    <w:rsid w:val="00386A30"/>
    <w:rsid w:val="00386AD4"/>
    <w:rsid w:val="00386B54"/>
    <w:rsid w:val="00386B74"/>
    <w:rsid w:val="00386BC0"/>
    <w:rsid w:val="00386C4A"/>
    <w:rsid w:val="00386C6B"/>
    <w:rsid w:val="00386EFF"/>
    <w:rsid w:val="00386F37"/>
    <w:rsid w:val="00386F4C"/>
    <w:rsid w:val="00386F55"/>
    <w:rsid w:val="00386FB3"/>
    <w:rsid w:val="00386FDC"/>
    <w:rsid w:val="0038704C"/>
    <w:rsid w:val="0038717E"/>
    <w:rsid w:val="00387206"/>
    <w:rsid w:val="00387218"/>
    <w:rsid w:val="0038736D"/>
    <w:rsid w:val="003874AB"/>
    <w:rsid w:val="003876D5"/>
    <w:rsid w:val="003879C1"/>
    <w:rsid w:val="00387A25"/>
    <w:rsid w:val="00387C5C"/>
    <w:rsid w:val="00387CFF"/>
    <w:rsid w:val="00387D2C"/>
    <w:rsid w:val="00387D99"/>
    <w:rsid w:val="00387DA7"/>
    <w:rsid w:val="00387DAF"/>
    <w:rsid w:val="00387E42"/>
    <w:rsid w:val="00387EC0"/>
    <w:rsid w:val="00387FF4"/>
    <w:rsid w:val="003901E9"/>
    <w:rsid w:val="003901ED"/>
    <w:rsid w:val="003901F4"/>
    <w:rsid w:val="0039031D"/>
    <w:rsid w:val="00390460"/>
    <w:rsid w:val="003904F7"/>
    <w:rsid w:val="00390514"/>
    <w:rsid w:val="003905DA"/>
    <w:rsid w:val="00390653"/>
    <w:rsid w:val="00390676"/>
    <w:rsid w:val="00390776"/>
    <w:rsid w:val="00390816"/>
    <w:rsid w:val="0039096D"/>
    <w:rsid w:val="00390A0F"/>
    <w:rsid w:val="00390A16"/>
    <w:rsid w:val="00390A35"/>
    <w:rsid w:val="00390AAA"/>
    <w:rsid w:val="00390AE8"/>
    <w:rsid w:val="00390C16"/>
    <w:rsid w:val="00390C1D"/>
    <w:rsid w:val="00390D54"/>
    <w:rsid w:val="00390F8A"/>
    <w:rsid w:val="003911E2"/>
    <w:rsid w:val="0039124C"/>
    <w:rsid w:val="00391286"/>
    <w:rsid w:val="00391313"/>
    <w:rsid w:val="00391340"/>
    <w:rsid w:val="00391350"/>
    <w:rsid w:val="00391475"/>
    <w:rsid w:val="00391487"/>
    <w:rsid w:val="00391488"/>
    <w:rsid w:val="003915C4"/>
    <w:rsid w:val="0039165F"/>
    <w:rsid w:val="003918BF"/>
    <w:rsid w:val="0039190A"/>
    <w:rsid w:val="0039191E"/>
    <w:rsid w:val="003919BA"/>
    <w:rsid w:val="00391BD6"/>
    <w:rsid w:val="00391BF3"/>
    <w:rsid w:val="00391C93"/>
    <w:rsid w:val="00391D88"/>
    <w:rsid w:val="00391DBF"/>
    <w:rsid w:val="00391E07"/>
    <w:rsid w:val="00391E18"/>
    <w:rsid w:val="00391E5F"/>
    <w:rsid w:val="00391F36"/>
    <w:rsid w:val="00391FE3"/>
    <w:rsid w:val="00392015"/>
    <w:rsid w:val="00392092"/>
    <w:rsid w:val="003920F2"/>
    <w:rsid w:val="003920F7"/>
    <w:rsid w:val="003921C0"/>
    <w:rsid w:val="00392268"/>
    <w:rsid w:val="00392313"/>
    <w:rsid w:val="003923B7"/>
    <w:rsid w:val="003924D1"/>
    <w:rsid w:val="003927F6"/>
    <w:rsid w:val="003928E9"/>
    <w:rsid w:val="00392AF8"/>
    <w:rsid w:val="00392B8C"/>
    <w:rsid w:val="00392BDB"/>
    <w:rsid w:val="00392C7D"/>
    <w:rsid w:val="00392C8C"/>
    <w:rsid w:val="00392D01"/>
    <w:rsid w:val="00392D60"/>
    <w:rsid w:val="00392DDE"/>
    <w:rsid w:val="00392E21"/>
    <w:rsid w:val="00392F14"/>
    <w:rsid w:val="00392F27"/>
    <w:rsid w:val="00392FB9"/>
    <w:rsid w:val="00392FE8"/>
    <w:rsid w:val="0039309D"/>
    <w:rsid w:val="003931DB"/>
    <w:rsid w:val="00393234"/>
    <w:rsid w:val="003932C0"/>
    <w:rsid w:val="0039330C"/>
    <w:rsid w:val="00393312"/>
    <w:rsid w:val="003933D5"/>
    <w:rsid w:val="003933E8"/>
    <w:rsid w:val="00393471"/>
    <w:rsid w:val="00393568"/>
    <w:rsid w:val="0039360F"/>
    <w:rsid w:val="003936C6"/>
    <w:rsid w:val="00393738"/>
    <w:rsid w:val="003937FD"/>
    <w:rsid w:val="00393817"/>
    <w:rsid w:val="0039381F"/>
    <w:rsid w:val="00393861"/>
    <w:rsid w:val="00393B6E"/>
    <w:rsid w:val="00393B9B"/>
    <w:rsid w:val="00393C29"/>
    <w:rsid w:val="00393D80"/>
    <w:rsid w:val="00393E8D"/>
    <w:rsid w:val="00393EA4"/>
    <w:rsid w:val="00393ECF"/>
    <w:rsid w:val="00393F1A"/>
    <w:rsid w:val="00393F47"/>
    <w:rsid w:val="00394064"/>
    <w:rsid w:val="00394066"/>
    <w:rsid w:val="00394084"/>
    <w:rsid w:val="003940CD"/>
    <w:rsid w:val="00394144"/>
    <w:rsid w:val="00394181"/>
    <w:rsid w:val="00394209"/>
    <w:rsid w:val="0039424A"/>
    <w:rsid w:val="003942C4"/>
    <w:rsid w:val="00394387"/>
    <w:rsid w:val="00394448"/>
    <w:rsid w:val="00394591"/>
    <w:rsid w:val="003946A2"/>
    <w:rsid w:val="003946D3"/>
    <w:rsid w:val="00394763"/>
    <w:rsid w:val="0039476E"/>
    <w:rsid w:val="0039480C"/>
    <w:rsid w:val="00394868"/>
    <w:rsid w:val="0039490F"/>
    <w:rsid w:val="003949E1"/>
    <w:rsid w:val="00394A0B"/>
    <w:rsid w:val="00394ABD"/>
    <w:rsid w:val="00394AD0"/>
    <w:rsid w:val="00394B5B"/>
    <w:rsid w:val="00394C14"/>
    <w:rsid w:val="00394C1D"/>
    <w:rsid w:val="00394D73"/>
    <w:rsid w:val="00394F14"/>
    <w:rsid w:val="00394F34"/>
    <w:rsid w:val="00395139"/>
    <w:rsid w:val="0039515D"/>
    <w:rsid w:val="003951A2"/>
    <w:rsid w:val="003951BB"/>
    <w:rsid w:val="00395210"/>
    <w:rsid w:val="00395246"/>
    <w:rsid w:val="00395248"/>
    <w:rsid w:val="00395323"/>
    <w:rsid w:val="00395484"/>
    <w:rsid w:val="003954C8"/>
    <w:rsid w:val="00395577"/>
    <w:rsid w:val="0039563B"/>
    <w:rsid w:val="003957D8"/>
    <w:rsid w:val="003958F5"/>
    <w:rsid w:val="00395A9D"/>
    <w:rsid w:val="00395B63"/>
    <w:rsid w:val="00395BBE"/>
    <w:rsid w:val="00395C92"/>
    <w:rsid w:val="00395D98"/>
    <w:rsid w:val="00395E08"/>
    <w:rsid w:val="00395E71"/>
    <w:rsid w:val="0039608E"/>
    <w:rsid w:val="0039615D"/>
    <w:rsid w:val="0039618F"/>
    <w:rsid w:val="0039623C"/>
    <w:rsid w:val="00396240"/>
    <w:rsid w:val="00396353"/>
    <w:rsid w:val="003963D3"/>
    <w:rsid w:val="003963EB"/>
    <w:rsid w:val="0039640D"/>
    <w:rsid w:val="003964B8"/>
    <w:rsid w:val="00396617"/>
    <w:rsid w:val="003966A0"/>
    <w:rsid w:val="00396913"/>
    <w:rsid w:val="00396994"/>
    <w:rsid w:val="00396AEF"/>
    <w:rsid w:val="00396B57"/>
    <w:rsid w:val="00396BCA"/>
    <w:rsid w:val="00396BDC"/>
    <w:rsid w:val="00396C20"/>
    <w:rsid w:val="00396C26"/>
    <w:rsid w:val="00396D52"/>
    <w:rsid w:val="00396D6A"/>
    <w:rsid w:val="00396E48"/>
    <w:rsid w:val="00396EEB"/>
    <w:rsid w:val="00396FB2"/>
    <w:rsid w:val="00396FE5"/>
    <w:rsid w:val="0039717A"/>
    <w:rsid w:val="003971C8"/>
    <w:rsid w:val="003971F5"/>
    <w:rsid w:val="003973D5"/>
    <w:rsid w:val="00397483"/>
    <w:rsid w:val="0039760F"/>
    <w:rsid w:val="003976FF"/>
    <w:rsid w:val="00397739"/>
    <w:rsid w:val="003977F9"/>
    <w:rsid w:val="00397930"/>
    <w:rsid w:val="00397939"/>
    <w:rsid w:val="00397944"/>
    <w:rsid w:val="00397947"/>
    <w:rsid w:val="003979CD"/>
    <w:rsid w:val="00397A4D"/>
    <w:rsid w:val="00397A69"/>
    <w:rsid w:val="00397A9C"/>
    <w:rsid w:val="00397AAF"/>
    <w:rsid w:val="00397B6C"/>
    <w:rsid w:val="00397B81"/>
    <w:rsid w:val="00397B9F"/>
    <w:rsid w:val="00397BCF"/>
    <w:rsid w:val="00397C79"/>
    <w:rsid w:val="00397C7E"/>
    <w:rsid w:val="00397C99"/>
    <w:rsid w:val="00397CE2"/>
    <w:rsid w:val="00397E73"/>
    <w:rsid w:val="00397F06"/>
    <w:rsid w:val="00397F8E"/>
    <w:rsid w:val="00397F9B"/>
    <w:rsid w:val="00397F9D"/>
    <w:rsid w:val="003A0025"/>
    <w:rsid w:val="003A0140"/>
    <w:rsid w:val="003A0199"/>
    <w:rsid w:val="003A0282"/>
    <w:rsid w:val="003A0397"/>
    <w:rsid w:val="003A0536"/>
    <w:rsid w:val="003A056C"/>
    <w:rsid w:val="003A06BE"/>
    <w:rsid w:val="003A06EA"/>
    <w:rsid w:val="003A0765"/>
    <w:rsid w:val="003A0891"/>
    <w:rsid w:val="003A0A30"/>
    <w:rsid w:val="003A0A74"/>
    <w:rsid w:val="003A0B64"/>
    <w:rsid w:val="003A0E63"/>
    <w:rsid w:val="003A0FED"/>
    <w:rsid w:val="003A11A8"/>
    <w:rsid w:val="003A1314"/>
    <w:rsid w:val="003A1382"/>
    <w:rsid w:val="003A15B5"/>
    <w:rsid w:val="003A166A"/>
    <w:rsid w:val="003A167E"/>
    <w:rsid w:val="003A18E4"/>
    <w:rsid w:val="003A1933"/>
    <w:rsid w:val="003A197F"/>
    <w:rsid w:val="003A19AE"/>
    <w:rsid w:val="003A1A56"/>
    <w:rsid w:val="003A1AB7"/>
    <w:rsid w:val="003A1BA6"/>
    <w:rsid w:val="003A1BB3"/>
    <w:rsid w:val="003A1BC2"/>
    <w:rsid w:val="003A1C15"/>
    <w:rsid w:val="003A1C29"/>
    <w:rsid w:val="003A1CC8"/>
    <w:rsid w:val="003A1D29"/>
    <w:rsid w:val="003A1EA7"/>
    <w:rsid w:val="003A1FD7"/>
    <w:rsid w:val="003A1FFF"/>
    <w:rsid w:val="003A2086"/>
    <w:rsid w:val="003A214C"/>
    <w:rsid w:val="003A2437"/>
    <w:rsid w:val="003A25FE"/>
    <w:rsid w:val="003A26B0"/>
    <w:rsid w:val="003A2744"/>
    <w:rsid w:val="003A2897"/>
    <w:rsid w:val="003A29AE"/>
    <w:rsid w:val="003A29E3"/>
    <w:rsid w:val="003A2A2F"/>
    <w:rsid w:val="003A2A73"/>
    <w:rsid w:val="003A2BEB"/>
    <w:rsid w:val="003A2BEC"/>
    <w:rsid w:val="003A2C24"/>
    <w:rsid w:val="003A2CE8"/>
    <w:rsid w:val="003A2E59"/>
    <w:rsid w:val="003A2F23"/>
    <w:rsid w:val="003A2FF3"/>
    <w:rsid w:val="003A30C1"/>
    <w:rsid w:val="003A3185"/>
    <w:rsid w:val="003A31D6"/>
    <w:rsid w:val="003A31DA"/>
    <w:rsid w:val="003A32B1"/>
    <w:rsid w:val="003A32C9"/>
    <w:rsid w:val="003A3382"/>
    <w:rsid w:val="003A33F6"/>
    <w:rsid w:val="003A3430"/>
    <w:rsid w:val="003A34B2"/>
    <w:rsid w:val="003A34D7"/>
    <w:rsid w:val="003A3598"/>
    <w:rsid w:val="003A359A"/>
    <w:rsid w:val="003A35C5"/>
    <w:rsid w:val="003A35DC"/>
    <w:rsid w:val="003A360C"/>
    <w:rsid w:val="003A3631"/>
    <w:rsid w:val="003A38A3"/>
    <w:rsid w:val="003A38C2"/>
    <w:rsid w:val="003A39B3"/>
    <w:rsid w:val="003A3A88"/>
    <w:rsid w:val="003A3AC6"/>
    <w:rsid w:val="003A3D33"/>
    <w:rsid w:val="003A3DA4"/>
    <w:rsid w:val="003A3DAC"/>
    <w:rsid w:val="003A3DBC"/>
    <w:rsid w:val="003A3FD5"/>
    <w:rsid w:val="003A4198"/>
    <w:rsid w:val="003A42EC"/>
    <w:rsid w:val="003A4386"/>
    <w:rsid w:val="003A4390"/>
    <w:rsid w:val="003A4568"/>
    <w:rsid w:val="003A45D1"/>
    <w:rsid w:val="003A469A"/>
    <w:rsid w:val="003A473B"/>
    <w:rsid w:val="003A48AA"/>
    <w:rsid w:val="003A48AF"/>
    <w:rsid w:val="003A4969"/>
    <w:rsid w:val="003A498C"/>
    <w:rsid w:val="003A499F"/>
    <w:rsid w:val="003A4A37"/>
    <w:rsid w:val="003A4A3E"/>
    <w:rsid w:val="003A4A45"/>
    <w:rsid w:val="003A4A8C"/>
    <w:rsid w:val="003A4B01"/>
    <w:rsid w:val="003A4BA5"/>
    <w:rsid w:val="003A4C76"/>
    <w:rsid w:val="003A4CB3"/>
    <w:rsid w:val="003A4D05"/>
    <w:rsid w:val="003A4DB0"/>
    <w:rsid w:val="003A4DDD"/>
    <w:rsid w:val="003A4F55"/>
    <w:rsid w:val="003A4FBA"/>
    <w:rsid w:val="003A5090"/>
    <w:rsid w:val="003A5101"/>
    <w:rsid w:val="003A51BE"/>
    <w:rsid w:val="003A5204"/>
    <w:rsid w:val="003A5223"/>
    <w:rsid w:val="003A52B2"/>
    <w:rsid w:val="003A53FC"/>
    <w:rsid w:val="003A541A"/>
    <w:rsid w:val="003A541C"/>
    <w:rsid w:val="003A54EB"/>
    <w:rsid w:val="003A56AA"/>
    <w:rsid w:val="003A57F0"/>
    <w:rsid w:val="003A5830"/>
    <w:rsid w:val="003A5A57"/>
    <w:rsid w:val="003A5A5B"/>
    <w:rsid w:val="003A5ABE"/>
    <w:rsid w:val="003A5B11"/>
    <w:rsid w:val="003A5C1A"/>
    <w:rsid w:val="003A5C35"/>
    <w:rsid w:val="003A5C4E"/>
    <w:rsid w:val="003A5C60"/>
    <w:rsid w:val="003A5C8C"/>
    <w:rsid w:val="003A5CAA"/>
    <w:rsid w:val="003A5D58"/>
    <w:rsid w:val="003A5F07"/>
    <w:rsid w:val="003A6070"/>
    <w:rsid w:val="003A6098"/>
    <w:rsid w:val="003A6217"/>
    <w:rsid w:val="003A6289"/>
    <w:rsid w:val="003A66F7"/>
    <w:rsid w:val="003A677F"/>
    <w:rsid w:val="003A6859"/>
    <w:rsid w:val="003A68EC"/>
    <w:rsid w:val="003A693B"/>
    <w:rsid w:val="003A6972"/>
    <w:rsid w:val="003A6A9A"/>
    <w:rsid w:val="003A6B8B"/>
    <w:rsid w:val="003A6C85"/>
    <w:rsid w:val="003A6CB3"/>
    <w:rsid w:val="003A6CD3"/>
    <w:rsid w:val="003A6CDC"/>
    <w:rsid w:val="003A6D51"/>
    <w:rsid w:val="003A6F48"/>
    <w:rsid w:val="003A6FBF"/>
    <w:rsid w:val="003A6FFE"/>
    <w:rsid w:val="003A706E"/>
    <w:rsid w:val="003A70E6"/>
    <w:rsid w:val="003A70F8"/>
    <w:rsid w:val="003A7185"/>
    <w:rsid w:val="003A7254"/>
    <w:rsid w:val="003A74B9"/>
    <w:rsid w:val="003A75AC"/>
    <w:rsid w:val="003A75C3"/>
    <w:rsid w:val="003A75D5"/>
    <w:rsid w:val="003A7672"/>
    <w:rsid w:val="003A76AD"/>
    <w:rsid w:val="003A76DC"/>
    <w:rsid w:val="003A775C"/>
    <w:rsid w:val="003A77C7"/>
    <w:rsid w:val="003A7887"/>
    <w:rsid w:val="003A798E"/>
    <w:rsid w:val="003A79D1"/>
    <w:rsid w:val="003A7A0F"/>
    <w:rsid w:val="003A7A1F"/>
    <w:rsid w:val="003A7A5F"/>
    <w:rsid w:val="003A7AC1"/>
    <w:rsid w:val="003A7AD0"/>
    <w:rsid w:val="003A7C02"/>
    <w:rsid w:val="003A7DD1"/>
    <w:rsid w:val="003A7DF7"/>
    <w:rsid w:val="003A7E05"/>
    <w:rsid w:val="003A7F68"/>
    <w:rsid w:val="003B00CF"/>
    <w:rsid w:val="003B0203"/>
    <w:rsid w:val="003B033D"/>
    <w:rsid w:val="003B03AC"/>
    <w:rsid w:val="003B041D"/>
    <w:rsid w:val="003B051F"/>
    <w:rsid w:val="003B0569"/>
    <w:rsid w:val="003B0790"/>
    <w:rsid w:val="003B0884"/>
    <w:rsid w:val="003B09C9"/>
    <w:rsid w:val="003B0A19"/>
    <w:rsid w:val="003B0A7C"/>
    <w:rsid w:val="003B0AB2"/>
    <w:rsid w:val="003B0AB9"/>
    <w:rsid w:val="003B0AFF"/>
    <w:rsid w:val="003B0B62"/>
    <w:rsid w:val="003B0B92"/>
    <w:rsid w:val="003B0EAA"/>
    <w:rsid w:val="003B0F54"/>
    <w:rsid w:val="003B0FF5"/>
    <w:rsid w:val="003B107D"/>
    <w:rsid w:val="003B10E3"/>
    <w:rsid w:val="003B116A"/>
    <w:rsid w:val="003B12B9"/>
    <w:rsid w:val="003B131D"/>
    <w:rsid w:val="003B1367"/>
    <w:rsid w:val="003B141F"/>
    <w:rsid w:val="003B16A2"/>
    <w:rsid w:val="003B1757"/>
    <w:rsid w:val="003B1AD3"/>
    <w:rsid w:val="003B1BDA"/>
    <w:rsid w:val="003B1C92"/>
    <w:rsid w:val="003B1EA8"/>
    <w:rsid w:val="003B1ECF"/>
    <w:rsid w:val="003B216C"/>
    <w:rsid w:val="003B21FE"/>
    <w:rsid w:val="003B2282"/>
    <w:rsid w:val="003B23C2"/>
    <w:rsid w:val="003B2420"/>
    <w:rsid w:val="003B2533"/>
    <w:rsid w:val="003B2665"/>
    <w:rsid w:val="003B268A"/>
    <w:rsid w:val="003B2739"/>
    <w:rsid w:val="003B27E1"/>
    <w:rsid w:val="003B2A70"/>
    <w:rsid w:val="003B2AEE"/>
    <w:rsid w:val="003B2CDA"/>
    <w:rsid w:val="003B2F1A"/>
    <w:rsid w:val="003B2FE2"/>
    <w:rsid w:val="003B34AE"/>
    <w:rsid w:val="003B35B4"/>
    <w:rsid w:val="003B35B8"/>
    <w:rsid w:val="003B39E1"/>
    <w:rsid w:val="003B3B65"/>
    <w:rsid w:val="003B3CC3"/>
    <w:rsid w:val="003B3DD5"/>
    <w:rsid w:val="003B3EA4"/>
    <w:rsid w:val="003B3EE9"/>
    <w:rsid w:val="003B3F01"/>
    <w:rsid w:val="003B3F15"/>
    <w:rsid w:val="003B3F23"/>
    <w:rsid w:val="003B40C3"/>
    <w:rsid w:val="003B4125"/>
    <w:rsid w:val="003B4155"/>
    <w:rsid w:val="003B421A"/>
    <w:rsid w:val="003B4315"/>
    <w:rsid w:val="003B43DF"/>
    <w:rsid w:val="003B4415"/>
    <w:rsid w:val="003B4473"/>
    <w:rsid w:val="003B44AC"/>
    <w:rsid w:val="003B4626"/>
    <w:rsid w:val="003B463F"/>
    <w:rsid w:val="003B46BE"/>
    <w:rsid w:val="003B46D7"/>
    <w:rsid w:val="003B4712"/>
    <w:rsid w:val="003B4813"/>
    <w:rsid w:val="003B482D"/>
    <w:rsid w:val="003B4858"/>
    <w:rsid w:val="003B48AD"/>
    <w:rsid w:val="003B48C9"/>
    <w:rsid w:val="003B49B8"/>
    <w:rsid w:val="003B4A10"/>
    <w:rsid w:val="003B4AFE"/>
    <w:rsid w:val="003B4BD0"/>
    <w:rsid w:val="003B4C5F"/>
    <w:rsid w:val="003B4C88"/>
    <w:rsid w:val="003B4D7C"/>
    <w:rsid w:val="003B4DEE"/>
    <w:rsid w:val="003B4F2F"/>
    <w:rsid w:val="003B4FFD"/>
    <w:rsid w:val="003B5094"/>
    <w:rsid w:val="003B50EB"/>
    <w:rsid w:val="003B51C1"/>
    <w:rsid w:val="003B5242"/>
    <w:rsid w:val="003B5262"/>
    <w:rsid w:val="003B52F3"/>
    <w:rsid w:val="003B55CF"/>
    <w:rsid w:val="003B5607"/>
    <w:rsid w:val="003B5629"/>
    <w:rsid w:val="003B5654"/>
    <w:rsid w:val="003B5850"/>
    <w:rsid w:val="003B58C0"/>
    <w:rsid w:val="003B58E1"/>
    <w:rsid w:val="003B5915"/>
    <w:rsid w:val="003B5AB1"/>
    <w:rsid w:val="003B5B58"/>
    <w:rsid w:val="003B5D74"/>
    <w:rsid w:val="003B5E90"/>
    <w:rsid w:val="003B5EAD"/>
    <w:rsid w:val="003B5EFB"/>
    <w:rsid w:val="003B5F92"/>
    <w:rsid w:val="003B600A"/>
    <w:rsid w:val="003B614F"/>
    <w:rsid w:val="003B619C"/>
    <w:rsid w:val="003B620E"/>
    <w:rsid w:val="003B6303"/>
    <w:rsid w:val="003B636D"/>
    <w:rsid w:val="003B63D6"/>
    <w:rsid w:val="003B6445"/>
    <w:rsid w:val="003B64B8"/>
    <w:rsid w:val="003B6591"/>
    <w:rsid w:val="003B66B8"/>
    <w:rsid w:val="003B66FA"/>
    <w:rsid w:val="003B670A"/>
    <w:rsid w:val="003B6803"/>
    <w:rsid w:val="003B685D"/>
    <w:rsid w:val="003B69AA"/>
    <w:rsid w:val="003B6B7A"/>
    <w:rsid w:val="003B6BE6"/>
    <w:rsid w:val="003B6C9C"/>
    <w:rsid w:val="003B6CE5"/>
    <w:rsid w:val="003B6E03"/>
    <w:rsid w:val="003B6E75"/>
    <w:rsid w:val="003B6F47"/>
    <w:rsid w:val="003B6FCE"/>
    <w:rsid w:val="003B71AB"/>
    <w:rsid w:val="003B71F0"/>
    <w:rsid w:val="003B72D6"/>
    <w:rsid w:val="003B7554"/>
    <w:rsid w:val="003B77C8"/>
    <w:rsid w:val="003B77D5"/>
    <w:rsid w:val="003B77FE"/>
    <w:rsid w:val="003B783F"/>
    <w:rsid w:val="003B78BE"/>
    <w:rsid w:val="003B79E7"/>
    <w:rsid w:val="003B7A00"/>
    <w:rsid w:val="003B7A33"/>
    <w:rsid w:val="003B7AAD"/>
    <w:rsid w:val="003B7C29"/>
    <w:rsid w:val="003B7D30"/>
    <w:rsid w:val="003B7D8F"/>
    <w:rsid w:val="003B7E3D"/>
    <w:rsid w:val="003B7EC1"/>
    <w:rsid w:val="003B7F28"/>
    <w:rsid w:val="003B7F33"/>
    <w:rsid w:val="003C0001"/>
    <w:rsid w:val="003C0083"/>
    <w:rsid w:val="003C0100"/>
    <w:rsid w:val="003C053F"/>
    <w:rsid w:val="003C0563"/>
    <w:rsid w:val="003C059B"/>
    <w:rsid w:val="003C077A"/>
    <w:rsid w:val="003C0792"/>
    <w:rsid w:val="003C0855"/>
    <w:rsid w:val="003C0B23"/>
    <w:rsid w:val="003C0B50"/>
    <w:rsid w:val="003C0BFF"/>
    <w:rsid w:val="003C0E0A"/>
    <w:rsid w:val="003C0E4B"/>
    <w:rsid w:val="003C0E83"/>
    <w:rsid w:val="003C0EFB"/>
    <w:rsid w:val="003C0F20"/>
    <w:rsid w:val="003C0F7F"/>
    <w:rsid w:val="003C1032"/>
    <w:rsid w:val="003C10DE"/>
    <w:rsid w:val="003C1211"/>
    <w:rsid w:val="003C1363"/>
    <w:rsid w:val="003C13E5"/>
    <w:rsid w:val="003C152B"/>
    <w:rsid w:val="003C158A"/>
    <w:rsid w:val="003C1632"/>
    <w:rsid w:val="003C16EF"/>
    <w:rsid w:val="003C1765"/>
    <w:rsid w:val="003C1B70"/>
    <w:rsid w:val="003C1BB6"/>
    <w:rsid w:val="003C1BFD"/>
    <w:rsid w:val="003C1CBE"/>
    <w:rsid w:val="003C1DDC"/>
    <w:rsid w:val="003C1EC0"/>
    <w:rsid w:val="003C1F3D"/>
    <w:rsid w:val="003C2128"/>
    <w:rsid w:val="003C23AC"/>
    <w:rsid w:val="003C241C"/>
    <w:rsid w:val="003C2440"/>
    <w:rsid w:val="003C2466"/>
    <w:rsid w:val="003C24BB"/>
    <w:rsid w:val="003C2542"/>
    <w:rsid w:val="003C26FB"/>
    <w:rsid w:val="003C274A"/>
    <w:rsid w:val="003C2810"/>
    <w:rsid w:val="003C28CE"/>
    <w:rsid w:val="003C2950"/>
    <w:rsid w:val="003C2A98"/>
    <w:rsid w:val="003C2CF9"/>
    <w:rsid w:val="003C2D39"/>
    <w:rsid w:val="003C2E35"/>
    <w:rsid w:val="003C2F3A"/>
    <w:rsid w:val="003C3010"/>
    <w:rsid w:val="003C3023"/>
    <w:rsid w:val="003C31E7"/>
    <w:rsid w:val="003C326E"/>
    <w:rsid w:val="003C3426"/>
    <w:rsid w:val="003C3495"/>
    <w:rsid w:val="003C34C0"/>
    <w:rsid w:val="003C3596"/>
    <w:rsid w:val="003C363E"/>
    <w:rsid w:val="003C3781"/>
    <w:rsid w:val="003C3814"/>
    <w:rsid w:val="003C38C7"/>
    <w:rsid w:val="003C3955"/>
    <w:rsid w:val="003C3988"/>
    <w:rsid w:val="003C39C9"/>
    <w:rsid w:val="003C3AE7"/>
    <w:rsid w:val="003C3B12"/>
    <w:rsid w:val="003C3B31"/>
    <w:rsid w:val="003C3BF1"/>
    <w:rsid w:val="003C3CD5"/>
    <w:rsid w:val="003C3CEC"/>
    <w:rsid w:val="003C3D13"/>
    <w:rsid w:val="003C3D94"/>
    <w:rsid w:val="003C3DA9"/>
    <w:rsid w:val="003C4049"/>
    <w:rsid w:val="003C40A7"/>
    <w:rsid w:val="003C40D0"/>
    <w:rsid w:val="003C418C"/>
    <w:rsid w:val="003C425B"/>
    <w:rsid w:val="003C42C2"/>
    <w:rsid w:val="003C44DC"/>
    <w:rsid w:val="003C454F"/>
    <w:rsid w:val="003C4564"/>
    <w:rsid w:val="003C474A"/>
    <w:rsid w:val="003C482F"/>
    <w:rsid w:val="003C49B7"/>
    <w:rsid w:val="003C4A09"/>
    <w:rsid w:val="003C4A74"/>
    <w:rsid w:val="003C4D7C"/>
    <w:rsid w:val="003C4E68"/>
    <w:rsid w:val="003C4E98"/>
    <w:rsid w:val="003C4F8B"/>
    <w:rsid w:val="003C4FF6"/>
    <w:rsid w:val="003C5226"/>
    <w:rsid w:val="003C5442"/>
    <w:rsid w:val="003C54D6"/>
    <w:rsid w:val="003C579D"/>
    <w:rsid w:val="003C57B6"/>
    <w:rsid w:val="003C57C7"/>
    <w:rsid w:val="003C5814"/>
    <w:rsid w:val="003C5967"/>
    <w:rsid w:val="003C5BBC"/>
    <w:rsid w:val="003C5C66"/>
    <w:rsid w:val="003C5C8F"/>
    <w:rsid w:val="003C5F7C"/>
    <w:rsid w:val="003C6107"/>
    <w:rsid w:val="003C61A5"/>
    <w:rsid w:val="003C6208"/>
    <w:rsid w:val="003C62B5"/>
    <w:rsid w:val="003C644F"/>
    <w:rsid w:val="003C66BB"/>
    <w:rsid w:val="003C6778"/>
    <w:rsid w:val="003C68EE"/>
    <w:rsid w:val="003C691F"/>
    <w:rsid w:val="003C6A39"/>
    <w:rsid w:val="003C6A67"/>
    <w:rsid w:val="003C6ACA"/>
    <w:rsid w:val="003C6CDB"/>
    <w:rsid w:val="003C6CF9"/>
    <w:rsid w:val="003C6D64"/>
    <w:rsid w:val="003C6E9A"/>
    <w:rsid w:val="003C7037"/>
    <w:rsid w:val="003C7038"/>
    <w:rsid w:val="003C7068"/>
    <w:rsid w:val="003C7086"/>
    <w:rsid w:val="003C7457"/>
    <w:rsid w:val="003C7465"/>
    <w:rsid w:val="003C7563"/>
    <w:rsid w:val="003C7571"/>
    <w:rsid w:val="003C7694"/>
    <w:rsid w:val="003C76B4"/>
    <w:rsid w:val="003C76E3"/>
    <w:rsid w:val="003C7748"/>
    <w:rsid w:val="003C77B3"/>
    <w:rsid w:val="003C77CE"/>
    <w:rsid w:val="003C7807"/>
    <w:rsid w:val="003C782C"/>
    <w:rsid w:val="003C7895"/>
    <w:rsid w:val="003C78BA"/>
    <w:rsid w:val="003C7CF4"/>
    <w:rsid w:val="003C7D14"/>
    <w:rsid w:val="003C7E0C"/>
    <w:rsid w:val="003C7EB9"/>
    <w:rsid w:val="003C7F31"/>
    <w:rsid w:val="003C7F42"/>
    <w:rsid w:val="003C7F7A"/>
    <w:rsid w:val="003C7F7E"/>
    <w:rsid w:val="003D0036"/>
    <w:rsid w:val="003D00AF"/>
    <w:rsid w:val="003D00E9"/>
    <w:rsid w:val="003D01A1"/>
    <w:rsid w:val="003D02CD"/>
    <w:rsid w:val="003D0317"/>
    <w:rsid w:val="003D0399"/>
    <w:rsid w:val="003D089E"/>
    <w:rsid w:val="003D08A2"/>
    <w:rsid w:val="003D08F5"/>
    <w:rsid w:val="003D0971"/>
    <w:rsid w:val="003D0B53"/>
    <w:rsid w:val="003D0B55"/>
    <w:rsid w:val="003D0C63"/>
    <w:rsid w:val="003D0DD1"/>
    <w:rsid w:val="003D0EA6"/>
    <w:rsid w:val="003D1092"/>
    <w:rsid w:val="003D1120"/>
    <w:rsid w:val="003D114F"/>
    <w:rsid w:val="003D12FF"/>
    <w:rsid w:val="003D133A"/>
    <w:rsid w:val="003D142B"/>
    <w:rsid w:val="003D18A1"/>
    <w:rsid w:val="003D18B1"/>
    <w:rsid w:val="003D1B7C"/>
    <w:rsid w:val="003D1C54"/>
    <w:rsid w:val="003D1CA6"/>
    <w:rsid w:val="003D1E4E"/>
    <w:rsid w:val="003D1E78"/>
    <w:rsid w:val="003D219C"/>
    <w:rsid w:val="003D2242"/>
    <w:rsid w:val="003D2534"/>
    <w:rsid w:val="003D25DC"/>
    <w:rsid w:val="003D26C1"/>
    <w:rsid w:val="003D27CE"/>
    <w:rsid w:val="003D29CE"/>
    <w:rsid w:val="003D2AE6"/>
    <w:rsid w:val="003D2B06"/>
    <w:rsid w:val="003D2D6D"/>
    <w:rsid w:val="003D2D71"/>
    <w:rsid w:val="003D2E1E"/>
    <w:rsid w:val="003D2E6C"/>
    <w:rsid w:val="003D2E71"/>
    <w:rsid w:val="003D2F9A"/>
    <w:rsid w:val="003D318A"/>
    <w:rsid w:val="003D319E"/>
    <w:rsid w:val="003D3226"/>
    <w:rsid w:val="003D35A6"/>
    <w:rsid w:val="003D3696"/>
    <w:rsid w:val="003D36BE"/>
    <w:rsid w:val="003D3729"/>
    <w:rsid w:val="003D383A"/>
    <w:rsid w:val="003D39D9"/>
    <w:rsid w:val="003D3A9B"/>
    <w:rsid w:val="003D3BE2"/>
    <w:rsid w:val="003D3C4D"/>
    <w:rsid w:val="003D3C4E"/>
    <w:rsid w:val="003D3C9C"/>
    <w:rsid w:val="003D3CBD"/>
    <w:rsid w:val="003D3DB5"/>
    <w:rsid w:val="003D3E76"/>
    <w:rsid w:val="003D3F20"/>
    <w:rsid w:val="003D3F7B"/>
    <w:rsid w:val="003D40ED"/>
    <w:rsid w:val="003D416D"/>
    <w:rsid w:val="003D4296"/>
    <w:rsid w:val="003D42D2"/>
    <w:rsid w:val="003D444D"/>
    <w:rsid w:val="003D4603"/>
    <w:rsid w:val="003D466F"/>
    <w:rsid w:val="003D479E"/>
    <w:rsid w:val="003D47C2"/>
    <w:rsid w:val="003D48CC"/>
    <w:rsid w:val="003D48F8"/>
    <w:rsid w:val="003D49A4"/>
    <w:rsid w:val="003D49DA"/>
    <w:rsid w:val="003D4A44"/>
    <w:rsid w:val="003D4A79"/>
    <w:rsid w:val="003D4AB3"/>
    <w:rsid w:val="003D4B1A"/>
    <w:rsid w:val="003D4BD0"/>
    <w:rsid w:val="003D4D25"/>
    <w:rsid w:val="003D4DD6"/>
    <w:rsid w:val="003D4E3A"/>
    <w:rsid w:val="003D4E72"/>
    <w:rsid w:val="003D512E"/>
    <w:rsid w:val="003D5212"/>
    <w:rsid w:val="003D538C"/>
    <w:rsid w:val="003D5413"/>
    <w:rsid w:val="003D555C"/>
    <w:rsid w:val="003D5562"/>
    <w:rsid w:val="003D56AF"/>
    <w:rsid w:val="003D59E3"/>
    <w:rsid w:val="003D59FF"/>
    <w:rsid w:val="003D5A36"/>
    <w:rsid w:val="003D5A90"/>
    <w:rsid w:val="003D5AF9"/>
    <w:rsid w:val="003D5B9D"/>
    <w:rsid w:val="003D5C56"/>
    <w:rsid w:val="003D5C70"/>
    <w:rsid w:val="003D5CEB"/>
    <w:rsid w:val="003D5E2B"/>
    <w:rsid w:val="003D60DB"/>
    <w:rsid w:val="003D60EC"/>
    <w:rsid w:val="003D6107"/>
    <w:rsid w:val="003D62E4"/>
    <w:rsid w:val="003D6328"/>
    <w:rsid w:val="003D6493"/>
    <w:rsid w:val="003D64F0"/>
    <w:rsid w:val="003D6533"/>
    <w:rsid w:val="003D6649"/>
    <w:rsid w:val="003D66D7"/>
    <w:rsid w:val="003D675C"/>
    <w:rsid w:val="003D67EE"/>
    <w:rsid w:val="003D6926"/>
    <w:rsid w:val="003D69E2"/>
    <w:rsid w:val="003D6B49"/>
    <w:rsid w:val="003D6BAC"/>
    <w:rsid w:val="003D6DC9"/>
    <w:rsid w:val="003D6EF2"/>
    <w:rsid w:val="003D70CD"/>
    <w:rsid w:val="003D71B9"/>
    <w:rsid w:val="003D725C"/>
    <w:rsid w:val="003D7476"/>
    <w:rsid w:val="003D7564"/>
    <w:rsid w:val="003D7632"/>
    <w:rsid w:val="003D764C"/>
    <w:rsid w:val="003D7677"/>
    <w:rsid w:val="003D7835"/>
    <w:rsid w:val="003D784B"/>
    <w:rsid w:val="003D7AB7"/>
    <w:rsid w:val="003D7B28"/>
    <w:rsid w:val="003D7CDC"/>
    <w:rsid w:val="003D7CDD"/>
    <w:rsid w:val="003D7D7F"/>
    <w:rsid w:val="003D7DA9"/>
    <w:rsid w:val="003D7FD6"/>
    <w:rsid w:val="003E01BD"/>
    <w:rsid w:val="003E02A3"/>
    <w:rsid w:val="003E042A"/>
    <w:rsid w:val="003E0542"/>
    <w:rsid w:val="003E0672"/>
    <w:rsid w:val="003E0912"/>
    <w:rsid w:val="003E09D7"/>
    <w:rsid w:val="003E0A2B"/>
    <w:rsid w:val="003E0AA8"/>
    <w:rsid w:val="003E0C0B"/>
    <w:rsid w:val="003E0C21"/>
    <w:rsid w:val="003E0C2D"/>
    <w:rsid w:val="003E0C37"/>
    <w:rsid w:val="003E0C42"/>
    <w:rsid w:val="003E0CB1"/>
    <w:rsid w:val="003E0DC5"/>
    <w:rsid w:val="003E0E08"/>
    <w:rsid w:val="003E0ED2"/>
    <w:rsid w:val="003E0F08"/>
    <w:rsid w:val="003E0F5A"/>
    <w:rsid w:val="003E1226"/>
    <w:rsid w:val="003E123A"/>
    <w:rsid w:val="003E13E2"/>
    <w:rsid w:val="003E144D"/>
    <w:rsid w:val="003E1473"/>
    <w:rsid w:val="003E148E"/>
    <w:rsid w:val="003E1526"/>
    <w:rsid w:val="003E1532"/>
    <w:rsid w:val="003E1577"/>
    <w:rsid w:val="003E1595"/>
    <w:rsid w:val="003E15EF"/>
    <w:rsid w:val="003E15F3"/>
    <w:rsid w:val="003E16C8"/>
    <w:rsid w:val="003E180B"/>
    <w:rsid w:val="003E1825"/>
    <w:rsid w:val="003E1904"/>
    <w:rsid w:val="003E19AF"/>
    <w:rsid w:val="003E1A21"/>
    <w:rsid w:val="003E1AA4"/>
    <w:rsid w:val="003E1BEC"/>
    <w:rsid w:val="003E1C3B"/>
    <w:rsid w:val="003E1D82"/>
    <w:rsid w:val="003E1DFA"/>
    <w:rsid w:val="003E1E32"/>
    <w:rsid w:val="003E1E5D"/>
    <w:rsid w:val="003E1FED"/>
    <w:rsid w:val="003E2098"/>
    <w:rsid w:val="003E20E8"/>
    <w:rsid w:val="003E20F4"/>
    <w:rsid w:val="003E214D"/>
    <w:rsid w:val="003E21D6"/>
    <w:rsid w:val="003E2282"/>
    <w:rsid w:val="003E238F"/>
    <w:rsid w:val="003E241C"/>
    <w:rsid w:val="003E24A4"/>
    <w:rsid w:val="003E2540"/>
    <w:rsid w:val="003E2550"/>
    <w:rsid w:val="003E2557"/>
    <w:rsid w:val="003E2710"/>
    <w:rsid w:val="003E2714"/>
    <w:rsid w:val="003E28CA"/>
    <w:rsid w:val="003E28D0"/>
    <w:rsid w:val="003E2942"/>
    <w:rsid w:val="003E2A2C"/>
    <w:rsid w:val="003E2A99"/>
    <w:rsid w:val="003E2B4B"/>
    <w:rsid w:val="003E2CE4"/>
    <w:rsid w:val="003E2DCF"/>
    <w:rsid w:val="003E2E21"/>
    <w:rsid w:val="003E2E6C"/>
    <w:rsid w:val="003E2F1B"/>
    <w:rsid w:val="003E2FDB"/>
    <w:rsid w:val="003E3087"/>
    <w:rsid w:val="003E30D6"/>
    <w:rsid w:val="003E3168"/>
    <w:rsid w:val="003E31D2"/>
    <w:rsid w:val="003E3328"/>
    <w:rsid w:val="003E333A"/>
    <w:rsid w:val="003E3376"/>
    <w:rsid w:val="003E33F4"/>
    <w:rsid w:val="003E3439"/>
    <w:rsid w:val="003E34EC"/>
    <w:rsid w:val="003E352E"/>
    <w:rsid w:val="003E3635"/>
    <w:rsid w:val="003E3685"/>
    <w:rsid w:val="003E3697"/>
    <w:rsid w:val="003E3851"/>
    <w:rsid w:val="003E38A9"/>
    <w:rsid w:val="003E393B"/>
    <w:rsid w:val="003E39A6"/>
    <w:rsid w:val="003E39C5"/>
    <w:rsid w:val="003E3B2D"/>
    <w:rsid w:val="003E3B53"/>
    <w:rsid w:val="003E3B7D"/>
    <w:rsid w:val="003E3C20"/>
    <w:rsid w:val="003E3C8D"/>
    <w:rsid w:val="003E3CA9"/>
    <w:rsid w:val="003E3EC9"/>
    <w:rsid w:val="003E3F96"/>
    <w:rsid w:val="003E4105"/>
    <w:rsid w:val="003E41D6"/>
    <w:rsid w:val="003E435E"/>
    <w:rsid w:val="003E43C4"/>
    <w:rsid w:val="003E44BE"/>
    <w:rsid w:val="003E461B"/>
    <w:rsid w:val="003E468A"/>
    <w:rsid w:val="003E46C5"/>
    <w:rsid w:val="003E46EC"/>
    <w:rsid w:val="003E4858"/>
    <w:rsid w:val="003E4923"/>
    <w:rsid w:val="003E4971"/>
    <w:rsid w:val="003E4997"/>
    <w:rsid w:val="003E49A4"/>
    <w:rsid w:val="003E4A82"/>
    <w:rsid w:val="003E4D16"/>
    <w:rsid w:val="003E4D8A"/>
    <w:rsid w:val="003E4DA0"/>
    <w:rsid w:val="003E4F44"/>
    <w:rsid w:val="003E4F55"/>
    <w:rsid w:val="003E4F94"/>
    <w:rsid w:val="003E509B"/>
    <w:rsid w:val="003E51B1"/>
    <w:rsid w:val="003E5278"/>
    <w:rsid w:val="003E52DE"/>
    <w:rsid w:val="003E57E4"/>
    <w:rsid w:val="003E58A0"/>
    <w:rsid w:val="003E5AD3"/>
    <w:rsid w:val="003E5BD8"/>
    <w:rsid w:val="003E5D75"/>
    <w:rsid w:val="003E5DBF"/>
    <w:rsid w:val="003E5FA1"/>
    <w:rsid w:val="003E6194"/>
    <w:rsid w:val="003E619A"/>
    <w:rsid w:val="003E61ED"/>
    <w:rsid w:val="003E61F1"/>
    <w:rsid w:val="003E6367"/>
    <w:rsid w:val="003E6395"/>
    <w:rsid w:val="003E63A6"/>
    <w:rsid w:val="003E63C3"/>
    <w:rsid w:val="003E642E"/>
    <w:rsid w:val="003E6501"/>
    <w:rsid w:val="003E66FA"/>
    <w:rsid w:val="003E67BC"/>
    <w:rsid w:val="003E6A52"/>
    <w:rsid w:val="003E6AD1"/>
    <w:rsid w:val="003E6B59"/>
    <w:rsid w:val="003E6C3F"/>
    <w:rsid w:val="003E6CA2"/>
    <w:rsid w:val="003E6DC7"/>
    <w:rsid w:val="003E6EC9"/>
    <w:rsid w:val="003E702C"/>
    <w:rsid w:val="003E7044"/>
    <w:rsid w:val="003E70D9"/>
    <w:rsid w:val="003E73E8"/>
    <w:rsid w:val="003E7494"/>
    <w:rsid w:val="003E74F4"/>
    <w:rsid w:val="003E74F8"/>
    <w:rsid w:val="003E7535"/>
    <w:rsid w:val="003E759B"/>
    <w:rsid w:val="003E7846"/>
    <w:rsid w:val="003E7870"/>
    <w:rsid w:val="003E7AB3"/>
    <w:rsid w:val="003E7B9A"/>
    <w:rsid w:val="003E7CDE"/>
    <w:rsid w:val="003E7D2F"/>
    <w:rsid w:val="003E7E29"/>
    <w:rsid w:val="003E7E51"/>
    <w:rsid w:val="003E7E97"/>
    <w:rsid w:val="003E7F3F"/>
    <w:rsid w:val="003E7F45"/>
    <w:rsid w:val="003E7F94"/>
    <w:rsid w:val="003F018D"/>
    <w:rsid w:val="003F01C0"/>
    <w:rsid w:val="003F0239"/>
    <w:rsid w:val="003F02D7"/>
    <w:rsid w:val="003F034E"/>
    <w:rsid w:val="003F0509"/>
    <w:rsid w:val="003F0699"/>
    <w:rsid w:val="003F06DA"/>
    <w:rsid w:val="003F072F"/>
    <w:rsid w:val="003F0908"/>
    <w:rsid w:val="003F09C1"/>
    <w:rsid w:val="003F0A48"/>
    <w:rsid w:val="003F0CB7"/>
    <w:rsid w:val="003F0CC1"/>
    <w:rsid w:val="003F0D0E"/>
    <w:rsid w:val="003F0E03"/>
    <w:rsid w:val="003F0E13"/>
    <w:rsid w:val="003F0E27"/>
    <w:rsid w:val="003F0EDA"/>
    <w:rsid w:val="003F1211"/>
    <w:rsid w:val="003F14EE"/>
    <w:rsid w:val="003F1564"/>
    <w:rsid w:val="003F1597"/>
    <w:rsid w:val="003F1614"/>
    <w:rsid w:val="003F1694"/>
    <w:rsid w:val="003F181C"/>
    <w:rsid w:val="003F1A08"/>
    <w:rsid w:val="003F1A93"/>
    <w:rsid w:val="003F1AE3"/>
    <w:rsid w:val="003F1B49"/>
    <w:rsid w:val="003F1B57"/>
    <w:rsid w:val="003F2271"/>
    <w:rsid w:val="003F2433"/>
    <w:rsid w:val="003F2498"/>
    <w:rsid w:val="003F24FD"/>
    <w:rsid w:val="003F260B"/>
    <w:rsid w:val="003F26B8"/>
    <w:rsid w:val="003F26C6"/>
    <w:rsid w:val="003F2741"/>
    <w:rsid w:val="003F274C"/>
    <w:rsid w:val="003F2797"/>
    <w:rsid w:val="003F2898"/>
    <w:rsid w:val="003F28AF"/>
    <w:rsid w:val="003F2B3E"/>
    <w:rsid w:val="003F2D32"/>
    <w:rsid w:val="003F2E83"/>
    <w:rsid w:val="003F2F2D"/>
    <w:rsid w:val="003F2FBD"/>
    <w:rsid w:val="003F3250"/>
    <w:rsid w:val="003F34A6"/>
    <w:rsid w:val="003F34D8"/>
    <w:rsid w:val="003F355E"/>
    <w:rsid w:val="003F35B4"/>
    <w:rsid w:val="003F35E1"/>
    <w:rsid w:val="003F3631"/>
    <w:rsid w:val="003F3724"/>
    <w:rsid w:val="003F3827"/>
    <w:rsid w:val="003F3938"/>
    <w:rsid w:val="003F394A"/>
    <w:rsid w:val="003F39FE"/>
    <w:rsid w:val="003F3C93"/>
    <w:rsid w:val="003F3C95"/>
    <w:rsid w:val="003F3D2A"/>
    <w:rsid w:val="003F3D47"/>
    <w:rsid w:val="003F3DF6"/>
    <w:rsid w:val="003F3F5F"/>
    <w:rsid w:val="003F3F90"/>
    <w:rsid w:val="003F3FB9"/>
    <w:rsid w:val="003F4070"/>
    <w:rsid w:val="003F4104"/>
    <w:rsid w:val="003F422B"/>
    <w:rsid w:val="003F43E1"/>
    <w:rsid w:val="003F4583"/>
    <w:rsid w:val="003F470D"/>
    <w:rsid w:val="003F472D"/>
    <w:rsid w:val="003F47F7"/>
    <w:rsid w:val="003F492F"/>
    <w:rsid w:val="003F497D"/>
    <w:rsid w:val="003F49BE"/>
    <w:rsid w:val="003F49C6"/>
    <w:rsid w:val="003F49DA"/>
    <w:rsid w:val="003F4AED"/>
    <w:rsid w:val="003F4BD0"/>
    <w:rsid w:val="003F4C7E"/>
    <w:rsid w:val="003F4D98"/>
    <w:rsid w:val="003F4DA3"/>
    <w:rsid w:val="003F4EFC"/>
    <w:rsid w:val="003F4F11"/>
    <w:rsid w:val="003F506C"/>
    <w:rsid w:val="003F515D"/>
    <w:rsid w:val="003F5163"/>
    <w:rsid w:val="003F51C7"/>
    <w:rsid w:val="003F51F8"/>
    <w:rsid w:val="003F5203"/>
    <w:rsid w:val="003F5232"/>
    <w:rsid w:val="003F52D6"/>
    <w:rsid w:val="003F535E"/>
    <w:rsid w:val="003F5366"/>
    <w:rsid w:val="003F537E"/>
    <w:rsid w:val="003F54E0"/>
    <w:rsid w:val="003F5505"/>
    <w:rsid w:val="003F5533"/>
    <w:rsid w:val="003F5559"/>
    <w:rsid w:val="003F558E"/>
    <w:rsid w:val="003F55DF"/>
    <w:rsid w:val="003F5759"/>
    <w:rsid w:val="003F5847"/>
    <w:rsid w:val="003F5928"/>
    <w:rsid w:val="003F5965"/>
    <w:rsid w:val="003F5B5D"/>
    <w:rsid w:val="003F5C01"/>
    <w:rsid w:val="003F5C3B"/>
    <w:rsid w:val="003F5D04"/>
    <w:rsid w:val="003F5E07"/>
    <w:rsid w:val="003F5E7C"/>
    <w:rsid w:val="003F5F1B"/>
    <w:rsid w:val="003F5F70"/>
    <w:rsid w:val="003F5FFF"/>
    <w:rsid w:val="003F6053"/>
    <w:rsid w:val="003F60CF"/>
    <w:rsid w:val="003F624D"/>
    <w:rsid w:val="003F6314"/>
    <w:rsid w:val="003F6324"/>
    <w:rsid w:val="003F6507"/>
    <w:rsid w:val="003F6801"/>
    <w:rsid w:val="003F684B"/>
    <w:rsid w:val="003F688B"/>
    <w:rsid w:val="003F6909"/>
    <w:rsid w:val="003F69A2"/>
    <w:rsid w:val="003F69E2"/>
    <w:rsid w:val="003F6A7F"/>
    <w:rsid w:val="003F6D4E"/>
    <w:rsid w:val="003F6DC4"/>
    <w:rsid w:val="003F6E99"/>
    <w:rsid w:val="003F6E9F"/>
    <w:rsid w:val="003F704F"/>
    <w:rsid w:val="003F706F"/>
    <w:rsid w:val="003F70B8"/>
    <w:rsid w:val="003F71FA"/>
    <w:rsid w:val="003F72E3"/>
    <w:rsid w:val="003F7506"/>
    <w:rsid w:val="003F7596"/>
    <w:rsid w:val="003F760A"/>
    <w:rsid w:val="003F76DB"/>
    <w:rsid w:val="003F776D"/>
    <w:rsid w:val="003F792F"/>
    <w:rsid w:val="003F7ADA"/>
    <w:rsid w:val="003F7C4F"/>
    <w:rsid w:val="003F7C92"/>
    <w:rsid w:val="003F7DA0"/>
    <w:rsid w:val="003F7FB3"/>
    <w:rsid w:val="0040002E"/>
    <w:rsid w:val="00400055"/>
    <w:rsid w:val="004002AE"/>
    <w:rsid w:val="004002EF"/>
    <w:rsid w:val="004003B9"/>
    <w:rsid w:val="00400506"/>
    <w:rsid w:val="0040056D"/>
    <w:rsid w:val="004006B7"/>
    <w:rsid w:val="0040070C"/>
    <w:rsid w:val="0040098B"/>
    <w:rsid w:val="00400AAD"/>
    <w:rsid w:val="00400C12"/>
    <w:rsid w:val="00400D55"/>
    <w:rsid w:val="00400DA0"/>
    <w:rsid w:val="00400FC5"/>
    <w:rsid w:val="00400FF1"/>
    <w:rsid w:val="00401010"/>
    <w:rsid w:val="0040118D"/>
    <w:rsid w:val="00401275"/>
    <w:rsid w:val="0040127A"/>
    <w:rsid w:val="004013F9"/>
    <w:rsid w:val="004013FE"/>
    <w:rsid w:val="00401409"/>
    <w:rsid w:val="00401545"/>
    <w:rsid w:val="00401617"/>
    <w:rsid w:val="00401633"/>
    <w:rsid w:val="004016B2"/>
    <w:rsid w:val="004018AE"/>
    <w:rsid w:val="004018B9"/>
    <w:rsid w:val="00401971"/>
    <w:rsid w:val="00401AC7"/>
    <w:rsid w:val="00401B49"/>
    <w:rsid w:val="00401C3D"/>
    <w:rsid w:val="00401C67"/>
    <w:rsid w:val="00401D95"/>
    <w:rsid w:val="00401DAD"/>
    <w:rsid w:val="00401DFC"/>
    <w:rsid w:val="00401E8E"/>
    <w:rsid w:val="00401EC9"/>
    <w:rsid w:val="00401ECF"/>
    <w:rsid w:val="00401F3C"/>
    <w:rsid w:val="00401FF5"/>
    <w:rsid w:val="00402056"/>
    <w:rsid w:val="004021A6"/>
    <w:rsid w:val="00402279"/>
    <w:rsid w:val="004023FC"/>
    <w:rsid w:val="004024E7"/>
    <w:rsid w:val="004024F1"/>
    <w:rsid w:val="0040254B"/>
    <w:rsid w:val="0040259D"/>
    <w:rsid w:val="0040262C"/>
    <w:rsid w:val="0040266D"/>
    <w:rsid w:val="00402705"/>
    <w:rsid w:val="004027F2"/>
    <w:rsid w:val="0040290F"/>
    <w:rsid w:val="00402A06"/>
    <w:rsid w:val="00402AC4"/>
    <w:rsid w:val="00402CBE"/>
    <w:rsid w:val="00402EB6"/>
    <w:rsid w:val="00402ECB"/>
    <w:rsid w:val="00402EEF"/>
    <w:rsid w:val="00402F6C"/>
    <w:rsid w:val="0040303D"/>
    <w:rsid w:val="004030D4"/>
    <w:rsid w:val="0040316F"/>
    <w:rsid w:val="004031E8"/>
    <w:rsid w:val="0040326B"/>
    <w:rsid w:val="004032CF"/>
    <w:rsid w:val="004032DC"/>
    <w:rsid w:val="00403369"/>
    <w:rsid w:val="0040336B"/>
    <w:rsid w:val="004033F8"/>
    <w:rsid w:val="00403407"/>
    <w:rsid w:val="00403409"/>
    <w:rsid w:val="004035DF"/>
    <w:rsid w:val="0040364B"/>
    <w:rsid w:val="0040365C"/>
    <w:rsid w:val="004036FE"/>
    <w:rsid w:val="0040371E"/>
    <w:rsid w:val="00403863"/>
    <w:rsid w:val="004038AB"/>
    <w:rsid w:val="00403925"/>
    <w:rsid w:val="00403928"/>
    <w:rsid w:val="00403B2C"/>
    <w:rsid w:val="00403BA7"/>
    <w:rsid w:val="00403BDA"/>
    <w:rsid w:val="00403BF6"/>
    <w:rsid w:val="00403CB7"/>
    <w:rsid w:val="00403D25"/>
    <w:rsid w:val="00403D36"/>
    <w:rsid w:val="00403D87"/>
    <w:rsid w:val="00403E47"/>
    <w:rsid w:val="004040C5"/>
    <w:rsid w:val="00404341"/>
    <w:rsid w:val="0040434C"/>
    <w:rsid w:val="0040438A"/>
    <w:rsid w:val="004044D7"/>
    <w:rsid w:val="00404512"/>
    <w:rsid w:val="004045C0"/>
    <w:rsid w:val="004045EE"/>
    <w:rsid w:val="00404655"/>
    <w:rsid w:val="004046C6"/>
    <w:rsid w:val="0040494B"/>
    <w:rsid w:val="004049FD"/>
    <w:rsid w:val="00404B39"/>
    <w:rsid w:val="00404BEC"/>
    <w:rsid w:val="00404EB0"/>
    <w:rsid w:val="00404F4D"/>
    <w:rsid w:val="004050A0"/>
    <w:rsid w:val="004050E0"/>
    <w:rsid w:val="0040519C"/>
    <w:rsid w:val="00405296"/>
    <w:rsid w:val="004052A6"/>
    <w:rsid w:val="0040539A"/>
    <w:rsid w:val="0040543D"/>
    <w:rsid w:val="0040557C"/>
    <w:rsid w:val="004056F1"/>
    <w:rsid w:val="00405780"/>
    <w:rsid w:val="00405998"/>
    <w:rsid w:val="004059AC"/>
    <w:rsid w:val="00405A96"/>
    <w:rsid w:val="00405C48"/>
    <w:rsid w:val="00405F16"/>
    <w:rsid w:val="00405F3A"/>
    <w:rsid w:val="00406048"/>
    <w:rsid w:val="00406050"/>
    <w:rsid w:val="004060FF"/>
    <w:rsid w:val="00406101"/>
    <w:rsid w:val="0040610D"/>
    <w:rsid w:val="0040611D"/>
    <w:rsid w:val="004061CE"/>
    <w:rsid w:val="004063B9"/>
    <w:rsid w:val="0040640D"/>
    <w:rsid w:val="00406446"/>
    <w:rsid w:val="004064C2"/>
    <w:rsid w:val="004065B1"/>
    <w:rsid w:val="00406647"/>
    <w:rsid w:val="004067CB"/>
    <w:rsid w:val="00406B96"/>
    <w:rsid w:val="00406D59"/>
    <w:rsid w:val="00406DFB"/>
    <w:rsid w:val="00406F83"/>
    <w:rsid w:val="00407137"/>
    <w:rsid w:val="00407207"/>
    <w:rsid w:val="0040732B"/>
    <w:rsid w:val="00407356"/>
    <w:rsid w:val="00407380"/>
    <w:rsid w:val="004073DD"/>
    <w:rsid w:val="0040763E"/>
    <w:rsid w:val="00407670"/>
    <w:rsid w:val="004076B6"/>
    <w:rsid w:val="0040772F"/>
    <w:rsid w:val="00407771"/>
    <w:rsid w:val="0040778D"/>
    <w:rsid w:val="004078B5"/>
    <w:rsid w:val="004078E9"/>
    <w:rsid w:val="00407A44"/>
    <w:rsid w:val="00407AD2"/>
    <w:rsid w:val="00407B70"/>
    <w:rsid w:val="00407CCA"/>
    <w:rsid w:val="00407DBE"/>
    <w:rsid w:val="00407F8A"/>
    <w:rsid w:val="00407FB4"/>
    <w:rsid w:val="00407FF0"/>
    <w:rsid w:val="00410123"/>
    <w:rsid w:val="0041014C"/>
    <w:rsid w:val="004101C0"/>
    <w:rsid w:val="004101C7"/>
    <w:rsid w:val="00410207"/>
    <w:rsid w:val="0041023D"/>
    <w:rsid w:val="0041028D"/>
    <w:rsid w:val="004102EE"/>
    <w:rsid w:val="00410386"/>
    <w:rsid w:val="00410485"/>
    <w:rsid w:val="004104B9"/>
    <w:rsid w:val="0041059C"/>
    <w:rsid w:val="004105A2"/>
    <w:rsid w:val="004106EC"/>
    <w:rsid w:val="0041070D"/>
    <w:rsid w:val="00410772"/>
    <w:rsid w:val="0041077C"/>
    <w:rsid w:val="004107D4"/>
    <w:rsid w:val="00410963"/>
    <w:rsid w:val="00410967"/>
    <w:rsid w:val="00410972"/>
    <w:rsid w:val="00410B46"/>
    <w:rsid w:val="00410BBE"/>
    <w:rsid w:val="00410C7A"/>
    <w:rsid w:val="00410D3C"/>
    <w:rsid w:val="00410DCC"/>
    <w:rsid w:val="00410DD8"/>
    <w:rsid w:val="00410EFE"/>
    <w:rsid w:val="004112CA"/>
    <w:rsid w:val="00411433"/>
    <w:rsid w:val="004115AA"/>
    <w:rsid w:val="004115B9"/>
    <w:rsid w:val="004115EF"/>
    <w:rsid w:val="0041160F"/>
    <w:rsid w:val="004117D9"/>
    <w:rsid w:val="0041183A"/>
    <w:rsid w:val="004118D3"/>
    <w:rsid w:val="004118E3"/>
    <w:rsid w:val="00411AC4"/>
    <w:rsid w:val="00411AFA"/>
    <w:rsid w:val="00411B4A"/>
    <w:rsid w:val="00411B63"/>
    <w:rsid w:val="00411B71"/>
    <w:rsid w:val="00411EB2"/>
    <w:rsid w:val="00411ED4"/>
    <w:rsid w:val="00411F72"/>
    <w:rsid w:val="00411FA3"/>
    <w:rsid w:val="00411FBC"/>
    <w:rsid w:val="00412061"/>
    <w:rsid w:val="004121C0"/>
    <w:rsid w:val="00412549"/>
    <w:rsid w:val="0041259A"/>
    <w:rsid w:val="00412779"/>
    <w:rsid w:val="004127B9"/>
    <w:rsid w:val="00412818"/>
    <w:rsid w:val="00412984"/>
    <w:rsid w:val="004129E5"/>
    <w:rsid w:val="00412ADC"/>
    <w:rsid w:val="00412BDB"/>
    <w:rsid w:val="00412C31"/>
    <w:rsid w:val="00412CF6"/>
    <w:rsid w:val="00412D7D"/>
    <w:rsid w:val="00412FF2"/>
    <w:rsid w:val="004130C3"/>
    <w:rsid w:val="0041321A"/>
    <w:rsid w:val="00413242"/>
    <w:rsid w:val="004132BB"/>
    <w:rsid w:val="004133C2"/>
    <w:rsid w:val="004133E5"/>
    <w:rsid w:val="00413416"/>
    <w:rsid w:val="004134D2"/>
    <w:rsid w:val="0041361B"/>
    <w:rsid w:val="0041374F"/>
    <w:rsid w:val="004137D1"/>
    <w:rsid w:val="004137DC"/>
    <w:rsid w:val="00413886"/>
    <w:rsid w:val="004138AE"/>
    <w:rsid w:val="0041390E"/>
    <w:rsid w:val="00413950"/>
    <w:rsid w:val="00413A0A"/>
    <w:rsid w:val="00413A24"/>
    <w:rsid w:val="00413C75"/>
    <w:rsid w:val="00413C91"/>
    <w:rsid w:val="00413DA7"/>
    <w:rsid w:val="00413F35"/>
    <w:rsid w:val="00413F5A"/>
    <w:rsid w:val="004141E5"/>
    <w:rsid w:val="00414274"/>
    <w:rsid w:val="004142E4"/>
    <w:rsid w:val="00414458"/>
    <w:rsid w:val="0041455D"/>
    <w:rsid w:val="004145E0"/>
    <w:rsid w:val="004145FD"/>
    <w:rsid w:val="00414619"/>
    <w:rsid w:val="00414665"/>
    <w:rsid w:val="004149B2"/>
    <w:rsid w:val="004149D0"/>
    <w:rsid w:val="00414A0F"/>
    <w:rsid w:val="00414AB5"/>
    <w:rsid w:val="00414AD4"/>
    <w:rsid w:val="00414B1B"/>
    <w:rsid w:val="00414CC9"/>
    <w:rsid w:val="00414F52"/>
    <w:rsid w:val="00414F8A"/>
    <w:rsid w:val="0041508D"/>
    <w:rsid w:val="00415147"/>
    <w:rsid w:val="0041520C"/>
    <w:rsid w:val="00415328"/>
    <w:rsid w:val="00415363"/>
    <w:rsid w:val="004153CD"/>
    <w:rsid w:val="00415470"/>
    <w:rsid w:val="00415553"/>
    <w:rsid w:val="004155A9"/>
    <w:rsid w:val="004155B1"/>
    <w:rsid w:val="004155BB"/>
    <w:rsid w:val="004155C3"/>
    <w:rsid w:val="004156B5"/>
    <w:rsid w:val="004156D0"/>
    <w:rsid w:val="00415707"/>
    <w:rsid w:val="00415840"/>
    <w:rsid w:val="00415850"/>
    <w:rsid w:val="0041597A"/>
    <w:rsid w:val="00415C0B"/>
    <w:rsid w:val="00415C59"/>
    <w:rsid w:val="00415CEB"/>
    <w:rsid w:val="00415D0F"/>
    <w:rsid w:val="00415D3A"/>
    <w:rsid w:val="00415D51"/>
    <w:rsid w:val="00415ECC"/>
    <w:rsid w:val="00415F52"/>
    <w:rsid w:val="00415F65"/>
    <w:rsid w:val="00415F89"/>
    <w:rsid w:val="00416139"/>
    <w:rsid w:val="004163D7"/>
    <w:rsid w:val="004163F8"/>
    <w:rsid w:val="004163FA"/>
    <w:rsid w:val="00416435"/>
    <w:rsid w:val="00416503"/>
    <w:rsid w:val="00416712"/>
    <w:rsid w:val="00416823"/>
    <w:rsid w:val="0041699E"/>
    <w:rsid w:val="00416AE1"/>
    <w:rsid w:val="00416B9B"/>
    <w:rsid w:val="00416C3C"/>
    <w:rsid w:val="00416CAA"/>
    <w:rsid w:val="00416E40"/>
    <w:rsid w:val="00416E50"/>
    <w:rsid w:val="00416E8C"/>
    <w:rsid w:val="00416F3C"/>
    <w:rsid w:val="00416FF1"/>
    <w:rsid w:val="004170CA"/>
    <w:rsid w:val="004170D8"/>
    <w:rsid w:val="0041717D"/>
    <w:rsid w:val="0041726A"/>
    <w:rsid w:val="004172DE"/>
    <w:rsid w:val="0041737F"/>
    <w:rsid w:val="0041741D"/>
    <w:rsid w:val="00417511"/>
    <w:rsid w:val="00417793"/>
    <w:rsid w:val="00417AC2"/>
    <w:rsid w:val="00417B91"/>
    <w:rsid w:val="00417BB4"/>
    <w:rsid w:val="00417C9A"/>
    <w:rsid w:val="00417D23"/>
    <w:rsid w:val="00417E7F"/>
    <w:rsid w:val="00417FB7"/>
    <w:rsid w:val="00420054"/>
    <w:rsid w:val="0042011D"/>
    <w:rsid w:val="0042014C"/>
    <w:rsid w:val="0042017E"/>
    <w:rsid w:val="004201A7"/>
    <w:rsid w:val="00420363"/>
    <w:rsid w:val="004203F5"/>
    <w:rsid w:val="00420490"/>
    <w:rsid w:val="00420506"/>
    <w:rsid w:val="004208A9"/>
    <w:rsid w:val="00420955"/>
    <w:rsid w:val="00420BB1"/>
    <w:rsid w:val="00420BB6"/>
    <w:rsid w:val="00420BD2"/>
    <w:rsid w:val="00420C8C"/>
    <w:rsid w:val="00420CEC"/>
    <w:rsid w:val="00420E43"/>
    <w:rsid w:val="00420EF3"/>
    <w:rsid w:val="00420F57"/>
    <w:rsid w:val="00420F79"/>
    <w:rsid w:val="00421018"/>
    <w:rsid w:val="00421044"/>
    <w:rsid w:val="00421082"/>
    <w:rsid w:val="004210BD"/>
    <w:rsid w:val="00421274"/>
    <w:rsid w:val="00421338"/>
    <w:rsid w:val="004213A8"/>
    <w:rsid w:val="00421656"/>
    <w:rsid w:val="004217BC"/>
    <w:rsid w:val="0042187C"/>
    <w:rsid w:val="00421919"/>
    <w:rsid w:val="00421946"/>
    <w:rsid w:val="00421992"/>
    <w:rsid w:val="004219E7"/>
    <w:rsid w:val="00421B06"/>
    <w:rsid w:val="00421B23"/>
    <w:rsid w:val="00421B48"/>
    <w:rsid w:val="00421B5E"/>
    <w:rsid w:val="00421BB9"/>
    <w:rsid w:val="00421CCE"/>
    <w:rsid w:val="00421E8D"/>
    <w:rsid w:val="00422057"/>
    <w:rsid w:val="00422095"/>
    <w:rsid w:val="004221A8"/>
    <w:rsid w:val="004221BE"/>
    <w:rsid w:val="004222D2"/>
    <w:rsid w:val="00422393"/>
    <w:rsid w:val="004223BE"/>
    <w:rsid w:val="00422433"/>
    <w:rsid w:val="00422479"/>
    <w:rsid w:val="00422568"/>
    <w:rsid w:val="004225C2"/>
    <w:rsid w:val="00422669"/>
    <w:rsid w:val="00422782"/>
    <w:rsid w:val="00422BA9"/>
    <w:rsid w:val="00422D0D"/>
    <w:rsid w:val="00422D30"/>
    <w:rsid w:val="00422D78"/>
    <w:rsid w:val="00422D86"/>
    <w:rsid w:val="0042315B"/>
    <w:rsid w:val="00423182"/>
    <w:rsid w:val="004231A5"/>
    <w:rsid w:val="0042328A"/>
    <w:rsid w:val="00423382"/>
    <w:rsid w:val="0042338B"/>
    <w:rsid w:val="0042346F"/>
    <w:rsid w:val="004234B8"/>
    <w:rsid w:val="004234E2"/>
    <w:rsid w:val="004236F4"/>
    <w:rsid w:val="004237F1"/>
    <w:rsid w:val="00423BB5"/>
    <w:rsid w:val="00423BFB"/>
    <w:rsid w:val="00423C6F"/>
    <w:rsid w:val="00423C90"/>
    <w:rsid w:val="00423DA1"/>
    <w:rsid w:val="00423E25"/>
    <w:rsid w:val="00423E3B"/>
    <w:rsid w:val="00423F7C"/>
    <w:rsid w:val="004240DD"/>
    <w:rsid w:val="0042412E"/>
    <w:rsid w:val="004242CB"/>
    <w:rsid w:val="0042449B"/>
    <w:rsid w:val="00424512"/>
    <w:rsid w:val="00424667"/>
    <w:rsid w:val="00424696"/>
    <w:rsid w:val="004247C7"/>
    <w:rsid w:val="0042487A"/>
    <w:rsid w:val="004248D1"/>
    <w:rsid w:val="00424910"/>
    <w:rsid w:val="00424978"/>
    <w:rsid w:val="004249FE"/>
    <w:rsid w:val="00424A14"/>
    <w:rsid w:val="00424A56"/>
    <w:rsid w:val="00424BF3"/>
    <w:rsid w:val="00424C5B"/>
    <w:rsid w:val="00424D27"/>
    <w:rsid w:val="00424D7D"/>
    <w:rsid w:val="00424DF3"/>
    <w:rsid w:val="00424E96"/>
    <w:rsid w:val="0042503F"/>
    <w:rsid w:val="00425218"/>
    <w:rsid w:val="00425291"/>
    <w:rsid w:val="00425320"/>
    <w:rsid w:val="0042535D"/>
    <w:rsid w:val="00425462"/>
    <w:rsid w:val="004254EA"/>
    <w:rsid w:val="004254EC"/>
    <w:rsid w:val="00425575"/>
    <w:rsid w:val="00425651"/>
    <w:rsid w:val="00425689"/>
    <w:rsid w:val="00425718"/>
    <w:rsid w:val="00425815"/>
    <w:rsid w:val="00425830"/>
    <w:rsid w:val="00425888"/>
    <w:rsid w:val="00425912"/>
    <w:rsid w:val="0042599E"/>
    <w:rsid w:val="00425A24"/>
    <w:rsid w:val="00425A6F"/>
    <w:rsid w:val="00425AA8"/>
    <w:rsid w:val="00425B6F"/>
    <w:rsid w:val="00425BDD"/>
    <w:rsid w:val="00425BF3"/>
    <w:rsid w:val="00425D4A"/>
    <w:rsid w:val="00425E31"/>
    <w:rsid w:val="00425E47"/>
    <w:rsid w:val="00426040"/>
    <w:rsid w:val="00426092"/>
    <w:rsid w:val="004260AE"/>
    <w:rsid w:val="004260C7"/>
    <w:rsid w:val="004260D3"/>
    <w:rsid w:val="004260FE"/>
    <w:rsid w:val="00426115"/>
    <w:rsid w:val="004261EA"/>
    <w:rsid w:val="0042628A"/>
    <w:rsid w:val="00426394"/>
    <w:rsid w:val="004264EF"/>
    <w:rsid w:val="0042655A"/>
    <w:rsid w:val="004266D7"/>
    <w:rsid w:val="004266F3"/>
    <w:rsid w:val="004267A3"/>
    <w:rsid w:val="00426975"/>
    <w:rsid w:val="00426985"/>
    <w:rsid w:val="004269F2"/>
    <w:rsid w:val="00426A75"/>
    <w:rsid w:val="00426B1D"/>
    <w:rsid w:val="00426BCA"/>
    <w:rsid w:val="00426C30"/>
    <w:rsid w:val="00426C48"/>
    <w:rsid w:val="00426D20"/>
    <w:rsid w:val="00426D30"/>
    <w:rsid w:val="00426E9A"/>
    <w:rsid w:val="00426F16"/>
    <w:rsid w:val="00426FFE"/>
    <w:rsid w:val="0042718B"/>
    <w:rsid w:val="00427223"/>
    <w:rsid w:val="00427339"/>
    <w:rsid w:val="004273C5"/>
    <w:rsid w:val="0042761C"/>
    <w:rsid w:val="004278B2"/>
    <w:rsid w:val="004279E4"/>
    <w:rsid w:val="00427A0B"/>
    <w:rsid w:val="00427A8F"/>
    <w:rsid w:val="00427B84"/>
    <w:rsid w:val="00427BDD"/>
    <w:rsid w:val="00427CD6"/>
    <w:rsid w:val="00427CDF"/>
    <w:rsid w:val="00427E82"/>
    <w:rsid w:val="00427F01"/>
    <w:rsid w:val="004300CA"/>
    <w:rsid w:val="004302E6"/>
    <w:rsid w:val="0043039E"/>
    <w:rsid w:val="004303F6"/>
    <w:rsid w:val="004305E0"/>
    <w:rsid w:val="0043069E"/>
    <w:rsid w:val="004306CA"/>
    <w:rsid w:val="004306FF"/>
    <w:rsid w:val="0043071B"/>
    <w:rsid w:val="00430786"/>
    <w:rsid w:val="00430796"/>
    <w:rsid w:val="00430885"/>
    <w:rsid w:val="004308E6"/>
    <w:rsid w:val="00430978"/>
    <w:rsid w:val="00430A69"/>
    <w:rsid w:val="00430EE2"/>
    <w:rsid w:val="00431132"/>
    <w:rsid w:val="00431188"/>
    <w:rsid w:val="004311CB"/>
    <w:rsid w:val="004312F1"/>
    <w:rsid w:val="004312F5"/>
    <w:rsid w:val="00431372"/>
    <w:rsid w:val="004313EA"/>
    <w:rsid w:val="00431432"/>
    <w:rsid w:val="00431447"/>
    <w:rsid w:val="0043160B"/>
    <w:rsid w:val="0043184E"/>
    <w:rsid w:val="00431888"/>
    <w:rsid w:val="004318D7"/>
    <w:rsid w:val="0043192F"/>
    <w:rsid w:val="0043193F"/>
    <w:rsid w:val="00431A60"/>
    <w:rsid w:val="00431BCE"/>
    <w:rsid w:val="00431DBD"/>
    <w:rsid w:val="00431EBB"/>
    <w:rsid w:val="00431F7B"/>
    <w:rsid w:val="00432125"/>
    <w:rsid w:val="00432272"/>
    <w:rsid w:val="004322C6"/>
    <w:rsid w:val="004323E4"/>
    <w:rsid w:val="00432450"/>
    <w:rsid w:val="004325BB"/>
    <w:rsid w:val="004325C6"/>
    <w:rsid w:val="00432623"/>
    <w:rsid w:val="00432732"/>
    <w:rsid w:val="00432759"/>
    <w:rsid w:val="004328ED"/>
    <w:rsid w:val="00432922"/>
    <w:rsid w:val="00432970"/>
    <w:rsid w:val="00432A15"/>
    <w:rsid w:val="00432B90"/>
    <w:rsid w:val="00432CA4"/>
    <w:rsid w:val="00432CAD"/>
    <w:rsid w:val="00432D49"/>
    <w:rsid w:val="00432D5D"/>
    <w:rsid w:val="00432F72"/>
    <w:rsid w:val="00432F94"/>
    <w:rsid w:val="00433054"/>
    <w:rsid w:val="004333B5"/>
    <w:rsid w:val="00433508"/>
    <w:rsid w:val="00433642"/>
    <w:rsid w:val="004336FB"/>
    <w:rsid w:val="004337BB"/>
    <w:rsid w:val="00433825"/>
    <w:rsid w:val="0043399E"/>
    <w:rsid w:val="00433D0B"/>
    <w:rsid w:val="00433DBD"/>
    <w:rsid w:val="00433DE0"/>
    <w:rsid w:val="00433E31"/>
    <w:rsid w:val="00433E6F"/>
    <w:rsid w:val="00433E9B"/>
    <w:rsid w:val="00433ECB"/>
    <w:rsid w:val="00433EFB"/>
    <w:rsid w:val="00433F76"/>
    <w:rsid w:val="0043430E"/>
    <w:rsid w:val="0043433A"/>
    <w:rsid w:val="00434351"/>
    <w:rsid w:val="00434366"/>
    <w:rsid w:val="0043440E"/>
    <w:rsid w:val="00434423"/>
    <w:rsid w:val="004344EB"/>
    <w:rsid w:val="004345E5"/>
    <w:rsid w:val="00434811"/>
    <w:rsid w:val="0043487C"/>
    <w:rsid w:val="004348B0"/>
    <w:rsid w:val="004348CC"/>
    <w:rsid w:val="0043496E"/>
    <w:rsid w:val="00434A01"/>
    <w:rsid w:val="00434A1C"/>
    <w:rsid w:val="00434B7E"/>
    <w:rsid w:val="00434BD6"/>
    <w:rsid w:val="00434CA6"/>
    <w:rsid w:val="00434D1F"/>
    <w:rsid w:val="00434D27"/>
    <w:rsid w:val="00434DB9"/>
    <w:rsid w:val="00434DF6"/>
    <w:rsid w:val="0043501A"/>
    <w:rsid w:val="0043502E"/>
    <w:rsid w:val="00435121"/>
    <w:rsid w:val="00435224"/>
    <w:rsid w:val="00435270"/>
    <w:rsid w:val="0043534E"/>
    <w:rsid w:val="00435376"/>
    <w:rsid w:val="004353C7"/>
    <w:rsid w:val="00435548"/>
    <w:rsid w:val="00435664"/>
    <w:rsid w:val="00435687"/>
    <w:rsid w:val="004356C6"/>
    <w:rsid w:val="004356DA"/>
    <w:rsid w:val="00435773"/>
    <w:rsid w:val="004357FE"/>
    <w:rsid w:val="00435823"/>
    <w:rsid w:val="0043584B"/>
    <w:rsid w:val="004358DA"/>
    <w:rsid w:val="004358FA"/>
    <w:rsid w:val="00435959"/>
    <w:rsid w:val="004359C6"/>
    <w:rsid w:val="00435A7D"/>
    <w:rsid w:val="00435AA3"/>
    <w:rsid w:val="00435B0B"/>
    <w:rsid w:val="00435B16"/>
    <w:rsid w:val="00435B5C"/>
    <w:rsid w:val="00435BBE"/>
    <w:rsid w:val="00435E2B"/>
    <w:rsid w:val="00435E5C"/>
    <w:rsid w:val="00435EC3"/>
    <w:rsid w:val="00435ED4"/>
    <w:rsid w:val="00436185"/>
    <w:rsid w:val="0043624D"/>
    <w:rsid w:val="004363E3"/>
    <w:rsid w:val="0043643A"/>
    <w:rsid w:val="004365F6"/>
    <w:rsid w:val="0043660A"/>
    <w:rsid w:val="00436651"/>
    <w:rsid w:val="004366DC"/>
    <w:rsid w:val="0043673C"/>
    <w:rsid w:val="00436774"/>
    <w:rsid w:val="00436781"/>
    <w:rsid w:val="004367A4"/>
    <w:rsid w:val="00436829"/>
    <w:rsid w:val="00436945"/>
    <w:rsid w:val="00436AC3"/>
    <w:rsid w:val="00436B1D"/>
    <w:rsid w:val="00436D2B"/>
    <w:rsid w:val="00436D5B"/>
    <w:rsid w:val="00436D63"/>
    <w:rsid w:val="00436DCC"/>
    <w:rsid w:val="00436E96"/>
    <w:rsid w:val="00436EE9"/>
    <w:rsid w:val="00436F83"/>
    <w:rsid w:val="0043710A"/>
    <w:rsid w:val="004372C0"/>
    <w:rsid w:val="0043739D"/>
    <w:rsid w:val="004373B8"/>
    <w:rsid w:val="0043753B"/>
    <w:rsid w:val="00437586"/>
    <w:rsid w:val="00437704"/>
    <w:rsid w:val="004378CF"/>
    <w:rsid w:val="004379AA"/>
    <w:rsid w:val="004379E8"/>
    <w:rsid w:val="00437A23"/>
    <w:rsid w:val="00437A7D"/>
    <w:rsid w:val="00437BD9"/>
    <w:rsid w:val="00437C84"/>
    <w:rsid w:val="00437CFF"/>
    <w:rsid w:val="00437D27"/>
    <w:rsid w:val="00437F67"/>
    <w:rsid w:val="00440192"/>
    <w:rsid w:val="004402FF"/>
    <w:rsid w:val="00440379"/>
    <w:rsid w:val="004403C2"/>
    <w:rsid w:val="00440444"/>
    <w:rsid w:val="00440448"/>
    <w:rsid w:val="004404B8"/>
    <w:rsid w:val="004404F9"/>
    <w:rsid w:val="0044053B"/>
    <w:rsid w:val="00440586"/>
    <w:rsid w:val="00440687"/>
    <w:rsid w:val="0044069F"/>
    <w:rsid w:val="00440707"/>
    <w:rsid w:val="0044080D"/>
    <w:rsid w:val="00440852"/>
    <w:rsid w:val="004408A9"/>
    <w:rsid w:val="00440A17"/>
    <w:rsid w:val="00440A24"/>
    <w:rsid w:val="00440CCE"/>
    <w:rsid w:val="00440D4B"/>
    <w:rsid w:val="00440D8B"/>
    <w:rsid w:val="00440D8E"/>
    <w:rsid w:val="00440F9C"/>
    <w:rsid w:val="0044125D"/>
    <w:rsid w:val="004412F2"/>
    <w:rsid w:val="004413AE"/>
    <w:rsid w:val="004415D9"/>
    <w:rsid w:val="0044177F"/>
    <w:rsid w:val="00441786"/>
    <w:rsid w:val="00441863"/>
    <w:rsid w:val="00441961"/>
    <w:rsid w:val="00441988"/>
    <w:rsid w:val="004419D6"/>
    <w:rsid w:val="00441A41"/>
    <w:rsid w:val="00441ADA"/>
    <w:rsid w:val="00441AE7"/>
    <w:rsid w:val="00441B1C"/>
    <w:rsid w:val="00441B5E"/>
    <w:rsid w:val="00441BB5"/>
    <w:rsid w:val="00441D52"/>
    <w:rsid w:val="00441D7D"/>
    <w:rsid w:val="00441DD8"/>
    <w:rsid w:val="00441E56"/>
    <w:rsid w:val="00441F4D"/>
    <w:rsid w:val="00442216"/>
    <w:rsid w:val="0044225D"/>
    <w:rsid w:val="00442282"/>
    <w:rsid w:val="00442363"/>
    <w:rsid w:val="004423A8"/>
    <w:rsid w:val="004423C7"/>
    <w:rsid w:val="004423F6"/>
    <w:rsid w:val="00442562"/>
    <w:rsid w:val="0044258D"/>
    <w:rsid w:val="0044264F"/>
    <w:rsid w:val="0044268E"/>
    <w:rsid w:val="004426C4"/>
    <w:rsid w:val="004428AF"/>
    <w:rsid w:val="004429A6"/>
    <w:rsid w:val="004429B8"/>
    <w:rsid w:val="00442A4A"/>
    <w:rsid w:val="00442B01"/>
    <w:rsid w:val="00442D48"/>
    <w:rsid w:val="00442D4D"/>
    <w:rsid w:val="00442E01"/>
    <w:rsid w:val="00442E72"/>
    <w:rsid w:val="00442E96"/>
    <w:rsid w:val="00442FF0"/>
    <w:rsid w:val="00443023"/>
    <w:rsid w:val="0044308B"/>
    <w:rsid w:val="00443197"/>
    <w:rsid w:val="0044326B"/>
    <w:rsid w:val="00443287"/>
    <w:rsid w:val="00443289"/>
    <w:rsid w:val="004433C2"/>
    <w:rsid w:val="0044344A"/>
    <w:rsid w:val="004434A5"/>
    <w:rsid w:val="00443543"/>
    <w:rsid w:val="00443641"/>
    <w:rsid w:val="00443731"/>
    <w:rsid w:val="0044373B"/>
    <w:rsid w:val="00443939"/>
    <w:rsid w:val="00443A36"/>
    <w:rsid w:val="00443A4C"/>
    <w:rsid w:val="00443A5F"/>
    <w:rsid w:val="00443AB4"/>
    <w:rsid w:val="00443B07"/>
    <w:rsid w:val="00443B82"/>
    <w:rsid w:val="00443BF8"/>
    <w:rsid w:val="00443C39"/>
    <w:rsid w:val="00443CED"/>
    <w:rsid w:val="00443DA4"/>
    <w:rsid w:val="00443DA7"/>
    <w:rsid w:val="00443E7A"/>
    <w:rsid w:val="00443E93"/>
    <w:rsid w:val="004440B0"/>
    <w:rsid w:val="00444299"/>
    <w:rsid w:val="00444367"/>
    <w:rsid w:val="004443C1"/>
    <w:rsid w:val="004443DB"/>
    <w:rsid w:val="00444438"/>
    <w:rsid w:val="0044452E"/>
    <w:rsid w:val="00444562"/>
    <w:rsid w:val="0044459B"/>
    <w:rsid w:val="0044461D"/>
    <w:rsid w:val="00444775"/>
    <w:rsid w:val="004447C4"/>
    <w:rsid w:val="00444959"/>
    <w:rsid w:val="00444965"/>
    <w:rsid w:val="00444A4E"/>
    <w:rsid w:val="00444A91"/>
    <w:rsid w:val="00444BE0"/>
    <w:rsid w:val="00444C68"/>
    <w:rsid w:val="00444CF7"/>
    <w:rsid w:val="00444D0E"/>
    <w:rsid w:val="00444D5F"/>
    <w:rsid w:val="00444DCF"/>
    <w:rsid w:val="00444DD4"/>
    <w:rsid w:val="00444E1D"/>
    <w:rsid w:val="00444F00"/>
    <w:rsid w:val="00445052"/>
    <w:rsid w:val="004450AC"/>
    <w:rsid w:val="004451A2"/>
    <w:rsid w:val="00445238"/>
    <w:rsid w:val="0044527E"/>
    <w:rsid w:val="004452A4"/>
    <w:rsid w:val="004452A9"/>
    <w:rsid w:val="00445475"/>
    <w:rsid w:val="0044552F"/>
    <w:rsid w:val="004456FB"/>
    <w:rsid w:val="004459D5"/>
    <w:rsid w:val="004459F5"/>
    <w:rsid w:val="00445A1F"/>
    <w:rsid w:val="00445A43"/>
    <w:rsid w:val="00445A62"/>
    <w:rsid w:val="00445B0F"/>
    <w:rsid w:val="00445B30"/>
    <w:rsid w:val="00445B3A"/>
    <w:rsid w:val="00445B5D"/>
    <w:rsid w:val="00445C4D"/>
    <w:rsid w:val="00445C83"/>
    <w:rsid w:val="00445D3F"/>
    <w:rsid w:val="00445D62"/>
    <w:rsid w:val="00445EB6"/>
    <w:rsid w:val="00445F31"/>
    <w:rsid w:val="004460B7"/>
    <w:rsid w:val="004460E4"/>
    <w:rsid w:val="004460FC"/>
    <w:rsid w:val="00446131"/>
    <w:rsid w:val="00446157"/>
    <w:rsid w:val="004461AF"/>
    <w:rsid w:val="004462EF"/>
    <w:rsid w:val="004463BC"/>
    <w:rsid w:val="00446457"/>
    <w:rsid w:val="004464BB"/>
    <w:rsid w:val="004464C9"/>
    <w:rsid w:val="004465AB"/>
    <w:rsid w:val="004465B1"/>
    <w:rsid w:val="004465BA"/>
    <w:rsid w:val="00446671"/>
    <w:rsid w:val="00446877"/>
    <w:rsid w:val="004468A6"/>
    <w:rsid w:val="00446A3F"/>
    <w:rsid w:val="00446B73"/>
    <w:rsid w:val="00446C5A"/>
    <w:rsid w:val="00446CF7"/>
    <w:rsid w:val="00446E9A"/>
    <w:rsid w:val="00446ED6"/>
    <w:rsid w:val="00447092"/>
    <w:rsid w:val="00447156"/>
    <w:rsid w:val="0044715E"/>
    <w:rsid w:val="004471CD"/>
    <w:rsid w:val="004472B1"/>
    <w:rsid w:val="00447316"/>
    <w:rsid w:val="00447329"/>
    <w:rsid w:val="0044739A"/>
    <w:rsid w:val="004473AC"/>
    <w:rsid w:val="00447447"/>
    <w:rsid w:val="004474D1"/>
    <w:rsid w:val="004475A5"/>
    <w:rsid w:val="0044761A"/>
    <w:rsid w:val="0044769A"/>
    <w:rsid w:val="00447806"/>
    <w:rsid w:val="0044796B"/>
    <w:rsid w:val="004479A0"/>
    <w:rsid w:val="004479A6"/>
    <w:rsid w:val="00447AF9"/>
    <w:rsid w:val="00447B40"/>
    <w:rsid w:val="00447D22"/>
    <w:rsid w:val="00447EB0"/>
    <w:rsid w:val="00447FD3"/>
    <w:rsid w:val="0045031C"/>
    <w:rsid w:val="00450498"/>
    <w:rsid w:val="0045049C"/>
    <w:rsid w:val="004505BA"/>
    <w:rsid w:val="004506C8"/>
    <w:rsid w:val="00450741"/>
    <w:rsid w:val="00450863"/>
    <w:rsid w:val="00450A38"/>
    <w:rsid w:val="00450A6D"/>
    <w:rsid w:val="00450D57"/>
    <w:rsid w:val="00450E32"/>
    <w:rsid w:val="00450FA8"/>
    <w:rsid w:val="00451081"/>
    <w:rsid w:val="00451201"/>
    <w:rsid w:val="0045125E"/>
    <w:rsid w:val="004512BF"/>
    <w:rsid w:val="004512CF"/>
    <w:rsid w:val="004512E0"/>
    <w:rsid w:val="00451329"/>
    <w:rsid w:val="00451361"/>
    <w:rsid w:val="00451378"/>
    <w:rsid w:val="00451411"/>
    <w:rsid w:val="00451459"/>
    <w:rsid w:val="00451545"/>
    <w:rsid w:val="00451816"/>
    <w:rsid w:val="00451895"/>
    <w:rsid w:val="00451897"/>
    <w:rsid w:val="00451900"/>
    <w:rsid w:val="004519A2"/>
    <w:rsid w:val="00451A8F"/>
    <w:rsid w:val="00451AC8"/>
    <w:rsid w:val="00451DC0"/>
    <w:rsid w:val="00451F4C"/>
    <w:rsid w:val="00452062"/>
    <w:rsid w:val="004520CB"/>
    <w:rsid w:val="004520E5"/>
    <w:rsid w:val="0045210A"/>
    <w:rsid w:val="0045211F"/>
    <w:rsid w:val="00452130"/>
    <w:rsid w:val="004521AF"/>
    <w:rsid w:val="00452227"/>
    <w:rsid w:val="00452240"/>
    <w:rsid w:val="0045228E"/>
    <w:rsid w:val="00452442"/>
    <w:rsid w:val="00452465"/>
    <w:rsid w:val="004524EE"/>
    <w:rsid w:val="0045251B"/>
    <w:rsid w:val="0045256B"/>
    <w:rsid w:val="004525FF"/>
    <w:rsid w:val="00452604"/>
    <w:rsid w:val="0045261B"/>
    <w:rsid w:val="0045266E"/>
    <w:rsid w:val="0045273C"/>
    <w:rsid w:val="0045275B"/>
    <w:rsid w:val="00452909"/>
    <w:rsid w:val="0045297E"/>
    <w:rsid w:val="004529EE"/>
    <w:rsid w:val="00452A42"/>
    <w:rsid w:val="00452A6E"/>
    <w:rsid w:val="00452B3F"/>
    <w:rsid w:val="00452B70"/>
    <w:rsid w:val="00452B8C"/>
    <w:rsid w:val="00452BD6"/>
    <w:rsid w:val="00452C97"/>
    <w:rsid w:val="00452CE6"/>
    <w:rsid w:val="00452D58"/>
    <w:rsid w:val="00452E5A"/>
    <w:rsid w:val="00452E8C"/>
    <w:rsid w:val="00452F74"/>
    <w:rsid w:val="00452FD6"/>
    <w:rsid w:val="0045302E"/>
    <w:rsid w:val="004532C0"/>
    <w:rsid w:val="0045337C"/>
    <w:rsid w:val="0045349D"/>
    <w:rsid w:val="00453578"/>
    <w:rsid w:val="004535A3"/>
    <w:rsid w:val="004535DC"/>
    <w:rsid w:val="00453737"/>
    <w:rsid w:val="004537E4"/>
    <w:rsid w:val="00453C6C"/>
    <w:rsid w:val="00453C99"/>
    <w:rsid w:val="00453CBD"/>
    <w:rsid w:val="00453CF6"/>
    <w:rsid w:val="00453D80"/>
    <w:rsid w:val="00453D89"/>
    <w:rsid w:val="00453D91"/>
    <w:rsid w:val="00453D93"/>
    <w:rsid w:val="00453EDA"/>
    <w:rsid w:val="00453F61"/>
    <w:rsid w:val="00453F6C"/>
    <w:rsid w:val="0045402A"/>
    <w:rsid w:val="004541B8"/>
    <w:rsid w:val="004542A7"/>
    <w:rsid w:val="00454315"/>
    <w:rsid w:val="004543FD"/>
    <w:rsid w:val="00454494"/>
    <w:rsid w:val="00454546"/>
    <w:rsid w:val="00454587"/>
    <w:rsid w:val="00454607"/>
    <w:rsid w:val="00454635"/>
    <w:rsid w:val="004546E6"/>
    <w:rsid w:val="00454706"/>
    <w:rsid w:val="00454727"/>
    <w:rsid w:val="00454761"/>
    <w:rsid w:val="004547AB"/>
    <w:rsid w:val="004547BF"/>
    <w:rsid w:val="0045481F"/>
    <w:rsid w:val="0045496E"/>
    <w:rsid w:val="00454A51"/>
    <w:rsid w:val="00454A86"/>
    <w:rsid w:val="00454AB3"/>
    <w:rsid w:val="00454AE2"/>
    <w:rsid w:val="00454C0F"/>
    <w:rsid w:val="00454C7B"/>
    <w:rsid w:val="00454CD6"/>
    <w:rsid w:val="00454D05"/>
    <w:rsid w:val="00454DCE"/>
    <w:rsid w:val="00454E5A"/>
    <w:rsid w:val="00454ED5"/>
    <w:rsid w:val="00454F4B"/>
    <w:rsid w:val="00455079"/>
    <w:rsid w:val="004550D6"/>
    <w:rsid w:val="00455113"/>
    <w:rsid w:val="00455158"/>
    <w:rsid w:val="004551A2"/>
    <w:rsid w:val="004551B0"/>
    <w:rsid w:val="00455335"/>
    <w:rsid w:val="004553D8"/>
    <w:rsid w:val="00455444"/>
    <w:rsid w:val="004554D2"/>
    <w:rsid w:val="0045557A"/>
    <w:rsid w:val="00455581"/>
    <w:rsid w:val="00455596"/>
    <w:rsid w:val="004555B2"/>
    <w:rsid w:val="0045566C"/>
    <w:rsid w:val="0045575F"/>
    <w:rsid w:val="00455803"/>
    <w:rsid w:val="00455A03"/>
    <w:rsid w:val="00455CAD"/>
    <w:rsid w:val="00455D08"/>
    <w:rsid w:val="00455D26"/>
    <w:rsid w:val="00455DB1"/>
    <w:rsid w:val="00455E22"/>
    <w:rsid w:val="00455F67"/>
    <w:rsid w:val="00455FA1"/>
    <w:rsid w:val="00456016"/>
    <w:rsid w:val="0045607C"/>
    <w:rsid w:val="004560AA"/>
    <w:rsid w:val="00456295"/>
    <w:rsid w:val="00456356"/>
    <w:rsid w:val="0045639E"/>
    <w:rsid w:val="004563BB"/>
    <w:rsid w:val="004563CC"/>
    <w:rsid w:val="004566C1"/>
    <w:rsid w:val="004566E6"/>
    <w:rsid w:val="0045671E"/>
    <w:rsid w:val="0045683D"/>
    <w:rsid w:val="004568E4"/>
    <w:rsid w:val="00456988"/>
    <w:rsid w:val="004569AB"/>
    <w:rsid w:val="00456AB2"/>
    <w:rsid w:val="00456BF3"/>
    <w:rsid w:val="00456C74"/>
    <w:rsid w:val="00456CBB"/>
    <w:rsid w:val="00456D09"/>
    <w:rsid w:val="00456E80"/>
    <w:rsid w:val="00456F7F"/>
    <w:rsid w:val="004570D5"/>
    <w:rsid w:val="004571DD"/>
    <w:rsid w:val="00457342"/>
    <w:rsid w:val="004574BA"/>
    <w:rsid w:val="004574C7"/>
    <w:rsid w:val="004576E1"/>
    <w:rsid w:val="004579DF"/>
    <w:rsid w:val="004579E5"/>
    <w:rsid w:val="00457B36"/>
    <w:rsid w:val="00457B6C"/>
    <w:rsid w:val="00457C9E"/>
    <w:rsid w:val="00457D5F"/>
    <w:rsid w:val="00457D7D"/>
    <w:rsid w:val="00457DEE"/>
    <w:rsid w:val="00457E0E"/>
    <w:rsid w:val="00457F0A"/>
    <w:rsid w:val="00460059"/>
    <w:rsid w:val="0046017F"/>
    <w:rsid w:val="004601CD"/>
    <w:rsid w:val="004602BC"/>
    <w:rsid w:val="0046036C"/>
    <w:rsid w:val="004603A5"/>
    <w:rsid w:val="004603D3"/>
    <w:rsid w:val="004603DC"/>
    <w:rsid w:val="00460458"/>
    <w:rsid w:val="004604F6"/>
    <w:rsid w:val="00460533"/>
    <w:rsid w:val="00460595"/>
    <w:rsid w:val="00460645"/>
    <w:rsid w:val="004607F7"/>
    <w:rsid w:val="0046086B"/>
    <w:rsid w:val="00460A47"/>
    <w:rsid w:val="00460BB6"/>
    <w:rsid w:val="00460BC7"/>
    <w:rsid w:val="00460BD9"/>
    <w:rsid w:val="00460C46"/>
    <w:rsid w:val="00460D5C"/>
    <w:rsid w:val="00460D60"/>
    <w:rsid w:val="00460E41"/>
    <w:rsid w:val="00460E67"/>
    <w:rsid w:val="00460F3A"/>
    <w:rsid w:val="00461007"/>
    <w:rsid w:val="0046100D"/>
    <w:rsid w:val="0046107C"/>
    <w:rsid w:val="0046114C"/>
    <w:rsid w:val="00461189"/>
    <w:rsid w:val="004611CF"/>
    <w:rsid w:val="0046129F"/>
    <w:rsid w:val="0046133A"/>
    <w:rsid w:val="004613C2"/>
    <w:rsid w:val="004613E7"/>
    <w:rsid w:val="00461405"/>
    <w:rsid w:val="0046140B"/>
    <w:rsid w:val="0046147B"/>
    <w:rsid w:val="00461507"/>
    <w:rsid w:val="00461520"/>
    <w:rsid w:val="00461668"/>
    <w:rsid w:val="0046172D"/>
    <w:rsid w:val="00461798"/>
    <w:rsid w:val="00461872"/>
    <w:rsid w:val="00461993"/>
    <w:rsid w:val="00461A67"/>
    <w:rsid w:val="00461B03"/>
    <w:rsid w:val="00461B39"/>
    <w:rsid w:val="00461B52"/>
    <w:rsid w:val="00461CCD"/>
    <w:rsid w:val="00461D6B"/>
    <w:rsid w:val="00461E12"/>
    <w:rsid w:val="00461EC6"/>
    <w:rsid w:val="004620FF"/>
    <w:rsid w:val="0046216D"/>
    <w:rsid w:val="004622AD"/>
    <w:rsid w:val="004622CD"/>
    <w:rsid w:val="00462421"/>
    <w:rsid w:val="00462636"/>
    <w:rsid w:val="00462663"/>
    <w:rsid w:val="00462683"/>
    <w:rsid w:val="004627A7"/>
    <w:rsid w:val="004627BB"/>
    <w:rsid w:val="00462885"/>
    <w:rsid w:val="00462A15"/>
    <w:rsid w:val="00462A98"/>
    <w:rsid w:val="00462AD9"/>
    <w:rsid w:val="00462B08"/>
    <w:rsid w:val="00462C35"/>
    <w:rsid w:val="00462DB3"/>
    <w:rsid w:val="00462E05"/>
    <w:rsid w:val="00462F2C"/>
    <w:rsid w:val="0046307D"/>
    <w:rsid w:val="0046317F"/>
    <w:rsid w:val="004631E4"/>
    <w:rsid w:val="00463252"/>
    <w:rsid w:val="0046327F"/>
    <w:rsid w:val="0046331E"/>
    <w:rsid w:val="00463338"/>
    <w:rsid w:val="00463486"/>
    <w:rsid w:val="004634A7"/>
    <w:rsid w:val="004634BB"/>
    <w:rsid w:val="004635D5"/>
    <w:rsid w:val="0046361C"/>
    <w:rsid w:val="00463631"/>
    <w:rsid w:val="0046366F"/>
    <w:rsid w:val="00463754"/>
    <w:rsid w:val="0046376A"/>
    <w:rsid w:val="00463AF9"/>
    <w:rsid w:val="00463B0A"/>
    <w:rsid w:val="00463C13"/>
    <w:rsid w:val="00463D07"/>
    <w:rsid w:val="00463D31"/>
    <w:rsid w:val="00463D53"/>
    <w:rsid w:val="00463D56"/>
    <w:rsid w:val="00463DAA"/>
    <w:rsid w:val="00463DBD"/>
    <w:rsid w:val="00463E24"/>
    <w:rsid w:val="00463E9A"/>
    <w:rsid w:val="00463ECD"/>
    <w:rsid w:val="00463F01"/>
    <w:rsid w:val="00463F20"/>
    <w:rsid w:val="0046428A"/>
    <w:rsid w:val="0046433E"/>
    <w:rsid w:val="0046447D"/>
    <w:rsid w:val="00464572"/>
    <w:rsid w:val="004645B1"/>
    <w:rsid w:val="004646DB"/>
    <w:rsid w:val="00464712"/>
    <w:rsid w:val="004647F1"/>
    <w:rsid w:val="00464824"/>
    <w:rsid w:val="004649B3"/>
    <w:rsid w:val="00464A8F"/>
    <w:rsid w:val="00464AD3"/>
    <w:rsid w:val="00464B2B"/>
    <w:rsid w:val="00464B88"/>
    <w:rsid w:val="00464C27"/>
    <w:rsid w:val="00464F05"/>
    <w:rsid w:val="00465099"/>
    <w:rsid w:val="004650AF"/>
    <w:rsid w:val="0046525D"/>
    <w:rsid w:val="004652E6"/>
    <w:rsid w:val="004654C5"/>
    <w:rsid w:val="004656FF"/>
    <w:rsid w:val="00465948"/>
    <w:rsid w:val="00465AFA"/>
    <w:rsid w:val="00465BC4"/>
    <w:rsid w:val="00465BE0"/>
    <w:rsid w:val="00465C1F"/>
    <w:rsid w:val="00465CA9"/>
    <w:rsid w:val="00465CC9"/>
    <w:rsid w:val="00465D03"/>
    <w:rsid w:val="00465D41"/>
    <w:rsid w:val="00465D8B"/>
    <w:rsid w:val="00465E75"/>
    <w:rsid w:val="00466022"/>
    <w:rsid w:val="004660FA"/>
    <w:rsid w:val="0046613A"/>
    <w:rsid w:val="004661B9"/>
    <w:rsid w:val="004661C4"/>
    <w:rsid w:val="0046626E"/>
    <w:rsid w:val="004663C1"/>
    <w:rsid w:val="004663FC"/>
    <w:rsid w:val="004665BC"/>
    <w:rsid w:val="0046661B"/>
    <w:rsid w:val="00466844"/>
    <w:rsid w:val="004668FE"/>
    <w:rsid w:val="00466B33"/>
    <w:rsid w:val="00466BEA"/>
    <w:rsid w:val="00466C56"/>
    <w:rsid w:val="00466D4A"/>
    <w:rsid w:val="00466DF7"/>
    <w:rsid w:val="00466E1F"/>
    <w:rsid w:val="00466EF0"/>
    <w:rsid w:val="00467020"/>
    <w:rsid w:val="0046704C"/>
    <w:rsid w:val="0046705D"/>
    <w:rsid w:val="004670D5"/>
    <w:rsid w:val="00467116"/>
    <w:rsid w:val="004671FE"/>
    <w:rsid w:val="004672D4"/>
    <w:rsid w:val="0046732A"/>
    <w:rsid w:val="0046736E"/>
    <w:rsid w:val="00467380"/>
    <w:rsid w:val="004673E7"/>
    <w:rsid w:val="00467450"/>
    <w:rsid w:val="004674B5"/>
    <w:rsid w:val="00467564"/>
    <w:rsid w:val="0046761F"/>
    <w:rsid w:val="00467761"/>
    <w:rsid w:val="0046786C"/>
    <w:rsid w:val="0046787E"/>
    <w:rsid w:val="00467966"/>
    <w:rsid w:val="00467A41"/>
    <w:rsid w:val="00467ACA"/>
    <w:rsid w:val="00467AF3"/>
    <w:rsid w:val="00467B5A"/>
    <w:rsid w:val="00467C01"/>
    <w:rsid w:val="00467C28"/>
    <w:rsid w:val="00467C60"/>
    <w:rsid w:val="00467CF1"/>
    <w:rsid w:val="00467D9A"/>
    <w:rsid w:val="00467F0E"/>
    <w:rsid w:val="00467F82"/>
    <w:rsid w:val="00470014"/>
    <w:rsid w:val="004700A2"/>
    <w:rsid w:val="00470185"/>
    <w:rsid w:val="0047049C"/>
    <w:rsid w:val="004704B4"/>
    <w:rsid w:val="00470553"/>
    <w:rsid w:val="0047059E"/>
    <w:rsid w:val="00470680"/>
    <w:rsid w:val="0047069D"/>
    <w:rsid w:val="004706FB"/>
    <w:rsid w:val="00470784"/>
    <w:rsid w:val="00470874"/>
    <w:rsid w:val="00470962"/>
    <w:rsid w:val="00470A28"/>
    <w:rsid w:val="00470AAF"/>
    <w:rsid w:val="00470AB7"/>
    <w:rsid w:val="00470B12"/>
    <w:rsid w:val="00470B6F"/>
    <w:rsid w:val="00470B7F"/>
    <w:rsid w:val="00470C15"/>
    <w:rsid w:val="00470C5A"/>
    <w:rsid w:val="00470C85"/>
    <w:rsid w:val="00470CF9"/>
    <w:rsid w:val="00470D6C"/>
    <w:rsid w:val="00470DAF"/>
    <w:rsid w:val="00470E36"/>
    <w:rsid w:val="00470E49"/>
    <w:rsid w:val="00470F2B"/>
    <w:rsid w:val="00470F52"/>
    <w:rsid w:val="00471089"/>
    <w:rsid w:val="0047117A"/>
    <w:rsid w:val="004711B2"/>
    <w:rsid w:val="0047128A"/>
    <w:rsid w:val="004714D5"/>
    <w:rsid w:val="0047162B"/>
    <w:rsid w:val="0047167D"/>
    <w:rsid w:val="004716D2"/>
    <w:rsid w:val="004719EE"/>
    <w:rsid w:val="00471BE5"/>
    <w:rsid w:val="00471C80"/>
    <w:rsid w:val="00471C81"/>
    <w:rsid w:val="00471C8F"/>
    <w:rsid w:val="00471CE5"/>
    <w:rsid w:val="00471D0E"/>
    <w:rsid w:val="00471E00"/>
    <w:rsid w:val="00471E52"/>
    <w:rsid w:val="00471E83"/>
    <w:rsid w:val="00471F58"/>
    <w:rsid w:val="00471F86"/>
    <w:rsid w:val="0047200F"/>
    <w:rsid w:val="0047201B"/>
    <w:rsid w:val="00472037"/>
    <w:rsid w:val="00472227"/>
    <w:rsid w:val="004724E8"/>
    <w:rsid w:val="00472561"/>
    <w:rsid w:val="004726CE"/>
    <w:rsid w:val="004726F3"/>
    <w:rsid w:val="004726FA"/>
    <w:rsid w:val="004728C0"/>
    <w:rsid w:val="00472A6E"/>
    <w:rsid w:val="00472ABC"/>
    <w:rsid w:val="00472B55"/>
    <w:rsid w:val="00472EFB"/>
    <w:rsid w:val="00472F76"/>
    <w:rsid w:val="00472FE1"/>
    <w:rsid w:val="00473055"/>
    <w:rsid w:val="00473090"/>
    <w:rsid w:val="00473100"/>
    <w:rsid w:val="00473104"/>
    <w:rsid w:val="00473268"/>
    <w:rsid w:val="0047331F"/>
    <w:rsid w:val="00473339"/>
    <w:rsid w:val="004733AE"/>
    <w:rsid w:val="00473439"/>
    <w:rsid w:val="00473457"/>
    <w:rsid w:val="004734F6"/>
    <w:rsid w:val="0047356C"/>
    <w:rsid w:val="00473571"/>
    <w:rsid w:val="00473630"/>
    <w:rsid w:val="00473695"/>
    <w:rsid w:val="00473778"/>
    <w:rsid w:val="00473918"/>
    <w:rsid w:val="00473C13"/>
    <w:rsid w:val="00473D20"/>
    <w:rsid w:val="00473DC4"/>
    <w:rsid w:val="00473E27"/>
    <w:rsid w:val="00473E75"/>
    <w:rsid w:val="00473F9C"/>
    <w:rsid w:val="00473FAE"/>
    <w:rsid w:val="00473FC0"/>
    <w:rsid w:val="0047411A"/>
    <w:rsid w:val="004741B8"/>
    <w:rsid w:val="0047423C"/>
    <w:rsid w:val="004742D3"/>
    <w:rsid w:val="004744E1"/>
    <w:rsid w:val="004744FA"/>
    <w:rsid w:val="004745F1"/>
    <w:rsid w:val="004747E4"/>
    <w:rsid w:val="00474800"/>
    <w:rsid w:val="00474852"/>
    <w:rsid w:val="004748A3"/>
    <w:rsid w:val="00474A45"/>
    <w:rsid w:val="00474A62"/>
    <w:rsid w:val="00474AE3"/>
    <w:rsid w:val="00474B0F"/>
    <w:rsid w:val="00474C03"/>
    <w:rsid w:val="00474CB6"/>
    <w:rsid w:val="00474CE2"/>
    <w:rsid w:val="00474DDD"/>
    <w:rsid w:val="00474E68"/>
    <w:rsid w:val="00474E9A"/>
    <w:rsid w:val="00474F1E"/>
    <w:rsid w:val="0047500D"/>
    <w:rsid w:val="0047510F"/>
    <w:rsid w:val="00475142"/>
    <w:rsid w:val="0047516A"/>
    <w:rsid w:val="0047534A"/>
    <w:rsid w:val="004753B5"/>
    <w:rsid w:val="0047543F"/>
    <w:rsid w:val="0047554E"/>
    <w:rsid w:val="004756A3"/>
    <w:rsid w:val="004756C3"/>
    <w:rsid w:val="0047572A"/>
    <w:rsid w:val="00475765"/>
    <w:rsid w:val="00475928"/>
    <w:rsid w:val="00475AF7"/>
    <w:rsid w:val="00475B0A"/>
    <w:rsid w:val="00475C02"/>
    <w:rsid w:val="00475C58"/>
    <w:rsid w:val="00475C98"/>
    <w:rsid w:val="00475DD7"/>
    <w:rsid w:val="00475EA4"/>
    <w:rsid w:val="00475F2D"/>
    <w:rsid w:val="00475F46"/>
    <w:rsid w:val="00475F57"/>
    <w:rsid w:val="0047603E"/>
    <w:rsid w:val="004760F9"/>
    <w:rsid w:val="00476138"/>
    <w:rsid w:val="004761E8"/>
    <w:rsid w:val="004762F8"/>
    <w:rsid w:val="004763FE"/>
    <w:rsid w:val="004764CF"/>
    <w:rsid w:val="004764FD"/>
    <w:rsid w:val="00476564"/>
    <w:rsid w:val="00476665"/>
    <w:rsid w:val="004766FF"/>
    <w:rsid w:val="00476976"/>
    <w:rsid w:val="00476A67"/>
    <w:rsid w:val="00476A69"/>
    <w:rsid w:val="00476AC8"/>
    <w:rsid w:val="00476AD6"/>
    <w:rsid w:val="00476DA1"/>
    <w:rsid w:val="00476E00"/>
    <w:rsid w:val="00476E1D"/>
    <w:rsid w:val="00476F1C"/>
    <w:rsid w:val="0047709F"/>
    <w:rsid w:val="004770C5"/>
    <w:rsid w:val="004770CF"/>
    <w:rsid w:val="00477157"/>
    <w:rsid w:val="0047715B"/>
    <w:rsid w:val="00477294"/>
    <w:rsid w:val="004772C1"/>
    <w:rsid w:val="004772FC"/>
    <w:rsid w:val="0047745A"/>
    <w:rsid w:val="004775FA"/>
    <w:rsid w:val="00477666"/>
    <w:rsid w:val="0047776F"/>
    <w:rsid w:val="0047780D"/>
    <w:rsid w:val="00477829"/>
    <w:rsid w:val="00477852"/>
    <w:rsid w:val="004779B1"/>
    <w:rsid w:val="00477A31"/>
    <w:rsid w:val="00477A53"/>
    <w:rsid w:val="00477A94"/>
    <w:rsid w:val="00477C31"/>
    <w:rsid w:val="00477C9F"/>
    <w:rsid w:val="00477CBC"/>
    <w:rsid w:val="00477CF3"/>
    <w:rsid w:val="00477E2A"/>
    <w:rsid w:val="00477F13"/>
    <w:rsid w:val="00477F4F"/>
    <w:rsid w:val="00477F5C"/>
    <w:rsid w:val="00477FAA"/>
    <w:rsid w:val="00480090"/>
    <w:rsid w:val="00480167"/>
    <w:rsid w:val="00480196"/>
    <w:rsid w:val="004801B9"/>
    <w:rsid w:val="00480204"/>
    <w:rsid w:val="00480210"/>
    <w:rsid w:val="004802F7"/>
    <w:rsid w:val="00480300"/>
    <w:rsid w:val="004803F9"/>
    <w:rsid w:val="004804AD"/>
    <w:rsid w:val="004804DC"/>
    <w:rsid w:val="0048057F"/>
    <w:rsid w:val="004805AF"/>
    <w:rsid w:val="004805DA"/>
    <w:rsid w:val="004807D7"/>
    <w:rsid w:val="00480A0B"/>
    <w:rsid w:val="00480AE9"/>
    <w:rsid w:val="00480C65"/>
    <w:rsid w:val="00480C76"/>
    <w:rsid w:val="00480CFE"/>
    <w:rsid w:val="00480E35"/>
    <w:rsid w:val="00480E95"/>
    <w:rsid w:val="00480E9F"/>
    <w:rsid w:val="00480FAA"/>
    <w:rsid w:val="00480FF5"/>
    <w:rsid w:val="00481326"/>
    <w:rsid w:val="004813CD"/>
    <w:rsid w:val="0048152A"/>
    <w:rsid w:val="00481533"/>
    <w:rsid w:val="0048153B"/>
    <w:rsid w:val="004815AC"/>
    <w:rsid w:val="0048165E"/>
    <w:rsid w:val="004817C5"/>
    <w:rsid w:val="004817FB"/>
    <w:rsid w:val="00481827"/>
    <w:rsid w:val="00481841"/>
    <w:rsid w:val="0048185B"/>
    <w:rsid w:val="004818C3"/>
    <w:rsid w:val="00481976"/>
    <w:rsid w:val="00481AF8"/>
    <w:rsid w:val="00481B82"/>
    <w:rsid w:val="00481C1E"/>
    <w:rsid w:val="00481C59"/>
    <w:rsid w:val="00481D2F"/>
    <w:rsid w:val="00481D85"/>
    <w:rsid w:val="00481E81"/>
    <w:rsid w:val="00481F32"/>
    <w:rsid w:val="00481F75"/>
    <w:rsid w:val="00482193"/>
    <w:rsid w:val="004822BF"/>
    <w:rsid w:val="00482313"/>
    <w:rsid w:val="00482340"/>
    <w:rsid w:val="00482585"/>
    <w:rsid w:val="00482598"/>
    <w:rsid w:val="0048266A"/>
    <w:rsid w:val="00482728"/>
    <w:rsid w:val="0048297A"/>
    <w:rsid w:val="00482A14"/>
    <w:rsid w:val="00482B24"/>
    <w:rsid w:val="00482C9A"/>
    <w:rsid w:val="00482CB2"/>
    <w:rsid w:val="00482F74"/>
    <w:rsid w:val="0048303F"/>
    <w:rsid w:val="00483098"/>
    <w:rsid w:val="004831E8"/>
    <w:rsid w:val="004832D7"/>
    <w:rsid w:val="00483393"/>
    <w:rsid w:val="0048339F"/>
    <w:rsid w:val="00483464"/>
    <w:rsid w:val="0048349B"/>
    <w:rsid w:val="0048360E"/>
    <w:rsid w:val="00483711"/>
    <w:rsid w:val="0048371F"/>
    <w:rsid w:val="00483788"/>
    <w:rsid w:val="0048394C"/>
    <w:rsid w:val="0048397B"/>
    <w:rsid w:val="00483B1C"/>
    <w:rsid w:val="00483B74"/>
    <w:rsid w:val="00483CA7"/>
    <w:rsid w:val="00483D1A"/>
    <w:rsid w:val="00483D56"/>
    <w:rsid w:val="00483D59"/>
    <w:rsid w:val="00483D9B"/>
    <w:rsid w:val="00483DDF"/>
    <w:rsid w:val="00483ECA"/>
    <w:rsid w:val="004841E8"/>
    <w:rsid w:val="0048425C"/>
    <w:rsid w:val="00484482"/>
    <w:rsid w:val="004844DB"/>
    <w:rsid w:val="00484565"/>
    <w:rsid w:val="00484569"/>
    <w:rsid w:val="00484596"/>
    <w:rsid w:val="00484685"/>
    <w:rsid w:val="004847BE"/>
    <w:rsid w:val="004848B2"/>
    <w:rsid w:val="004848E8"/>
    <w:rsid w:val="0048496C"/>
    <w:rsid w:val="004849E5"/>
    <w:rsid w:val="00484AD3"/>
    <w:rsid w:val="00484C93"/>
    <w:rsid w:val="00484D95"/>
    <w:rsid w:val="00484DC8"/>
    <w:rsid w:val="00484E77"/>
    <w:rsid w:val="00484EA7"/>
    <w:rsid w:val="00484FFD"/>
    <w:rsid w:val="00485070"/>
    <w:rsid w:val="004850EF"/>
    <w:rsid w:val="0048517D"/>
    <w:rsid w:val="0048518A"/>
    <w:rsid w:val="004851C0"/>
    <w:rsid w:val="004851DD"/>
    <w:rsid w:val="004852A1"/>
    <w:rsid w:val="004852ED"/>
    <w:rsid w:val="0048549D"/>
    <w:rsid w:val="00485556"/>
    <w:rsid w:val="00485814"/>
    <w:rsid w:val="00485842"/>
    <w:rsid w:val="00485844"/>
    <w:rsid w:val="0048595F"/>
    <w:rsid w:val="004859A2"/>
    <w:rsid w:val="00485A90"/>
    <w:rsid w:val="00485C1D"/>
    <w:rsid w:val="00485D47"/>
    <w:rsid w:val="00485D72"/>
    <w:rsid w:val="00486018"/>
    <w:rsid w:val="00486022"/>
    <w:rsid w:val="0048607F"/>
    <w:rsid w:val="004860E2"/>
    <w:rsid w:val="0048617B"/>
    <w:rsid w:val="00486184"/>
    <w:rsid w:val="00486211"/>
    <w:rsid w:val="00486217"/>
    <w:rsid w:val="0048633B"/>
    <w:rsid w:val="00486368"/>
    <w:rsid w:val="00486545"/>
    <w:rsid w:val="004865FA"/>
    <w:rsid w:val="0048663A"/>
    <w:rsid w:val="004868A3"/>
    <w:rsid w:val="0048697B"/>
    <w:rsid w:val="00486BE8"/>
    <w:rsid w:val="00486CEB"/>
    <w:rsid w:val="00486DAC"/>
    <w:rsid w:val="00486E22"/>
    <w:rsid w:val="00486E77"/>
    <w:rsid w:val="00486FB2"/>
    <w:rsid w:val="00487036"/>
    <w:rsid w:val="0048707B"/>
    <w:rsid w:val="00487307"/>
    <w:rsid w:val="004873C6"/>
    <w:rsid w:val="00487518"/>
    <w:rsid w:val="004876E0"/>
    <w:rsid w:val="004876F5"/>
    <w:rsid w:val="004877D7"/>
    <w:rsid w:val="004877F8"/>
    <w:rsid w:val="004878A6"/>
    <w:rsid w:val="004878D0"/>
    <w:rsid w:val="004878ED"/>
    <w:rsid w:val="00487B0E"/>
    <w:rsid w:val="00487B5D"/>
    <w:rsid w:val="00487BE0"/>
    <w:rsid w:val="00487CCE"/>
    <w:rsid w:val="00487D1F"/>
    <w:rsid w:val="00487E7A"/>
    <w:rsid w:val="00487EB9"/>
    <w:rsid w:val="00487F7F"/>
    <w:rsid w:val="00490000"/>
    <w:rsid w:val="00490020"/>
    <w:rsid w:val="0049007D"/>
    <w:rsid w:val="004900A4"/>
    <w:rsid w:val="004900DD"/>
    <w:rsid w:val="004901BF"/>
    <w:rsid w:val="004902D7"/>
    <w:rsid w:val="0049041B"/>
    <w:rsid w:val="00490598"/>
    <w:rsid w:val="00490713"/>
    <w:rsid w:val="00490793"/>
    <w:rsid w:val="0049079C"/>
    <w:rsid w:val="00490811"/>
    <w:rsid w:val="004908B3"/>
    <w:rsid w:val="00490906"/>
    <w:rsid w:val="004909E5"/>
    <w:rsid w:val="00490A19"/>
    <w:rsid w:val="00490A25"/>
    <w:rsid w:val="00490B8A"/>
    <w:rsid w:val="00490BD3"/>
    <w:rsid w:val="00490C32"/>
    <w:rsid w:val="00490CBD"/>
    <w:rsid w:val="00490CCC"/>
    <w:rsid w:val="00490CDC"/>
    <w:rsid w:val="00490D0A"/>
    <w:rsid w:val="00490D64"/>
    <w:rsid w:val="00490D81"/>
    <w:rsid w:val="00490F55"/>
    <w:rsid w:val="00490F58"/>
    <w:rsid w:val="00491002"/>
    <w:rsid w:val="004910CF"/>
    <w:rsid w:val="00491159"/>
    <w:rsid w:val="004911F6"/>
    <w:rsid w:val="004911FA"/>
    <w:rsid w:val="00491207"/>
    <w:rsid w:val="0049120A"/>
    <w:rsid w:val="004912EE"/>
    <w:rsid w:val="00491346"/>
    <w:rsid w:val="00491445"/>
    <w:rsid w:val="00491485"/>
    <w:rsid w:val="00491520"/>
    <w:rsid w:val="00491818"/>
    <w:rsid w:val="00491921"/>
    <w:rsid w:val="00491B6D"/>
    <w:rsid w:val="00492032"/>
    <w:rsid w:val="00492111"/>
    <w:rsid w:val="004923A6"/>
    <w:rsid w:val="0049244E"/>
    <w:rsid w:val="004925B5"/>
    <w:rsid w:val="00492676"/>
    <w:rsid w:val="00492694"/>
    <w:rsid w:val="004927B1"/>
    <w:rsid w:val="004927DA"/>
    <w:rsid w:val="0049285C"/>
    <w:rsid w:val="00492ACC"/>
    <w:rsid w:val="00492C72"/>
    <w:rsid w:val="00492D00"/>
    <w:rsid w:val="00492D8E"/>
    <w:rsid w:val="00492E9B"/>
    <w:rsid w:val="00492F02"/>
    <w:rsid w:val="00492FBD"/>
    <w:rsid w:val="004930D4"/>
    <w:rsid w:val="0049310D"/>
    <w:rsid w:val="00493205"/>
    <w:rsid w:val="00493227"/>
    <w:rsid w:val="0049324F"/>
    <w:rsid w:val="004932A4"/>
    <w:rsid w:val="004932F8"/>
    <w:rsid w:val="00493439"/>
    <w:rsid w:val="00493681"/>
    <w:rsid w:val="004936EF"/>
    <w:rsid w:val="004936FB"/>
    <w:rsid w:val="0049390D"/>
    <w:rsid w:val="00493A3D"/>
    <w:rsid w:val="00493A4E"/>
    <w:rsid w:val="00493B8B"/>
    <w:rsid w:val="00493C8C"/>
    <w:rsid w:val="00493C9F"/>
    <w:rsid w:val="00493D5C"/>
    <w:rsid w:val="00493DBA"/>
    <w:rsid w:val="00493E22"/>
    <w:rsid w:val="00493E79"/>
    <w:rsid w:val="00493E9C"/>
    <w:rsid w:val="00493ED3"/>
    <w:rsid w:val="00493F28"/>
    <w:rsid w:val="00494097"/>
    <w:rsid w:val="00494133"/>
    <w:rsid w:val="00494154"/>
    <w:rsid w:val="004941FF"/>
    <w:rsid w:val="0049421D"/>
    <w:rsid w:val="00494233"/>
    <w:rsid w:val="0049433D"/>
    <w:rsid w:val="00494416"/>
    <w:rsid w:val="00494499"/>
    <w:rsid w:val="004944FA"/>
    <w:rsid w:val="004946A1"/>
    <w:rsid w:val="004946BF"/>
    <w:rsid w:val="004946C9"/>
    <w:rsid w:val="004946CA"/>
    <w:rsid w:val="0049479A"/>
    <w:rsid w:val="00494854"/>
    <w:rsid w:val="0049487A"/>
    <w:rsid w:val="004948B1"/>
    <w:rsid w:val="004948C9"/>
    <w:rsid w:val="004949A1"/>
    <w:rsid w:val="00494B0B"/>
    <w:rsid w:val="00494C94"/>
    <w:rsid w:val="00494E20"/>
    <w:rsid w:val="00494E50"/>
    <w:rsid w:val="00494F52"/>
    <w:rsid w:val="00494FB5"/>
    <w:rsid w:val="00494FEC"/>
    <w:rsid w:val="0049510A"/>
    <w:rsid w:val="00495156"/>
    <w:rsid w:val="004951AC"/>
    <w:rsid w:val="004951B3"/>
    <w:rsid w:val="0049522E"/>
    <w:rsid w:val="0049539D"/>
    <w:rsid w:val="004953DD"/>
    <w:rsid w:val="00495408"/>
    <w:rsid w:val="0049543C"/>
    <w:rsid w:val="00495544"/>
    <w:rsid w:val="004955FF"/>
    <w:rsid w:val="00495600"/>
    <w:rsid w:val="00495645"/>
    <w:rsid w:val="004956D6"/>
    <w:rsid w:val="00495789"/>
    <w:rsid w:val="004957CA"/>
    <w:rsid w:val="00495817"/>
    <w:rsid w:val="00495828"/>
    <w:rsid w:val="004959AC"/>
    <w:rsid w:val="00495A81"/>
    <w:rsid w:val="00495AF2"/>
    <w:rsid w:val="00495C28"/>
    <w:rsid w:val="00495D7C"/>
    <w:rsid w:val="00495E01"/>
    <w:rsid w:val="00495E30"/>
    <w:rsid w:val="00495E58"/>
    <w:rsid w:val="00495F30"/>
    <w:rsid w:val="0049601E"/>
    <w:rsid w:val="00496046"/>
    <w:rsid w:val="00496047"/>
    <w:rsid w:val="00496067"/>
    <w:rsid w:val="0049613D"/>
    <w:rsid w:val="00496203"/>
    <w:rsid w:val="00496299"/>
    <w:rsid w:val="004963BE"/>
    <w:rsid w:val="004963D6"/>
    <w:rsid w:val="00496489"/>
    <w:rsid w:val="00496594"/>
    <w:rsid w:val="00496646"/>
    <w:rsid w:val="004966A9"/>
    <w:rsid w:val="004966F6"/>
    <w:rsid w:val="00496711"/>
    <w:rsid w:val="00496786"/>
    <w:rsid w:val="004967C9"/>
    <w:rsid w:val="00496858"/>
    <w:rsid w:val="004968DD"/>
    <w:rsid w:val="00496916"/>
    <w:rsid w:val="0049692C"/>
    <w:rsid w:val="00496A16"/>
    <w:rsid w:val="00496B51"/>
    <w:rsid w:val="00496BAD"/>
    <w:rsid w:val="00496CF5"/>
    <w:rsid w:val="00496EC1"/>
    <w:rsid w:val="00496EE9"/>
    <w:rsid w:val="00496F44"/>
    <w:rsid w:val="00496FC9"/>
    <w:rsid w:val="004970D3"/>
    <w:rsid w:val="004971F9"/>
    <w:rsid w:val="00497347"/>
    <w:rsid w:val="0049739D"/>
    <w:rsid w:val="004974E2"/>
    <w:rsid w:val="004975A0"/>
    <w:rsid w:val="00497623"/>
    <w:rsid w:val="0049776F"/>
    <w:rsid w:val="004977AE"/>
    <w:rsid w:val="00497909"/>
    <w:rsid w:val="00497B73"/>
    <w:rsid w:val="00497BB7"/>
    <w:rsid w:val="00497C9E"/>
    <w:rsid w:val="00497F12"/>
    <w:rsid w:val="00497FA6"/>
    <w:rsid w:val="004A00AB"/>
    <w:rsid w:val="004A011F"/>
    <w:rsid w:val="004A0336"/>
    <w:rsid w:val="004A03BB"/>
    <w:rsid w:val="004A045C"/>
    <w:rsid w:val="004A0471"/>
    <w:rsid w:val="004A07E9"/>
    <w:rsid w:val="004A083B"/>
    <w:rsid w:val="004A096B"/>
    <w:rsid w:val="004A09BB"/>
    <w:rsid w:val="004A0A75"/>
    <w:rsid w:val="004A0ACC"/>
    <w:rsid w:val="004A0C3C"/>
    <w:rsid w:val="004A0CBB"/>
    <w:rsid w:val="004A0CE2"/>
    <w:rsid w:val="004A0F17"/>
    <w:rsid w:val="004A0F2F"/>
    <w:rsid w:val="004A1046"/>
    <w:rsid w:val="004A1325"/>
    <w:rsid w:val="004A1339"/>
    <w:rsid w:val="004A139B"/>
    <w:rsid w:val="004A1679"/>
    <w:rsid w:val="004A17EB"/>
    <w:rsid w:val="004A18C0"/>
    <w:rsid w:val="004A1951"/>
    <w:rsid w:val="004A196B"/>
    <w:rsid w:val="004A1979"/>
    <w:rsid w:val="004A1A3C"/>
    <w:rsid w:val="004A1A5C"/>
    <w:rsid w:val="004A1AC5"/>
    <w:rsid w:val="004A1BE5"/>
    <w:rsid w:val="004A1CBC"/>
    <w:rsid w:val="004A1E53"/>
    <w:rsid w:val="004A1F0D"/>
    <w:rsid w:val="004A1F49"/>
    <w:rsid w:val="004A20DA"/>
    <w:rsid w:val="004A2182"/>
    <w:rsid w:val="004A2372"/>
    <w:rsid w:val="004A24A3"/>
    <w:rsid w:val="004A24E3"/>
    <w:rsid w:val="004A24F7"/>
    <w:rsid w:val="004A283D"/>
    <w:rsid w:val="004A2920"/>
    <w:rsid w:val="004A2938"/>
    <w:rsid w:val="004A2969"/>
    <w:rsid w:val="004A29C2"/>
    <w:rsid w:val="004A2A47"/>
    <w:rsid w:val="004A2B86"/>
    <w:rsid w:val="004A2B8E"/>
    <w:rsid w:val="004A2C46"/>
    <w:rsid w:val="004A2D22"/>
    <w:rsid w:val="004A2DE6"/>
    <w:rsid w:val="004A2F90"/>
    <w:rsid w:val="004A311B"/>
    <w:rsid w:val="004A3170"/>
    <w:rsid w:val="004A33DF"/>
    <w:rsid w:val="004A3481"/>
    <w:rsid w:val="004A34A1"/>
    <w:rsid w:val="004A3590"/>
    <w:rsid w:val="004A35F8"/>
    <w:rsid w:val="004A3639"/>
    <w:rsid w:val="004A3663"/>
    <w:rsid w:val="004A36A2"/>
    <w:rsid w:val="004A36CB"/>
    <w:rsid w:val="004A37D0"/>
    <w:rsid w:val="004A390A"/>
    <w:rsid w:val="004A392D"/>
    <w:rsid w:val="004A39AC"/>
    <w:rsid w:val="004A3A01"/>
    <w:rsid w:val="004A3AD1"/>
    <w:rsid w:val="004A3C57"/>
    <w:rsid w:val="004A3C5E"/>
    <w:rsid w:val="004A3C7D"/>
    <w:rsid w:val="004A3E5B"/>
    <w:rsid w:val="004A3E62"/>
    <w:rsid w:val="004A3ED8"/>
    <w:rsid w:val="004A419C"/>
    <w:rsid w:val="004A4360"/>
    <w:rsid w:val="004A4394"/>
    <w:rsid w:val="004A45E5"/>
    <w:rsid w:val="004A4650"/>
    <w:rsid w:val="004A46B3"/>
    <w:rsid w:val="004A4878"/>
    <w:rsid w:val="004A4898"/>
    <w:rsid w:val="004A48B3"/>
    <w:rsid w:val="004A48C9"/>
    <w:rsid w:val="004A4991"/>
    <w:rsid w:val="004A499B"/>
    <w:rsid w:val="004A4B29"/>
    <w:rsid w:val="004A4D4F"/>
    <w:rsid w:val="004A4D82"/>
    <w:rsid w:val="004A4DDF"/>
    <w:rsid w:val="004A4F74"/>
    <w:rsid w:val="004A4FE7"/>
    <w:rsid w:val="004A500E"/>
    <w:rsid w:val="004A50F2"/>
    <w:rsid w:val="004A510C"/>
    <w:rsid w:val="004A5314"/>
    <w:rsid w:val="004A536F"/>
    <w:rsid w:val="004A5553"/>
    <w:rsid w:val="004A5569"/>
    <w:rsid w:val="004A559C"/>
    <w:rsid w:val="004A56E5"/>
    <w:rsid w:val="004A570D"/>
    <w:rsid w:val="004A5855"/>
    <w:rsid w:val="004A5893"/>
    <w:rsid w:val="004A58EA"/>
    <w:rsid w:val="004A5939"/>
    <w:rsid w:val="004A595C"/>
    <w:rsid w:val="004A5989"/>
    <w:rsid w:val="004A5A0C"/>
    <w:rsid w:val="004A5A64"/>
    <w:rsid w:val="004A5A87"/>
    <w:rsid w:val="004A5AF0"/>
    <w:rsid w:val="004A5D5D"/>
    <w:rsid w:val="004A5F38"/>
    <w:rsid w:val="004A5F97"/>
    <w:rsid w:val="004A5F9B"/>
    <w:rsid w:val="004A5FEC"/>
    <w:rsid w:val="004A6003"/>
    <w:rsid w:val="004A6175"/>
    <w:rsid w:val="004A6239"/>
    <w:rsid w:val="004A62EF"/>
    <w:rsid w:val="004A632D"/>
    <w:rsid w:val="004A6330"/>
    <w:rsid w:val="004A6332"/>
    <w:rsid w:val="004A6450"/>
    <w:rsid w:val="004A6624"/>
    <w:rsid w:val="004A6794"/>
    <w:rsid w:val="004A679B"/>
    <w:rsid w:val="004A681D"/>
    <w:rsid w:val="004A6A35"/>
    <w:rsid w:val="004A6B8C"/>
    <w:rsid w:val="004A6C43"/>
    <w:rsid w:val="004A6CA0"/>
    <w:rsid w:val="004A6E00"/>
    <w:rsid w:val="004A6EAF"/>
    <w:rsid w:val="004A6ED0"/>
    <w:rsid w:val="004A6EF0"/>
    <w:rsid w:val="004A7156"/>
    <w:rsid w:val="004A71A5"/>
    <w:rsid w:val="004A71BA"/>
    <w:rsid w:val="004A722C"/>
    <w:rsid w:val="004A72A9"/>
    <w:rsid w:val="004A73C8"/>
    <w:rsid w:val="004A7611"/>
    <w:rsid w:val="004A762D"/>
    <w:rsid w:val="004A76A5"/>
    <w:rsid w:val="004A76FA"/>
    <w:rsid w:val="004A7713"/>
    <w:rsid w:val="004A7889"/>
    <w:rsid w:val="004A78D8"/>
    <w:rsid w:val="004A7928"/>
    <w:rsid w:val="004A79B0"/>
    <w:rsid w:val="004A79F3"/>
    <w:rsid w:val="004A7A7F"/>
    <w:rsid w:val="004A7BE4"/>
    <w:rsid w:val="004A7CE4"/>
    <w:rsid w:val="004A7D7F"/>
    <w:rsid w:val="004A7E01"/>
    <w:rsid w:val="004A7E5A"/>
    <w:rsid w:val="004A7F06"/>
    <w:rsid w:val="004A7F66"/>
    <w:rsid w:val="004A7FE2"/>
    <w:rsid w:val="004A7FEA"/>
    <w:rsid w:val="004B00E9"/>
    <w:rsid w:val="004B0291"/>
    <w:rsid w:val="004B037D"/>
    <w:rsid w:val="004B0428"/>
    <w:rsid w:val="004B045D"/>
    <w:rsid w:val="004B05F8"/>
    <w:rsid w:val="004B071F"/>
    <w:rsid w:val="004B0767"/>
    <w:rsid w:val="004B0879"/>
    <w:rsid w:val="004B08B2"/>
    <w:rsid w:val="004B0947"/>
    <w:rsid w:val="004B0A8E"/>
    <w:rsid w:val="004B0BFA"/>
    <w:rsid w:val="004B0D55"/>
    <w:rsid w:val="004B0D73"/>
    <w:rsid w:val="004B0F66"/>
    <w:rsid w:val="004B1090"/>
    <w:rsid w:val="004B10B4"/>
    <w:rsid w:val="004B10EF"/>
    <w:rsid w:val="004B10FD"/>
    <w:rsid w:val="004B12A7"/>
    <w:rsid w:val="004B12E3"/>
    <w:rsid w:val="004B1591"/>
    <w:rsid w:val="004B15ED"/>
    <w:rsid w:val="004B15F9"/>
    <w:rsid w:val="004B163F"/>
    <w:rsid w:val="004B16E6"/>
    <w:rsid w:val="004B1797"/>
    <w:rsid w:val="004B1828"/>
    <w:rsid w:val="004B183E"/>
    <w:rsid w:val="004B1899"/>
    <w:rsid w:val="004B1937"/>
    <w:rsid w:val="004B1AE2"/>
    <w:rsid w:val="004B1B25"/>
    <w:rsid w:val="004B1B32"/>
    <w:rsid w:val="004B1B4B"/>
    <w:rsid w:val="004B1F72"/>
    <w:rsid w:val="004B1F82"/>
    <w:rsid w:val="004B2009"/>
    <w:rsid w:val="004B20B7"/>
    <w:rsid w:val="004B20EA"/>
    <w:rsid w:val="004B241E"/>
    <w:rsid w:val="004B24DB"/>
    <w:rsid w:val="004B2644"/>
    <w:rsid w:val="004B2657"/>
    <w:rsid w:val="004B265B"/>
    <w:rsid w:val="004B284D"/>
    <w:rsid w:val="004B2935"/>
    <w:rsid w:val="004B29C2"/>
    <w:rsid w:val="004B29FF"/>
    <w:rsid w:val="004B2A0F"/>
    <w:rsid w:val="004B2B2D"/>
    <w:rsid w:val="004B2B3E"/>
    <w:rsid w:val="004B2CAA"/>
    <w:rsid w:val="004B2D6A"/>
    <w:rsid w:val="004B2EA3"/>
    <w:rsid w:val="004B2F08"/>
    <w:rsid w:val="004B2F0C"/>
    <w:rsid w:val="004B2F4A"/>
    <w:rsid w:val="004B307E"/>
    <w:rsid w:val="004B30D0"/>
    <w:rsid w:val="004B3170"/>
    <w:rsid w:val="004B3241"/>
    <w:rsid w:val="004B3264"/>
    <w:rsid w:val="004B34D4"/>
    <w:rsid w:val="004B35A1"/>
    <w:rsid w:val="004B3633"/>
    <w:rsid w:val="004B3864"/>
    <w:rsid w:val="004B38C5"/>
    <w:rsid w:val="004B397D"/>
    <w:rsid w:val="004B3A52"/>
    <w:rsid w:val="004B3A6B"/>
    <w:rsid w:val="004B3AD2"/>
    <w:rsid w:val="004B3AD5"/>
    <w:rsid w:val="004B3B04"/>
    <w:rsid w:val="004B3CC6"/>
    <w:rsid w:val="004B3CEC"/>
    <w:rsid w:val="004B3E80"/>
    <w:rsid w:val="004B3E85"/>
    <w:rsid w:val="004B3FF0"/>
    <w:rsid w:val="004B400A"/>
    <w:rsid w:val="004B41C8"/>
    <w:rsid w:val="004B42A4"/>
    <w:rsid w:val="004B4318"/>
    <w:rsid w:val="004B432B"/>
    <w:rsid w:val="004B439D"/>
    <w:rsid w:val="004B440B"/>
    <w:rsid w:val="004B4477"/>
    <w:rsid w:val="004B44F9"/>
    <w:rsid w:val="004B45BA"/>
    <w:rsid w:val="004B45E9"/>
    <w:rsid w:val="004B4624"/>
    <w:rsid w:val="004B467C"/>
    <w:rsid w:val="004B48D7"/>
    <w:rsid w:val="004B498F"/>
    <w:rsid w:val="004B4A19"/>
    <w:rsid w:val="004B4B06"/>
    <w:rsid w:val="004B4BCD"/>
    <w:rsid w:val="004B4C12"/>
    <w:rsid w:val="004B4D14"/>
    <w:rsid w:val="004B4E0E"/>
    <w:rsid w:val="004B4E81"/>
    <w:rsid w:val="004B4F28"/>
    <w:rsid w:val="004B5244"/>
    <w:rsid w:val="004B546A"/>
    <w:rsid w:val="004B553B"/>
    <w:rsid w:val="004B55E9"/>
    <w:rsid w:val="004B56C6"/>
    <w:rsid w:val="004B59B5"/>
    <w:rsid w:val="004B59F3"/>
    <w:rsid w:val="004B5A19"/>
    <w:rsid w:val="004B5A74"/>
    <w:rsid w:val="004B5B2F"/>
    <w:rsid w:val="004B5B3A"/>
    <w:rsid w:val="004B5B4A"/>
    <w:rsid w:val="004B5C36"/>
    <w:rsid w:val="004B5CF7"/>
    <w:rsid w:val="004B5DE7"/>
    <w:rsid w:val="004B5F27"/>
    <w:rsid w:val="004B5F92"/>
    <w:rsid w:val="004B604B"/>
    <w:rsid w:val="004B6051"/>
    <w:rsid w:val="004B60AA"/>
    <w:rsid w:val="004B6247"/>
    <w:rsid w:val="004B62B1"/>
    <w:rsid w:val="004B62CD"/>
    <w:rsid w:val="004B6369"/>
    <w:rsid w:val="004B639F"/>
    <w:rsid w:val="004B6497"/>
    <w:rsid w:val="004B65CA"/>
    <w:rsid w:val="004B65DF"/>
    <w:rsid w:val="004B6614"/>
    <w:rsid w:val="004B671E"/>
    <w:rsid w:val="004B68AB"/>
    <w:rsid w:val="004B6A42"/>
    <w:rsid w:val="004B6A8B"/>
    <w:rsid w:val="004B6B64"/>
    <w:rsid w:val="004B6C2C"/>
    <w:rsid w:val="004B6CFA"/>
    <w:rsid w:val="004B6D45"/>
    <w:rsid w:val="004B6DEC"/>
    <w:rsid w:val="004B6EBF"/>
    <w:rsid w:val="004B6F3B"/>
    <w:rsid w:val="004B6F6B"/>
    <w:rsid w:val="004B6F8C"/>
    <w:rsid w:val="004B6FDD"/>
    <w:rsid w:val="004B6FDE"/>
    <w:rsid w:val="004B7014"/>
    <w:rsid w:val="004B7173"/>
    <w:rsid w:val="004B720E"/>
    <w:rsid w:val="004B72CB"/>
    <w:rsid w:val="004B735A"/>
    <w:rsid w:val="004B73DB"/>
    <w:rsid w:val="004B7447"/>
    <w:rsid w:val="004B74E0"/>
    <w:rsid w:val="004B762D"/>
    <w:rsid w:val="004B76CB"/>
    <w:rsid w:val="004B76DF"/>
    <w:rsid w:val="004B77EF"/>
    <w:rsid w:val="004B7816"/>
    <w:rsid w:val="004B797F"/>
    <w:rsid w:val="004B79FA"/>
    <w:rsid w:val="004B79FB"/>
    <w:rsid w:val="004B7A11"/>
    <w:rsid w:val="004B7B8C"/>
    <w:rsid w:val="004B7C8F"/>
    <w:rsid w:val="004B7CBB"/>
    <w:rsid w:val="004B7D44"/>
    <w:rsid w:val="004B7F5E"/>
    <w:rsid w:val="004B7FE8"/>
    <w:rsid w:val="004C011F"/>
    <w:rsid w:val="004C01B9"/>
    <w:rsid w:val="004C01C3"/>
    <w:rsid w:val="004C03A0"/>
    <w:rsid w:val="004C0414"/>
    <w:rsid w:val="004C0496"/>
    <w:rsid w:val="004C057C"/>
    <w:rsid w:val="004C06D0"/>
    <w:rsid w:val="004C08C7"/>
    <w:rsid w:val="004C09DF"/>
    <w:rsid w:val="004C0A18"/>
    <w:rsid w:val="004C0A36"/>
    <w:rsid w:val="004C0A8A"/>
    <w:rsid w:val="004C0AF6"/>
    <w:rsid w:val="004C0CA6"/>
    <w:rsid w:val="004C0EA8"/>
    <w:rsid w:val="004C0F68"/>
    <w:rsid w:val="004C0FD6"/>
    <w:rsid w:val="004C132F"/>
    <w:rsid w:val="004C1547"/>
    <w:rsid w:val="004C17BE"/>
    <w:rsid w:val="004C1808"/>
    <w:rsid w:val="004C18F2"/>
    <w:rsid w:val="004C19A3"/>
    <w:rsid w:val="004C19F3"/>
    <w:rsid w:val="004C1A58"/>
    <w:rsid w:val="004C1C41"/>
    <w:rsid w:val="004C1CB9"/>
    <w:rsid w:val="004C1DC0"/>
    <w:rsid w:val="004C1E97"/>
    <w:rsid w:val="004C1F0F"/>
    <w:rsid w:val="004C2175"/>
    <w:rsid w:val="004C2295"/>
    <w:rsid w:val="004C24FC"/>
    <w:rsid w:val="004C24FE"/>
    <w:rsid w:val="004C255C"/>
    <w:rsid w:val="004C285B"/>
    <w:rsid w:val="004C2899"/>
    <w:rsid w:val="004C2916"/>
    <w:rsid w:val="004C2922"/>
    <w:rsid w:val="004C295C"/>
    <w:rsid w:val="004C2980"/>
    <w:rsid w:val="004C2992"/>
    <w:rsid w:val="004C299A"/>
    <w:rsid w:val="004C2B51"/>
    <w:rsid w:val="004C2F1A"/>
    <w:rsid w:val="004C2FBF"/>
    <w:rsid w:val="004C30E6"/>
    <w:rsid w:val="004C31CF"/>
    <w:rsid w:val="004C32DA"/>
    <w:rsid w:val="004C339B"/>
    <w:rsid w:val="004C3430"/>
    <w:rsid w:val="004C3460"/>
    <w:rsid w:val="004C35BA"/>
    <w:rsid w:val="004C35DF"/>
    <w:rsid w:val="004C35F5"/>
    <w:rsid w:val="004C36F5"/>
    <w:rsid w:val="004C3776"/>
    <w:rsid w:val="004C38B3"/>
    <w:rsid w:val="004C3913"/>
    <w:rsid w:val="004C3930"/>
    <w:rsid w:val="004C3AA7"/>
    <w:rsid w:val="004C3CFC"/>
    <w:rsid w:val="004C3D3A"/>
    <w:rsid w:val="004C3D48"/>
    <w:rsid w:val="004C3D61"/>
    <w:rsid w:val="004C3DA6"/>
    <w:rsid w:val="004C3E03"/>
    <w:rsid w:val="004C3FE4"/>
    <w:rsid w:val="004C3FEA"/>
    <w:rsid w:val="004C40E4"/>
    <w:rsid w:val="004C413D"/>
    <w:rsid w:val="004C419A"/>
    <w:rsid w:val="004C41AF"/>
    <w:rsid w:val="004C41B4"/>
    <w:rsid w:val="004C42CE"/>
    <w:rsid w:val="004C4352"/>
    <w:rsid w:val="004C441E"/>
    <w:rsid w:val="004C463F"/>
    <w:rsid w:val="004C46E6"/>
    <w:rsid w:val="004C47DB"/>
    <w:rsid w:val="004C4825"/>
    <w:rsid w:val="004C4870"/>
    <w:rsid w:val="004C4892"/>
    <w:rsid w:val="004C4903"/>
    <w:rsid w:val="004C4938"/>
    <w:rsid w:val="004C4940"/>
    <w:rsid w:val="004C4BCA"/>
    <w:rsid w:val="004C4D52"/>
    <w:rsid w:val="004C4ED6"/>
    <w:rsid w:val="004C4F78"/>
    <w:rsid w:val="004C4FC2"/>
    <w:rsid w:val="004C50A6"/>
    <w:rsid w:val="004C515F"/>
    <w:rsid w:val="004C516C"/>
    <w:rsid w:val="004C5246"/>
    <w:rsid w:val="004C5354"/>
    <w:rsid w:val="004C545D"/>
    <w:rsid w:val="004C546C"/>
    <w:rsid w:val="004C5616"/>
    <w:rsid w:val="004C5696"/>
    <w:rsid w:val="004C5759"/>
    <w:rsid w:val="004C5805"/>
    <w:rsid w:val="004C58D9"/>
    <w:rsid w:val="004C59C5"/>
    <w:rsid w:val="004C5AC7"/>
    <w:rsid w:val="004C5B65"/>
    <w:rsid w:val="004C5B9B"/>
    <w:rsid w:val="004C5D91"/>
    <w:rsid w:val="004C5EF7"/>
    <w:rsid w:val="004C5F24"/>
    <w:rsid w:val="004C5F37"/>
    <w:rsid w:val="004C5F93"/>
    <w:rsid w:val="004C5FCC"/>
    <w:rsid w:val="004C5FF2"/>
    <w:rsid w:val="004C606D"/>
    <w:rsid w:val="004C60ED"/>
    <w:rsid w:val="004C627E"/>
    <w:rsid w:val="004C63D2"/>
    <w:rsid w:val="004C6459"/>
    <w:rsid w:val="004C64F8"/>
    <w:rsid w:val="004C6507"/>
    <w:rsid w:val="004C6510"/>
    <w:rsid w:val="004C6621"/>
    <w:rsid w:val="004C66F2"/>
    <w:rsid w:val="004C68AD"/>
    <w:rsid w:val="004C68D2"/>
    <w:rsid w:val="004C6A18"/>
    <w:rsid w:val="004C6C0A"/>
    <w:rsid w:val="004C6C97"/>
    <w:rsid w:val="004C6CD7"/>
    <w:rsid w:val="004C6DEC"/>
    <w:rsid w:val="004C6EBD"/>
    <w:rsid w:val="004C6ED4"/>
    <w:rsid w:val="004C6F47"/>
    <w:rsid w:val="004C6FB5"/>
    <w:rsid w:val="004C6FFC"/>
    <w:rsid w:val="004C7007"/>
    <w:rsid w:val="004C73E6"/>
    <w:rsid w:val="004C7494"/>
    <w:rsid w:val="004C74D4"/>
    <w:rsid w:val="004C763B"/>
    <w:rsid w:val="004C7654"/>
    <w:rsid w:val="004C7660"/>
    <w:rsid w:val="004C7671"/>
    <w:rsid w:val="004C767D"/>
    <w:rsid w:val="004C77C5"/>
    <w:rsid w:val="004C794B"/>
    <w:rsid w:val="004C7974"/>
    <w:rsid w:val="004C7A18"/>
    <w:rsid w:val="004C7C54"/>
    <w:rsid w:val="004C7D45"/>
    <w:rsid w:val="004C7DA9"/>
    <w:rsid w:val="004C7E88"/>
    <w:rsid w:val="004C7EDF"/>
    <w:rsid w:val="004C7F0A"/>
    <w:rsid w:val="004D00A1"/>
    <w:rsid w:val="004D01D7"/>
    <w:rsid w:val="004D01FE"/>
    <w:rsid w:val="004D02C8"/>
    <w:rsid w:val="004D03DC"/>
    <w:rsid w:val="004D041A"/>
    <w:rsid w:val="004D0434"/>
    <w:rsid w:val="004D043E"/>
    <w:rsid w:val="004D0478"/>
    <w:rsid w:val="004D04C8"/>
    <w:rsid w:val="004D04D7"/>
    <w:rsid w:val="004D0703"/>
    <w:rsid w:val="004D0734"/>
    <w:rsid w:val="004D07DD"/>
    <w:rsid w:val="004D0830"/>
    <w:rsid w:val="004D0905"/>
    <w:rsid w:val="004D0ABB"/>
    <w:rsid w:val="004D0B94"/>
    <w:rsid w:val="004D0C5F"/>
    <w:rsid w:val="004D0D02"/>
    <w:rsid w:val="004D0D19"/>
    <w:rsid w:val="004D0EEF"/>
    <w:rsid w:val="004D1013"/>
    <w:rsid w:val="004D1031"/>
    <w:rsid w:val="004D11D1"/>
    <w:rsid w:val="004D1291"/>
    <w:rsid w:val="004D14C9"/>
    <w:rsid w:val="004D1542"/>
    <w:rsid w:val="004D1602"/>
    <w:rsid w:val="004D1634"/>
    <w:rsid w:val="004D16D7"/>
    <w:rsid w:val="004D174F"/>
    <w:rsid w:val="004D18D0"/>
    <w:rsid w:val="004D1AE7"/>
    <w:rsid w:val="004D1CEC"/>
    <w:rsid w:val="004D1D22"/>
    <w:rsid w:val="004D1D54"/>
    <w:rsid w:val="004D1FDC"/>
    <w:rsid w:val="004D204B"/>
    <w:rsid w:val="004D2090"/>
    <w:rsid w:val="004D2180"/>
    <w:rsid w:val="004D243F"/>
    <w:rsid w:val="004D2460"/>
    <w:rsid w:val="004D24A7"/>
    <w:rsid w:val="004D24FB"/>
    <w:rsid w:val="004D2520"/>
    <w:rsid w:val="004D253C"/>
    <w:rsid w:val="004D2555"/>
    <w:rsid w:val="004D25B9"/>
    <w:rsid w:val="004D262D"/>
    <w:rsid w:val="004D2761"/>
    <w:rsid w:val="004D27A4"/>
    <w:rsid w:val="004D294A"/>
    <w:rsid w:val="004D298D"/>
    <w:rsid w:val="004D29F0"/>
    <w:rsid w:val="004D2A2F"/>
    <w:rsid w:val="004D2AF7"/>
    <w:rsid w:val="004D2B05"/>
    <w:rsid w:val="004D2BF6"/>
    <w:rsid w:val="004D2DEB"/>
    <w:rsid w:val="004D2DF5"/>
    <w:rsid w:val="004D2E19"/>
    <w:rsid w:val="004D2E9D"/>
    <w:rsid w:val="004D2FCC"/>
    <w:rsid w:val="004D3066"/>
    <w:rsid w:val="004D31A3"/>
    <w:rsid w:val="004D3340"/>
    <w:rsid w:val="004D34D1"/>
    <w:rsid w:val="004D34F1"/>
    <w:rsid w:val="004D36D5"/>
    <w:rsid w:val="004D37E3"/>
    <w:rsid w:val="004D385F"/>
    <w:rsid w:val="004D389F"/>
    <w:rsid w:val="004D38C1"/>
    <w:rsid w:val="004D38E1"/>
    <w:rsid w:val="004D3917"/>
    <w:rsid w:val="004D3932"/>
    <w:rsid w:val="004D39A0"/>
    <w:rsid w:val="004D3A08"/>
    <w:rsid w:val="004D3A28"/>
    <w:rsid w:val="004D3BDD"/>
    <w:rsid w:val="004D3C8F"/>
    <w:rsid w:val="004D3C96"/>
    <w:rsid w:val="004D3D8E"/>
    <w:rsid w:val="004D3E6C"/>
    <w:rsid w:val="004D40AC"/>
    <w:rsid w:val="004D410A"/>
    <w:rsid w:val="004D429A"/>
    <w:rsid w:val="004D42AB"/>
    <w:rsid w:val="004D42C3"/>
    <w:rsid w:val="004D4398"/>
    <w:rsid w:val="004D43A4"/>
    <w:rsid w:val="004D45BB"/>
    <w:rsid w:val="004D45CD"/>
    <w:rsid w:val="004D462B"/>
    <w:rsid w:val="004D4698"/>
    <w:rsid w:val="004D47DF"/>
    <w:rsid w:val="004D493C"/>
    <w:rsid w:val="004D4994"/>
    <w:rsid w:val="004D4A9E"/>
    <w:rsid w:val="004D4AE6"/>
    <w:rsid w:val="004D4B50"/>
    <w:rsid w:val="004D4CF3"/>
    <w:rsid w:val="004D4D77"/>
    <w:rsid w:val="004D4DA4"/>
    <w:rsid w:val="004D4DB6"/>
    <w:rsid w:val="004D4E70"/>
    <w:rsid w:val="004D4FD0"/>
    <w:rsid w:val="004D4FFE"/>
    <w:rsid w:val="004D506F"/>
    <w:rsid w:val="004D50B9"/>
    <w:rsid w:val="004D51AB"/>
    <w:rsid w:val="004D5211"/>
    <w:rsid w:val="004D5229"/>
    <w:rsid w:val="004D52EF"/>
    <w:rsid w:val="004D53EB"/>
    <w:rsid w:val="004D540F"/>
    <w:rsid w:val="004D5435"/>
    <w:rsid w:val="004D5487"/>
    <w:rsid w:val="004D54B0"/>
    <w:rsid w:val="004D54B3"/>
    <w:rsid w:val="004D54CC"/>
    <w:rsid w:val="004D5593"/>
    <w:rsid w:val="004D56A6"/>
    <w:rsid w:val="004D581F"/>
    <w:rsid w:val="004D58BA"/>
    <w:rsid w:val="004D592D"/>
    <w:rsid w:val="004D5953"/>
    <w:rsid w:val="004D59B9"/>
    <w:rsid w:val="004D5B3D"/>
    <w:rsid w:val="004D5C05"/>
    <w:rsid w:val="004D5C7F"/>
    <w:rsid w:val="004D5C86"/>
    <w:rsid w:val="004D5C92"/>
    <w:rsid w:val="004D5D18"/>
    <w:rsid w:val="004D5E6D"/>
    <w:rsid w:val="004D6021"/>
    <w:rsid w:val="004D6077"/>
    <w:rsid w:val="004D62D9"/>
    <w:rsid w:val="004D6389"/>
    <w:rsid w:val="004D63AF"/>
    <w:rsid w:val="004D6458"/>
    <w:rsid w:val="004D64A7"/>
    <w:rsid w:val="004D6725"/>
    <w:rsid w:val="004D689C"/>
    <w:rsid w:val="004D68E3"/>
    <w:rsid w:val="004D6959"/>
    <w:rsid w:val="004D69E1"/>
    <w:rsid w:val="004D6A38"/>
    <w:rsid w:val="004D6BF6"/>
    <w:rsid w:val="004D6CE7"/>
    <w:rsid w:val="004D6D0C"/>
    <w:rsid w:val="004D6D4E"/>
    <w:rsid w:val="004D6DA7"/>
    <w:rsid w:val="004D6E20"/>
    <w:rsid w:val="004D7062"/>
    <w:rsid w:val="004D7134"/>
    <w:rsid w:val="004D717F"/>
    <w:rsid w:val="004D71AB"/>
    <w:rsid w:val="004D720A"/>
    <w:rsid w:val="004D7274"/>
    <w:rsid w:val="004D7436"/>
    <w:rsid w:val="004D74E6"/>
    <w:rsid w:val="004D752D"/>
    <w:rsid w:val="004D7647"/>
    <w:rsid w:val="004D7850"/>
    <w:rsid w:val="004D78C0"/>
    <w:rsid w:val="004D7A3C"/>
    <w:rsid w:val="004D7A43"/>
    <w:rsid w:val="004D7AFD"/>
    <w:rsid w:val="004D7B19"/>
    <w:rsid w:val="004D7BB1"/>
    <w:rsid w:val="004D7BE6"/>
    <w:rsid w:val="004D7C3F"/>
    <w:rsid w:val="004D7E28"/>
    <w:rsid w:val="004D7EDE"/>
    <w:rsid w:val="004E005C"/>
    <w:rsid w:val="004E03E7"/>
    <w:rsid w:val="004E05B8"/>
    <w:rsid w:val="004E05D6"/>
    <w:rsid w:val="004E0601"/>
    <w:rsid w:val="004E060C"/>
    <w:rsid w:val="004E06DB"/>
    <w:rsid w:val="004E08C8"/>
    <w:rsid w:val="004E0900"/>
    <w:rsid w:val="004E0A44"/>
    <w:rsid w:val="004E0ACC"/>
    <w:rsid w:val="004E0B5C"/>
    <w:rsid w:val="004E0BA7"/>
    <w:rsid w:val="004E0E59"/>
    <w:rsid w:val="004E0EA8"/>
    <w:rsid w:val="004E0F43"/>
    <w:rsid w:val="004E0F73"/>
    <w:rsid w:val="004E11CE"/>
    <w:rsid w:val="004E1254"/>
    <w:rsid w:val="004E12B5"/>
    <w:rsid w:val="004E1418"/>
    <w:rsid w:val="004E145C"/>
    <w:rsid w:val="004E1955"/>
    <w:rsid w:val="004E1AA1"/>
    <w:rsid w:val="004E1B0F"/>
    <w:rsid w:val="004E1B23"/>
    <w:rsid w:val="004E1BB9"/>
    <w:rsid w:val="004E1BF5"/>
    <w:rsid w:val="004E1D19"/>
    <w:rsid w:val="004E1DD8"/>
    <w:rsid w:val="004E1E63"/>
    <w:rsid w:val="004E2026"/>
    <w:rsid w:val="004E2090"/>
    <w:rsid w:val="004E20CC"/>
    <w:rsid w:val="004E21AB"/>
    <w:rsid w:val="004E21C8"/>
    <w:rsid w:val="004E21CF"/>
    <w:rsid w:val="004E2320"/>
    <w:rsid w:val="004E23F5"/>
    <w:rsid w:val="004E253A"/>
    <w:rsid w:val="004E25AB"/>
    <w:rsid w:val="004E25B6"/>
    <w:rsid w:val="004E25E8"/>
    <w:rsid w:val="004E26C1"/>
    <w:rsid w:val="004E2802"/>
    <w:rsid w:val="004E29C3"/>
    <w:rsid w:val="004E29F1"/>
    <w:rsid w:val="004E2A0E"/>
    <w:rsid w:val="004E2C11"/>
    <w:rsid w:val="004E2C8A"/>
    <w:rsid w:val="004E2D6D"/>
    <w:rsid w:val="004E2DCC"/>
    <w:rsid w:val="004E2FB0"/>
    <w:rsid w:val="004E30DF"/>
    <w:rsid w:val="004E3187"/>
    <w:rsid w:val="004E3550"/>
    <w:rsid w:val="004E357A"/>
    <w:rsid w:val="004E3629"/>
    <w:rsid w:val="004E3649"/>
    <w:rsid w:val="004E374A"/>
    <w:rsid w:val="004E3798"/>
    <w:rsid w:val="004E38BD"/>
    <w:rsid w:val="004E3A66"/>
    <w:rsid w:val="004E3A79"/>
    <w:rsid w:val="004E3C1C"/>
    <w:rsid w:val="004E3CE4"/>
    <w:rsid w:val="004E3EC6"/>
    <w:rsid w:val="004E3F37"/>
    <w:rsid w:val="004E3F8B"/>
    <w:rsid w:val="004E3FD3"/>
    <w:rsid w:val="004E4121"/>
    <w:rsid w:val="004E42DE"/>
    <w:rsid w:val="004E43A0"/>
    <w:rsid w:val="004E480E"/>
    <w:rsid w:val="004E487A"/>
    <w:rsid w:val="004E487D"/>
    <w:rsid w:val="004E48B8"/>
    <w:rsid w:val="004E48E3"/>
    <w:rsid w:val="004E4A4E"/>
    <w:rsid w:val="004E4AE6"/>
    <w:rsid w:val="004E4C05"/>
    <w:rsid w:val="004E4D0A"/>
    <w:rsid w:val="004E4DFD"/>
    <w:rsid w:val="004E4E1A"/>
    <w:rsid w:val="004E4E36"/>
    <w:rsid w:val="004E4F4A"/>
    <w:rsid w:val="004E4FE2"/>
    <w:rsid w:val="004E5026"/>
    <w:rsid w:val="004E504C"/>
    <w:rsid w:val="004E5096"/>
    <w:rsid w:val="004E5100"/>
    <w:rsid w:val="004E52E2"/>
    <w:rsid w:val="004E530F"/>
    <w:rsid w:val="004E53AF"/>
    <w:rsid w:val="004E53F6"/>
    <w:rsid w:val="004E5560"/>
    <w:rsid w:val="004E5587"/>
    <w:rsid w:val="004E5591"/>
    <w:rsid w:val="004E55CA"/>
    <w:rsid w:val="004E5662"/>
    <w:rsid w:val="004E5681"/>
    <w:rsid w:val="004E581D"/>
    <w:rsid w:val="004E5980"/>
    <w:rsid w:val="004E5A82"/>
    <w:rsid w:val="004E5AA0"/>
    <w:rsid w:val="004E5ABB"/>
    <w:rsid w:val="004E5ADA"/>
    <w:rsid w:val="004E5B2A"/>
    <w:rsid w:val="004E5BAE"/>
    <w:rsid w:val="004E5C29"/>
    <w:rsid w:val="004E5E19"/>
    <w:rsid w:val="004E5E3A"/>
    <w:rsid w:val="004E5EC7"/>
    <w:rsid w:val="004E5EF2"/>
    <w:rsid w:val="004E5EF6"/>
    <w:rsid w:val="004E5F81"/>
    <w:rsid w:val="004E5F93"/>
    <w:rsid w:val="004E5FE6"/>
    <w:rsid w:val="004E62E8"/>
    <w:rsid w:val="004E6449"/>
    <w:rsid w:val="004E6527"/>
    <w:rsid w:val="004E6680"/>
    <w:rsid w:val="004E66A3"/>
    <w:rsid w:val="004E6795"/>
    <w:rsid w:val="004E67BC"/>
    <w:rsid w:val="004E683B"/>
    <w:rsid w:val="004E6859"/>
    <w:rsid w:val="004E68C6"/>
    <w:rsid w:val="004E6954"/>
    <w:rsid w:val="004E697A"/>
    <w:rsid w:val="004E6A48"/>
    <w:rsid w:val="004E6A78"/>
    <w:rsid w:val="004E6AF7"/>
    <w:rsid w:val="004E6C46"/>
    <w:rsid w:val="004E6CC2"/>
    <w:rsid w:val="004E6CE1"/>
    <w:rsid w:val="004E6D89"/>
    <w:rsid w:val="004E6E62"/>
    <w:rsid w:val="004E6ED9"/>
    <w:rsid w:val="004E6F71"/>
    <w:rsid w:val="004E6FE1"/>
    <w:rsid w:val="004E70B9"/>
    <w:rsid w:val="004E715F"/>
    <w:rsid w:val="004E72C8"/>
    <w:rsid w:val="004E7315"/>
    <w:rsid w:val="004E7341"/>
    <w:rsid w:val="004E7358"/>
    <w:rsid w:val="004E7455"/>
    <w:rsid w:val="004E775A"/>
    <w:rsid w:val="004E7808"/>
    <w:rsid w:val="004E7809"/>
    <w:rsid w:val="004E786D"/>
    <w:rsid w:val="004E78BE"/>
    <w:rsid w:val="004E78DD"/>
    <w:rsid w:val="004E79A0"/>
    <w:rsid w:val="004E7A6C"/>
    <w:rsid w:val="004E7AE1"/>
    <w:rsid w:val="004E7C1B"/>
    <w:rsid w:val="004E7E1B"/>
    <w:rsid w:val="004E7E26"/>
    <w:rsid w:val="004E7E58"/>
    <w:rsid w:val="004E7F92"/>
    <w:rsid w:val="004F01D0"/>
    <w:rsid w:val="004F0261"/>
    <w:rsid w:val="004F0269"/>
    <w:rsid w:val="004F02A0"/>
    <w:rsid w:val="004F02EE"/>
    <w:rsid w:val="004F030D"/>
    <w:rsid w:val="004F0367"/>
    <w:rsid w:val="004F03B1"/>
    <w:rsid w:val="004F04E2"/>
    <w:rsid w:val="004F0660"/>
    <w:rsid w:val="004F06CB"/>
    <w:rsid w:val="004F0796"/>
    <w:rsid w:val="004F0842"/>
    <w:rsid w:val="004F0881"/>
    <w:rsid w:val="004F0906"/>
    <w:rsid w:val="004F0B94"/>
    <w:rsid w:val="004F0C05"/>
    <w:rsid w:val="004F0DCC"/>
    <w:rsid w:val="004F0E0C"/>
    <w:rsid w:val="004F0E39"/>
    <w:rsid w:val="004F0EA1"/>
    <w:rsid w:val="004F134E"/>
    <w:rsid w:val="004F14A2"/>
    <w:rsid w:val="004F14CE"/>
    <w:rsid w:val="004F1666"/>
    <w:rsid w:val="004F169E"/>
    <w:rsid w:val="004F16AF"/>
    <w:rsid w:val="004F17CA"/>
    <w:rsid w:val="004F18A1"/>
    <w:rsid w:val="004F1985"/>
    <w:rsid w:val="004F1A0F"/>
    <w:rsid w:val="004F1A35"/>
    <w:rsid w:val="004F1A56"/>
    <w:rsid w:val="004F1C98"/>
    <w:rsid w:val="004F1CCE"/>
    <w:rsid w:val="004F1D51"/>
    <w:rsid w:val="004F1D5C"/>
    <w:rsid w:val="004F1DA9"/>
    <w:rsid w:val="004F1E90"/>
    <w:rsid w:val="004F1E91"/>
    <w:rsid w:val="004F200F"/>
    <w:rsid w:val="004F20ED"/>
    <w:rsid w:val="004F21BB"/>
    <w:rsid w:val="004F2291"/>
    <w:rsid w:val="004F22A0"/>
    <w:rsid w:val="004F2528"/>
    <w:rsid w:val="004F265B"/>
    <w:rsid w:val="004F26D8"/>
    <w:rsid w:val="004F270A"/>
    <w:rsid w:val="004F279A"/>
    <w:rsid w:val="004F280D"/>
    <w:rsid w:val="004F282F"/>
    <w:rsid w:val="004F2940"/>
    <w:rsid w:val="004F296F"/>
    <w:rsid w:val="004F2A7B"/>
    <w:rsid w:val="004F2AC9"/>
    <w:rsid w:val="004F2B24"/>
    <w:rsid w:val="004F2DA1"/>
    <w:rsid w:val="004F2E2E"/>
    <w:rsid w:val="004F2F09"/>
    <w:rsid w:val="004F2F1D"/>
    <w:rsid w:val="004F2FAC"/>
    <w:rsid w:val="004F3169"/>
    <w:rsid w:val="004F326C"/>
    <w:rsid w:val="004F3343"/>
    <w:rsid w:val="004F3344"/>
    <w:rsid w:val="004F33A8"/>
    <w:rsid w:val="004F3436"/>
    <w:rsid w:val="004F34BC"/>
    <w:rsid w:val="004F357D"/>
    <w:rsid w:val="004F3681"/>
    <w:rsid w:val="004F3690"/>
    <w:rsid w:val="004F3705"/>
    <w:rsid w:val="004F37E0"/>
    <w:rsid w:val="004F393E"/>
    <w:rsid w:val="004F39B0"/>
    <w:rsid w:val="004F39F3"/>
    <w:rsid w:val="004F3A0B"/>
    <w:rsid w:val="004F3A1C"/>
    <w:rsid w:val="004F3BCF"/>
    <w:rsid w:val="004F3C11"/>
    <w:rsid w:val="004F3C68"/>
    <w:rsid w:val="004F3CAA"/>
    <w:rsid w:val="004F3D6C"/>
    <w:rsid w:val="004F3E47"/>
    <w:rsid w:val="004F3E62"/>
    <w:rsid w:val="004F3EB9"/>
    <w:rsid w:val="004F40BA"/>
    <w:rsid w:val="004F4167"/>
    <w:rsid w:val="004F418A"/>
    <w:rsid w:val="004F41E9"/>
    <w:rsid w:val="004F4211"/>
    <w:rsid w:val="004F4225"/>
    <w:rsid w:val="004F4242"/>
    <w:rsid w:val="004F4362"/>
    <w:rsid w:val="004F446A"/>
    <w:rsid w:val="004F44E0"/>
    <w:rsid w:val="004F4581"/>
    <w:rsid w:val="004F46A7"/>
    <w:rsid w:val="004F4765"/>
    <w:rsid w:val="004F47D8"/>
    <w:rsid w:val="004F47DC"/>
    <w:rsid w:val="004F4808"/>
    <w:rsid w:val="004F482F"/>
    <w:rsid w:val="004F4858"/>
    <w:rsid w:val="004F4897"/>
    <w:rsid w:val="004F4987"/>
    <w:rsid w:val="004F4A51"/>
    <w:rsid w:val="004F4B19"/>
    <w:rsid w:val="004F4C21"/>
    <w:rsid w:val="004F4CB6"/>
    <w:rsid w:val="004F4DA1"/>
    <w:rsid w:val="004F524A"/>
    <w:rsid w:val="004F524E"/>
    <w:rsid w:val="004F5251"/>
    <w:rsid w:val="004F52C1"/>
    <w:rsid w:val="004F52F9"/>
    <w:rsid w:val="004F5312"/>
    <w:rsid w:val="004F535B"/>
    <w:rsid w:val="004F5405"/>
    <w:rsid w:val="004F5468"/>
    <w:rsid w:val="004F547A"/>
    <w:rsid w:val="004F5521"/>
    <w:rsid w:val="004F55C6"/>
    <w:rsid w:val="004F5610"/>
    <w:rsid w:val="004F5768"/>
    <w:rsid w:val="004F57C7"/>
    <w:rsid w:val="004F5855"/>
    <w:rsid w:val="004F5857"/>
    <w:rsid w:val="004F5882"/>
    <w:rsid w:val="004F58A7"/>
    <w:rsid w:val="004F58DB"/>
    <w:rsid w:val="004F5A9D"/>
    <w:rsid w:val="004F5CC2"/>
    <w:rsid w:val="004F5CF0"/>
    <w:rsid w:val="004F5F57"/>
    <w:rsid w:val="004F5FFD"/>
    <w:rsid w:val="004F60A9"/>
    <w:rsid w:val="004F60CE"/>
    <w:rsid w:val="004F6148"/>
    <w:rsid w:val="004F627B"/>
    <w:rsid w:val="004F6324"/>
    <w:rsid w:val="004F636E"/>
    <w:rsid w:val="004F6669"/>
    <w:rsid w:val="004F6698"/>
    <w:rsid w:val="004F66BD"/>
    <w:rsid w:val="004F67A3"/>
    <w:rsid w:val="004F67B8"/>
    <w:rsid w:val="004F67C8"/>
    <w:rsid w:val="004F6903"/>
    <w:rsid w:val="004F6985"/>
    <w:rsid w:val="004F6A9C"/>
    <w:rsid w:val="004F6AD3"/>
    <w:rsid w:val="004F6B99"/>
    <w:rsid w:val="004F6D69"/>
    <w:rsid w:val="004F6F3C"/>
    <w:rsid w:val="004F6F55"/>
    <w:rsid w:val="004F6FE4"/>
    <w:rsid w:val="004F7012"/>
    <w:rsid w:val="004F706D"/>
    <w:rsid w:val="004F708D"/>
    <w:rsid w:val="004F7150"/>
    <w:rsid w:val="004F72E4"/>
    <w:rsid w:val="004F736D"/>
    <w:rsid w:val="004F738D"/>
    <w:rsid w:val="004F7419"/>
    <w:rsid w:val="004F741D"/>
    <w:rsid w:val="004F7444"/>
    <w:rsid w:val="004F74F4"/>
    <w:rsid w:val="004F7518"/>
    <w:rsid w:val="004F760C"/>
    <w:rsid w:val="004F76EE"/>
    <w:rsid w:val="004F7747"/>
    <w:rsid w:val="004F774E"/>
    <w:rsid w:val="004F79C7"/>
    <w:rsid w:val="004F7A5B"/>
    <w:rsid w:val="004F7A76"/>
    <w:rsid w:val="004F7AD1"/>
    <w:rsid w:val="004F7BDA"/>
    <w:rsid w:val="004F7C71"/>
    <w:rsid w:val="004F7D15"/>
    <w:rsid w:val="004F7DDC"/>
    <w:rsid w:val="004F7ED3"/>
    <w:rsid w:val="004F7FA2"/>
    <w:rsid w:val="005001B9"/>
    <w:rsid w:val="005001E6"/>
    <w:rsid w:val="00500275"/>
    <w:rsid w:val="00500349"/>
    <w:rsid w:val="0050034F"/>
    <w:rsid w:val="005003AA"/>
    <w:rsid w:val="005003EB"/>
    <w:rsid w:val="0050044D"/>
    <w:rsid w:val="0050047A"/>
    <w:rsid w:val="005004F3"/>
    <w:rsid w:val="0050068E"/>
    <w:rsid w:val="005006E0"/>
    <w:rsid w:val="005007EC"/>
    <w:rsid w:val="0050084F"/>
    <w:rsid w:val="005008D2"/>
    <w:rsid w:val="00500A12"/>
    <w:rsid w:val="00500A32"/>
    <w:rsid w:val="00500A7F"/>
    <w:rsid w:val="00500BAC"/>
    <w:rsid w:val="00500D18"/>
    <w:rsid w:val="00500D29"/>
    <w:rsid w:val="00500E0A"/>
    <w:rsid w:val="00500E43"/>
    <w:rsid w:val="00500EB6"/>
    <w:rsid w:val="00500F26"/>
    <w:rsid w:val="00500F4C"/>
    <w:rsid w:val="00500FD1"/>
    <w:rsid w:val="00500FF7"/>
    <w:rsid w:val="00501020"/>
    <w:rsid w:val="00501028"/>
    <w:rsid w:val="0050109A"/>
    <w:rsid w:val="005010BB"/>
    <w:rsid w:val="00501175"/>
    <w:rsid w:val="005012D8"/>
    <w:rsid w:val="0050144D"/>
    <w:rsid w:val="005014AD"/>
    <w:rsid w:val="0050152A"/>
    <w:rsid w:val="00501745"/>
    <w:rsid w:val="00501873"/>
    <w:rsid w:val="00501A59"/>
    <w:rsid w:val="00501AA8"/>
    <w:rsid w:val="00501B17"/>
    <w:rsid w:val="00501BCB"/>
    <w:rsid w:val="00501BD7"/>
    <w:rsid w:val="00501C22"/>
    <w:rsid w:val="00501D13"/>
    <w:rsid w:val="00501DB2"/>
    <w:rsid w:val="00501E26"/>
    <w:rsid w:val="00502344"/>
    <w:rsid w:val="0050242E"/>
    <w:rsid w:val="0050248D"/>
    <w:rsid w:val="005024D1"/>
    <w:rsid w:val="00502597"/>
    <w:rsid w:val="005025A8"/>
    <w:rsid w:val="0050276F"/>
    <w:rsid w:val="0050287E"/>
    <w:rsid w:val="0050288E"/>
    <w:rsid w:val="005029E4"/>
    <w:rsid w:val="00502A0B"/>
    <w:rsid w:val="00502AFE"/>
    <w:rsid w:val="00502B59"/>
    <w:rsid w:val="00502C3F"/>
    <w:rsid w:val="00502C64"/>
    <w:rsid w:val="00502C89"/>
    <w:rsid w:val="00502CD5"/>
    <w:rsid w:val="00502EAF"/>
    <w:rsid w:val="00502EC7"/>
    <w:rsid w:val="00502ECC"/>
    <w:rsid w:val="00502EDD"/>
    <w:rsid w:val="00503086"/>
    <w:rsid w:val="005030D4"/>
    <w:rsid w:val="0050311F"/>
    <w:rsid w:val="00503174"/>
    <w:rsid w:val="00503211"/>
    <w:rsid w:val="0050325B"/>
    <w:rsid w:val="00503330"/>
    <w:rsid w:val="005033B3"/>
    <w:rsid w:val="005034C5"/>
    <w:rsid w:val="0050350A"/>
    <w:rsid w:val="0050358E"/>
    <w:rsid w:val="005036B2"/>
    <w:rsid w:val="005036E9"/>
    <w:rsid w:val="00503728"/>
    <w:rsid w:val="00503996"/>
    <w:rsid w:val="005039EB"/>
    <w:rsid w:val="00503B20"/>
    <w:rsid w:val="00503B86"/>
    <w:rsid w:val="00503C23"/>
    <w:rsid w:val="00503D86"/>
    <w:rsid w:val="00503E14"/>
    <w:rsid w:val="00503FA3"/>
    <w:rsid w:val="00504034"/>
    <w:rsid w:val="0050410A"/>
    <w:rsid w:val="005042CC"/>
    <w:rsid w:val="0050438E"/>
    <w:rsid w:val="00504455"/>
    <w:rsid w:val="0050449F"/>
    <w:rsid w:val="00504524"/>
    <w:rsid w:val="005045CE"/>
    <w:rsid w:val="005045D4"/>
    <w:rsid w:val="00504836"/>
    <w:rsid w:val="005048D6"/>
    <w:rsid w:val="00504957"/>
    <w:rsid w:val="00504B28"/>
    <w:rsid w:val="00504BCB"/>
    <w:rsid w:val="00504C1D"/>
    <w:rsid w:val="00504C9D"/>
    <w:rsid w:val="00504CF1"/>
    <w:rsid w:val="00504CF8"/>
    <w:rsid w:val="00504D15"/>
    <w:rsid w:val="00504D75"/>
    <w:rsid w:val="00504E06"/>
    <w:rsid w:val="00504EBE"/>
    <w:rsid w:val="00504F78"/>
    <w:rsid w:val="00504FB8"/>
    <w:rsid w:val="005050F2"/>
    <w:rsid w:val="005051B2"/>
    <w:rsid w:val="005051D4"/>
    <w:rsid w:val="005052F0"/>
    <w:rsid w:val="00505372"/>
    <w:rsid w:val="00505455"/>
    <w:rsid w:val="00505513"/>
    <w:rsid w:val="00505524"/>
    <w:rsid w:val="00505533"/>
    <w:rsid w:val="0050554C"/>
    <w:rsid w:val="00505673"/>
    <w:rsid w:val="00505796"/>
    <w:rsid w:val="005057B6"/>
    <w:rsid w:val="005058F5"/>
    <w:rsid w:val="00505A8B"/>
    <w:rsid w:val="00505CC2"/>
    <w:rsid w:val="00505D58"/>
    <w:rsid w:val="00505E75"/>
    <w:rsid w:val="00505FD7"/>
    <w:rsid w:val="00506003"/>
    <w:rsid w:val="00506007"/>
    <w:rsid w:val="005061A9"/>
    <w:rsid w:val="005061C6"/>
    <w:rsid w:val="005061D5"/>
    <w:rsid w:val="00506270"/>
    <w:rsid w:val="005062F9"/>
    <w:rsid w:val="0050641D"/>
    <w:rsid w:val="0050650F"/>
    <w:rsid w:val="00506551"/>
    <w:rsid w:val="00506609"/>
    <w:rsid w:val="00506657"/>
    <w:rsid w:val="005066D6"/>
    <w:rsid w:val="0050675E"/>
    <w:rsid w:val="005067A6"/>
    <w:rsid w:val="00506895"/>
    <w:rsid w:val="005069EC"/>
    <w:rsid w:val="00506B92"/>
    <w:rsid w:val="00506C3C"/>
    <w:rsid w:val="00506ED8"/>
    <w:rsid w:val="00506FC2"/>
    <w:rsid w:val="005070F5"/>
    <w:rsid w:val="005071B6"/>
    <w:rsid w:val="005071C2"/>
    <w:rsid w:val="005071D4"/>
    <w:rsid w:val="00507507"/>
    <w:rsid w:val="005075ED"/>
    <w:rsid w:val="00507615"/>
    <w:rsid w:val="00507645"/>
    <w:rsid w:val="0050768E"/>
    <w:rsid w:val="005077F5"/>
    <w:rsid w:val="005078A8"/>
    <w:rsid w:val="00507A37"/>
    <w:rsid w:val="00507B53"/>
    <w:rsid w:val="00507CCE"/>
    <w:rsid w:val="00507D2E"/>
    <w:rsid w:val="00507D46"/>
    <w:rsid w:val="00507E46"/>
    <w:rsid w:val="00507E53"/>
    <w:rsid w:val="00507E5E"/>
    <w:rsid w:val="00507EDF"/>
    <w:rsid w:val="00507F79"/>
    <w:rsid w:val="00510054"/>
    <w:rsid w:val="005104A8"/>
    <w:rsid w:val="00510503"/>
    <w:rsid w:val="005105B1"/>
    <w:rsid w:val="005105BA"/>
    <w:rsid w:val="0051060F"/>
    <w:rsid w:val="00510754"/>
    <w:rsid w:val="00510769"/>
    <w:rsid w:val="0051077B"/>
    <w:rsid w:val="00510783"/>
    <w:rsid w:val="0051084F"/>
    <w:rsid w:val="00510864"/>
    <w:rsid w:val="005108D0"/>
    <w:rsid w:val="005109C0"/>
    <w:rsid w:val="00510A20"/>
    <w:rsid w:val="00510A97"/>
    <w:rsid w:val="00510C28"/>
    <w:rsid w:val="00510DE1"/>
    <w:rsid w:val="00510E0C"/>
    <w:rsid w:val="00510E9A"/>
    <w:rsid w:val="00510F64"/>
    <w:rsid w:val="00511056"/>
    <w:rsid w:val="00511066"/>
    <w:rsid w:val="005111C1"/>
    <w:rsid w:val="0051120B"/>
    <w:rsid w:val="0051123E"/>
    <w:rsid w:val="00511277"/>
    <w:rsid w:val="005112AE"/>
    <w:rsid w:val="0051131C"/>
    <w:rsid w:val="00511352"/>
    <w:rsid w:val="005113BD"/>
    <w:rsid w:val="005113FC"/>
    <w:rsid w:val="0051144F"/>
    <w:rsid w:val="00511468"/>
    <w:rsid w:val="005114A9"/>
    <w:rsid w:val="005114AE"/>
    <w:rsid w:val="005114CF"/>
    <w:rsid w:val="00511540"/>
    <w:rsid w:val="005115F3"/>
    <w:rsid w:val="00511607"/>
    <w:rsid w:val="0051162B"/>
    <w:rsid w:val="00511813"/>
    <w:rsid w:val="00511855"/>
    <w:rsid w:val="005118DF"/>
    <w:rsid w:val="00511A6B"/>
    <w:rsid w:val="00511A99"/>
    <w:rsid w:val="00511E87"/>
    <w:rsid w:val="00511EF7"/>
    <w:rsid w:val="00511F0E"/>
    <w:rsid w:val="00511F81"/>
    <w:rsid w:val="00512062"/>
    <w:rsid w:val="0051208C"/>
    <w:rsid w:val="005121D7"/>
    <w:rsid w:val="005122DA"/>
    <w:rsid w:val="0051237A"/>
    <w:rsid w:val="00512397"/>
    <w:rsid w:val="005123EF"/>
    <w:rsid w:val="00512440"/>
    <w:rsid w:val="00512474"/>
    <w:rsid w:val="00512562"/>
    <w:rsid w:val="005125E0"/>
    <w:rsid w:val="0051265E"/>
    <w:rsid w:val="00512689"/>
    <w:rsid w:val="005126D8"/>
    <w:rsid w:val="00512757"/>
    <w:rsid w:val="005127C5"/>
    <w:rsid w:val="00512862"/>
    <w:rsid w:val="005128A9"/>
    <w:rsid w:val="00512932"/>
    <w:rsid w:val="005129B7"/>
    <w:rsid w:val="00512A26"/>
    <w:rsid w:val="00512A9B"/>
    <w:rsid w:val="00512C85"/>
    <w:rsid w:val="00512CC9"/>
    <w:rsid w:val="00512CE3"/>
    <w:rsid w:val="00512D4B"/>
    <w:rsid w:val="00512DAD"/>
    <w:rsid w:val="00512DBE"/>
    <w:rsid w:val="00512E10"/>
    <w:rsid w:val="00512E41"/>
    <w:rsid w:val="00513055"/>
    <w:rsid w:val="005130A6"/>
    <w:rsid w:val="005130CE"/>
    <w:rsid w:val="0051314B"/>
    <w:rsid w:val="00513264"/>
    <w:rsid w:val="005132DA"/>
    <w:rsid w:val="005133E8"/>
    <w:rsid w:val="005134F4"/>
    <w:rsid w:val="00513568"/>
    <w:rsid w:val="005136DD"/>
    <w:rsid w:val="005137A2"/>
    <w:rsid w:val="005138EC"/>
    <w:rsid w:val="0051390C"/>
    <w:rsid w:val="0051394A"/>
    <w:rsid w:val="00513B97"/>
    <w:rsid w:val="00513BF2"/>
    <w:rsid w:val="00513BFE"/>
    <w:rsid w:val="00513C25"/>
    <w:rsid w:val="00513CD0"/>
    <w:rsid w:val="00513D31"/>
    <w:rsid w:val="00513E4B"/>
    <w:rsid w:val="00513FA2"/>
    <w:rsid w:val="0051401A"/>
    <w:rsid w:val="00514134"/>
    <w:rsid w:val="00514220"/>
    <w:rsid w:val="00514221"/>
    <w:rsid w:val="00514476"/>
    <w:rsid w:val="005144D7"/>
    <w:rsid w:val="00514660"/>
    <w:rsid w:val="0051474F"/>
    <w:rsid w:val="0051497F"/>
    <w:rsid w:val="00514A89"/>
    <w:rsid w:val="00514AF1"/>
    <w:rsid w:val="00514CD5"/>
    <w:rsid w:val="00514DEB"/>
    <w:rsid w:val="00514EDB"/>
    <w:rsid w:val="00514EFB"/>
    <w:rsid w:val="00514FC2"/>
    <w:rsid w:val="00514FE2"/>
    <w:rsid w:val="00515145"/>
    <w:rsid w:val="00515158"/>
    <w:rsid w:val="005151EB"/>
    <w:rsid w:val="005153E2"/>
    <w:rsid w:val="0051558E"/>
    <w:rsid w:val="005155B8"/>
    <w:rsid w:val="00515639"/>
    <w:rsid w:val="00515663"/>
    <w:rsid w:val="0051573E"/>
    <w:rsid w:val="0051574C"/>
    <w:rsid w:val="00515765"/>
    <w:rsid w:val="00515894"/>
    <w:rsid w:val="00515915"/>
    <w:rsid w:val="005159FC"/>
    <w:rsid w:val="00515A16"/>
    <w:rsid w:val="00515B1B"/>
    <w:rsid w:val="00515B7C"/>
    <w:rsid w:val="00515BCF"/>
    <w:rsid w:val="00515C98"/>
    <w:rsid w:val="00515DE5"/>
    <w:rsid w:val="00515E63"/>
    <w:rsid w:val="00515F9F"/>
    <w:rsid w:val="00515FA2"/>
    <w:rsid w:val="00516198"/>
    <w:rsid w:val="0051619C"/>
    <w:rsid w:val="00516268"/>
    <w:rsid w:val="00516411"/>
    <w:rsid w:val="0051646C"/>
    <w:rsid w:val="0051646E"/>
    <w:rsid w:val="0051653F"/>
    <w:rsid w:val="0051655B"/>
    <w:rsid w:val="005165B8"/>
    <w:rsid w:val="0051661A"/>
    <w:rsid w:val="00516705"/>
    <w:rsid w:val="00516708"/>
    <w:rsid w:val="0051673A"/>
    <w:rsid w:val="00516777"/>
    <w:rsid w:val="005167DB"/>
    <w:rsid w:val="005169E2"/>
    <w:rsid w:val="00516A37"/>
    <w:rsid w:val="00516AF5"/>
    <w:rsid w:val="00516BC1"/>
    <w:rsid w:val="00516D3C"/>
    <w:rsid w:val="00516DD9"/>
    <w:rsid w:val="00516DEC"/>
    <w:rsid w:val="00516DF2"/>
    <w:rsid w:val="00516E48"/>
    <w:rsid w:val="005170F0"/>
    <w:rsid w:val="005171DF"/>
    <w:rsid w:val="00517220"/>
    <w:rsid w:val="00517289"/>
    <w:rsid w:val="00517451"/>
    <w:rsid w:val="00517474"/>
    <w:rsid w:val="005174A0"/>
    <w:rsid w:val="005174D3"/>
    <w:rsid w:val="0051757E"/>
    <w:rsid w:val="0051788B"/>
    <w:rsid w:val="005179F0"/>
    <w:rsid w:val="00517AEA"/>
    <w:rsid w:val="00517B76"/>
    <w:rsid w:val="00517CA6"/>
    <w:rsid w:val="00517CB9"/>
    <w:rsid w:val="00517D7D"/>
    <w:rsid w:val="00517DC3"/>
    <w:rsid w:val="0052003D"/>
    <w:rsid w:val="005201B5"/>
    <w:rsid w:val="005201FD"/>
    <w:rsid w:val="005202DC"/>
    <w:rsid w:val="00520316"/>
    <w:rsid w:val="005203AA"/>
    <w:rsid w:val="00520481"/>
    <w:rsid w:val="005204AD"/>
    <w:rsid w:val="0052050D"/>
    <w:rsid w:val="0052055B"/>
    <w:rsid w:val="00520642"/>
    <w:rsid w:val="0052074B"/>
    <w:rsid w:val="0052077C"/>
    <w:rsid w:val="0052082A"/>
    <w:rsid w:val="00520855"/>
    <w:rsid w:val="00520B7C"/>
    <w:rsid w:val="00520E0A"/>
    <w:rsid w:val="00520EA7"/>
    <w:rsid w:val="00520EB4"/>
    <w:rsid w:val="00520EC4"/>
    <w:rsid w:val="00520F24"/>
    <w:rsid w:val="00520F33"/>
    <w:rsid w:val="00520FA9"/>
    <w:rsid w:val="00520FC5"/>
    <w:rsid w:val="005210DA"/>
    <w:rsid w:val="00521119"/>
    <w:rsid w:val="0052129A"/>
    <w:rsid w:val="005213DF"/>
    <w:rsid w:val="00521465"/>
    <w:rsid w:val="005215CC"/>
    <w:rsid w:val="005216F8"/>
    <w:rsid w:val="00521820"/>
    <w:rsid w:val="00521A1C"/>
    <w:rsid w:val="00521B5B"/>
    <w:rsid w:val="00521B80"/>
    <w:rsid w:val="00521CAC"/>
    <w:rsid w:val="00521F0F"/>
    <w:rsid w:val="00521F11"/>
    <w:rsid w:val="00521FC2"/>
    <w:rsid w:val="005221B2"/>
    <w:rsid w:val="005222C2"/>
    <w:rsid w:val="005222D0"/>
    <w:rsid w:val="0052244F"/>
    <w:rsid w:val="00522526"/>
    <w:rsid w:val="005226AA"/>
    <w:rsid w:val="005226BE"/>
    <w:rsid w:val="005227CE"/>
    <w:rsid w:val="005227D5"/>
    <w:rsid w:val="00522838"/>
    <w:rsid w:val="00522849"/>
    <w:rsid w:val="0052289B"/>
    <w:rsid w:val="0052291C"/>
    <w:rsid w:val="005229DF"/>
    <w:rsid w:val="00522BCC"/>
    <w:rsid w:val="00522C4D"/>
    <w:rsid w:val="00522C4F"/>
    <w:rsid w:val="00522CE3"/>
    <w:rsid w:val="00522D2B"/>
    <w:rsid w:val="00522D61"/>
    <w:rsid w:val="00523033"/>
    <w:rsid w:val="0052308C"/>
    <w:rsid w:val="00523146"/>
    <w:rsid w:val="0052314B"/>
    <w:rsid w:val="00523189"/>
    <w:rsid w:val="00523209"/>
    <w:rsid w:val="00523315"/>
    <w:rsid w:val="00523372"/>
    <w:rsid w:val="005233C7"/>
    <w:rsid w:val="005234E2"/>
    <w:rsid w:val="00523567"/>
    <w:rsid w:val="005235DA"/>
    <w:rsid w:val="00523A8A"/>
    <w:rsid w:val="00523D63"/>
    <w:rsid w:val="00523FDA"/>
    <w:rsid w:val="00524136"/>
    <w:rsid w:val="00524182"/>
    <w:rsid w:val="00524196"/>
    <w:rsid w:val="005241FD"/>
    <w:rsid w:val="00524266"/>
    <w:rsid w:val="00524491"/>
    <w:rsid w:val="005244B5"/>
    <w:rsid w:val="00524589"/>
    <w:rsid w:val="00524699"/>
    <w:rsid w:val="0052473B"/>
    <w:rsid w:val="00524854"/>
    <w:rsid w:val="00524897"/>
    <w:rsid w:val="005248DA"/>
    <w:rsid w:val="00524975"/>
    <w:rsid w:val="005249BE"/>
    <w:rsid w:val="00524A05"/>
    <w:rsid w:val="00524D75"/>
    <w:rsid w:val="00524DC5"/>
    <w:rsid w:val="00524E64"/>
    <w:rsid w:val="00524FB8"/>
    <w:rsid w:val="00525063"/>
    <w:rsid w:val="005250C3"/>
    <w:rsid w:val="0052511D"/>
    <w:rsid w:val="0052517F"/>
    <w:rsid w:val="00525223"/>
    <w:rsid w:val="00525252"/>
    <w:rsid w:val="005252D5"/>
    <w:rsid w:val="00525352"/>
    <w:rsid w:val="005254B9"/>
    <w:rsid w:val="0052557A"/>
    <w:rsid w:val="005258DF"/>
    <w:rsid w:val="005258F9"/>
    <w:rsid w:val="00525954"/>
    <w:rsid w:val="005259A1"/>
    <w:rsid w:val="00525BB2"/>
    <w:rsid w:val="00525C12"/>
    <w:rsid w:val="00525CBD"/>
    <w:rsid w:val="00525CF5"/>
    <w:rsid w:val="00525EBC"/>
    <w:rsid w:val="00525EC9"/>
    <w:rsid w:val="00525EDC"/>
    <w:rsid w:val="00525F43"/>
    <w:rsid w:val="00525F4C"/>
    <w:rsid w:val="0052600F"/>
    <w:rsid w:val="00526144"/>
    <w:rsid w:val="0052626A"/>
    <w:rsid w:val="0052626D"/>
    <w:rsid w:val="00526288"/>
    <w:rsid w:val="0052639F"/>
    <w:rsid w:val="005264A9"/>
    <w:rsid w:val="005264CA"/>
    <w:rsid w:val="005264F3"/>
    <w:rsid w:val="0052654F"/>
    <w:rsid w:val="00526583"/>
    <w:rsid w:val="00526626"/>
    <w:rsid w:val="0052665E"/>
    <w:rsid w:val="00526742"/>
    <w:rsid w:val="0052674C"/>
    <w:rsid w:val="0052676D"/>
    <w:rsid w:val="00526798"/>
    <w:rsid w:val="005267A6"/>
    <w:rsid w:val="0052680B"/>
    <w:rsid w:val="005268C6"/>
    <w:rsid w:val="00526B40"/>
    <w:rsid w:val="00526B5B"/>
    <w:rsid w:val="00526C23"/>
    <w:rsid w:val="00526C3E"/>
    <w:rsid w:val="00526CE3"/>
    <w:rsid w:val="00526DD0"/>
    <w:rsid w:val="00526DF8"/>
    <w:rsid w:val="00526F35"/>
    <w:rsid w:val="00526F43"/>
    <w:rsid w:val="00527023"/>
    <w:rsid w:val="005270F3"/>
    <w:rsid w:val="00527258"/>
    <w:rsid w:val="00527268"/>
    <w:rsid w:val="005272A9"/>
    <w:rsid w:val="005273D3"/>
    <w:rsid w:val="00527525"/>
    <w:rsid w:val="005275E6"/>
    <w:rsid w:val="005276FF"/>
    <w:rsid w:val="0052798F"/>
    <w:rsid w:val="005279F9"/>
    <w:rsid w:val="00527AF3"/>
    <w:rsid w:val="00527C18"/>
    <w:rsid w:val="00527C3E"/>
    <w:rsid w:val="00527CAB"/>
    <w:rsid w:val="00527DF8"/>
    <w:rsid w:val="00527E5B"/>
    <w:rsid w:val="00527F9E"/>
    <w:rsid w:val="00527FE1"/>
    <w:rsid w:val="00530024"/>
    <w:rsid w:val="00530122"/>
    <w:rsid w:val="0053029B"/>
    <w:rsid w:val="0053037D"/>
    <w:rsid w:val="005306E0"/>
    <w:rsid w:val="005306E7"/>
    <w:rsid w:val="0053073B"/>
    <w:rsid w:val="005307EA"/>
    <w:rsid w:val="00530833"/>
    <w:rsid w:val="005308DF"/>
    <w:rsid w:val="00530A5A"/>
    <w:rsid w:val="00530B74"/>
    <w:rsid w:val="00530D75"/>
    <w:rsid w:val="00530E2B"/>
    <w:rsid w:val="00530FE2"/>
    <w:rsid w:val="00531088"/>
    <w:rsid w:val="00531121"/>
    <w:rsid w:val="005311B1"/>
    <w:rsid w:val="005311B5"/>
    <w:rsid w:val="005311E3"/>
    <w:rsid w:val="00531259"/>
    <w:rsid w:val="005313CE"/>
    <w:rsid w:val="0053144D"/>
    <w:rsid w:val="00531620"/>
    <w:rsid w:val="00531723"/>
    <w:rsid w:val="0053174E"/>
    <w:rsid w:val="00531751"/>
    <w:rsid w:val="005317AD"/>
    <w:rsid w:val="005317BB"/>
    <w:rsid w:val="005317F3"/>
    <w:rsid w:val="0053183D"/>
    <w:rsid w:val="0053189F"/>
    <w:rsid w:val="005318B0"/>
    <w:rsid w:val="00531A20"/>
    <w:rsid w:val="00531A68"/>
    <w:rsid w:val="00531AB2"/>
    <w:rsid w:val="00531AB9"/>
    <w:rsid w:val="00531B7E"/>
    <w:rsid w:val="00531BC9"/>
    <w:rsid w:val="00531CC9"/>
    <w:rsid w:val="00531D04"/>
    <w:rsid w:val="00531DB2"/>
    <w:rsid w:val="00531DE6"/>
    <w:rsid w:val="00531DF1"/>
    <w:rsid w:val="00531E50"/>
    <w:rsid w:val="00531E87"/>
    <w:rsid w:val="00531EA7"/>
    <w:rsid w:val="00531FCB"/>
    <w:rsid w:val="00532015"/>
    <w:rsid w:val="005320A2"/>
    <w:rsid w:val="005322DB"/>
    <w:rsid w:val="005322F1"/>
    <w:rsid w:val="005323AA"/>
    <w:rsid w:val="005323D8"/>
    <w:rsid w:val="00532423"/>
    <w:rsid w:val="00532493"/>
    <w:rsid w:val="005324D4"/>
    <w:rsid w:val="005325BA"/>
    <w:rsid w:val="005327A0"/>
    <w:rsid w:val="0053283F"/>
    <w:rsid w:val="00532997"/>
    <w:rsid w:val="00532BEB"/>
    <w:rsid w:val="00532CF3"/>
    <w:rsid w:val="00532D2D"/>
    <w:rsid w:val="00532DD5"/>
    <w:rsid w:val="00532FFA"/>
    <w:rsid w:val="0053326C"/>
    <w:rsid w:val="005332A8"/>
    <w:rsid w:val="00533474"/>
    <w:rsid w:val="005334E3"/>
    <w:rsid w:val="00533521"/>
    <w:rsid w:val="0053364C"/>
    <w:rsid w:val="00533686"/>
    <w:rsid w:val="005337CE"/>
    <w:rsid w:val="0053381E"/>
    <w:rsid w:val="00533862"/>
    <w:rsid w:val="005338F1"/>
    <w:rsid w:val="0053398A"/>
    <w:rsid w:val="005339C4"/>
    <w:rsid w:val="00533ABB"/>
    <w:rsid w:val="00533AED"/>
    <w:rsid w:val="00533B5A"/>
    <w:rsid w:val="00533C07"/>
    <w:rsid w:val="00533C5D"/>
    <w:rsid w:val="00533C7B"/>
    <w:rsid w:val="00533CB8"/>
    <w:rsid w:val="00533D0C"/>
    <w:rsid w:val="00533DC0"/>
    <w:rsid w:val="00533F64"/>
    <w:rsid w:val="0053404A"/>
    <w:rsid w:val="005340ED"/>
    <w:rsid w:val="00534192"/>
    <w:rsid w:val="005341BA"/>
    <w:rsid w:val="005342E3"/>
    <w:rsid w:val="005343AE"/>
    <w:rsid w:val="005343FC"/>
    <w:rsid w:val="00534442"/>
    <w:rsid w:val="00534455"/>
    <w:rsid w:val="00534774"/>
    <w:rsid w:val="00534816"/>
    <w:rsid w:val="00534820"/>
    <w:rsid w:val="00534918"/>
    <w:rsid w:val="00534978"/>
    <w:rsid w:val="005349C5"/>
    <w:rsid w:val="00534B3C"/>
    <w:rsid w:val="00534B7D"/>
    <w:rsid w:val="00534C26"/>
    <w:rsid w:val="00534D1F"/>
    <w:rsid w:val="00535022"/>
    <w:rsid w:val="00535030"/>
    <w:rsid w:val="0053503E"/>
    <w:rsid w:val="00535042"/>
    <w:rsid w:val="0053504E"/>
    <w:rsid w:val="00535095"/>
    <w:rsid w:val="005351D1"/>
    <w:rsid w:val="00535433"/>
    <w:rsid w:val="00535436"/>
    <w:rsid w:val="00535437"/>
    <w:rsid w:val="00535494"/>
    <w:rsid w:val="005354CF"/>
    <w:rsid w:val="00535513"/>
    <w:rsid w:val="005355A6"/>
    <w:rsid w:val="0053569D"/>
    <w:rsid w:val="005356B4"/>
    <w:rsid w:val="005358BD"/>
    <w:rsid w:val="005358EC"/>
    <w:rsid w:val="00535A1E"/>
    <w:rsid w:val="00535A87"/>
    <w:rsid w:val="00535ABE"/>
    <w:rsid w:val="00535CF7"/>
    <w:rsid w:val="00535D92"/>
    <w:rsid w:val="00535E35"/>
    <w:rsid w:val="00535F40"/>
    <w:rsid w:val="00535F79"/>
    <w:rsid w:val="00535FB0"/>
    <w:rsid w:val="00536248"/>
    <w:rsid w:val="005364E0"/>
    <w:rsid w:val="00536529"/>
    <w:rsid w:val="00536691"/>
    <w:rsid w:val="00536770"/>
    <w:rsid w:val="00536851"/>
    <w:rsid w:val="005368F0"/>
    <w:rsid w:val="005369DE"/>
    <w:rsid w:val="00536B3C"/>
    <w:rsid w:val="00536BEC"/>
    <w:rsid w:val="0053700B"/>
    <w:rsid w:val="005372D7"/>
    <w:rsid w:val="005372FF"/>
    <w:rsid w:val="005373A6"/>
    <w:rsid w:val="0053750E"/>
    <w:rsid w:val="005375D9"/>
    <w:rsid w:val="00537644"/>
    <w:rsid w:val="005376FD"/>
    <w:rsid w:val="0053777A"/>
    <w:rsid w:val="00537798"/>
    <w:rsid w:val="0053779B"/>
    <w:rsid w:val="005377B2"/>
    <w:rsid w:val="00537804"/>
    <w:rsid w:val="0053788C"/>
    <w:rsid w:val="00537930"/>
    <w:rsid w:val="00537942"/>
    <w:rsid w:val="005379EE"/>
    <w:rsid w:val="00537C36"/>
    <w:rsid w:val="00537DBF"/>
    <w:rsid w:val="00537E2C"/>
    <w:rsid w:val="00537E81"/>
    <w:rsid w:val="00537E91"/>
    <w:rsid w:val="00537EA5"/>
    <w:rsid w:val="00537ECA"/>
    <w:rsid w:val="0054007B"/>
    <w:rsid w:val="00540100"/>
    <w:rsid w:val="00540315"/>
    <w:rsid w:val="00540449"/>
    <w:rsid w:val="00540477"/>
    <w:rsid w:val="0054077F"/>
    <w:rsid w:val="00540843"/>
    <w:rsid w:val="00540955"/>
    <w:rsid w:val="0054097B"/>
    <w:rsid w:val="00540AD0"/>
    <w:rsid w:val="00540AD6"/>
    <w:rsid w:val="00540B84"/>
    <w:rsid w:val="00540B88"/>
    <w:rsid w:val="00540C5E"/>
    <w:rsid w:val="00540E0B"/>
    <w:rsid w:val="00540E68"/>
    <w:rsid w:val="00540EB5"/>
    <w:rsid w:val="0054109A"/>
    <w:rsid w:val="00541250"/>
    <w:rsid w:val="0054125C"/>
    <w:rsid w:val="00541313"/>
    <w:rsid w:val="0054142B"/>
    <w:rsid w:val="0054146F"/>
    <w:rsid w:val="00541486"/>
    <w:rsid w:val="0054148C"/>
    <w:rsid w:val="00541687"/>
    <w:rsid w:val="005416BD"/>
    <w:rsid w:val="00541880"/>
    <w:rsid w:val="005418BC"/>
    <w:rsid w:val="005418C8"/>
    <w:rsid w:val="00541949"/>
    <w:rsid w:val="00541A26"/>
    <w:rsid w:val="00541B10"/>
    <w:rsid w:val="00541DFE"/>
    <w:rsid w:val="00541EB5"/>
    <w:rsid w:val="00541EE5"/>
    <w:rsid w:val="00541F47"/>
    <w:rsid w:val="00542049"/>
    <w:rsid w:val="00542149"/>
    <w:rsid w:val="00542183"/>
    <w:rsid w:val="0054219D"/>
    <w:rsid w:val="0054224C"/>
    <w:rsid w:val="00542281"/>
    <w:rsid w:val="00542292"/>
    <w:rsid w:val="005422AE"/>
    <w:rsid w:val="005422D0"/>
    <w:rsid w:val="005422DC"/>
    <w:rsid w:val="0054247E"/>
    <w:rsid w:val="005424B0"/>
    <w:rsid w:val="0054255E"/>
    <w:rsid w:val="00542668"/>
    <w:rsid w:val="00542745"/>
    <w:rsid w:val="005427AB"/>
    <w:rsid w:val="005428D0"/>
    <w:rsid w:val="00542946"/>
    <w:rsid w:val="005429FB"/>
    <w:rsid w:val="00542B7F"/>
    <w:rsid w:val="00542C04"/>
    <w:rsid w:val="00542C1C"/>
    <w:rsid w:val="00542F4D"/>
    <w:rsid w:val="0054316E"/>
    <w:rsid w:val="0054329B"/>
    <w:rsid w:val="005432A7"/>
    <w:rsid w:val="00543328"/>
    <w:rsid w:val="00543339"/>
    <w:rsid w:val="005433CE"/>
    <w:rsid w:val="005433F5"/>
    <w:rsid w:val="00543445"/>
    <w:rsid w:val="00543529"/>
    <w:rsid w:val="0054352E"/>
    <w:rsid w:val="00543562"/>
    <w:rsid w:val="0054365D"/>
    <w:rsid w:val="0054378C"/>
    <w:rsid w:val="00543793"/>
    <w:rsid w:val="005437F0"/>
    <w:rsid w:val="00543813"/>
    <w:rsid w:val="00543832"/>
    <w:rsid w:val="00543869"/>
    <w:rsid w:val="0054386F"/>
    <w:rsid w:val="00543A86"/>
    <w:rsid w:val="00543B48"/>
    <w:rsid w:val="00543C1A"/>
    <w:rsid w:val="00543C37"/>
    <w:rsid w:val="00543D81"/>
    <w:rsid w:val="00543F03"/>
    <w:rsid w:val="00543F93"/>
    <w:rsid w:val="00543FF8"/>
    <w:rsid w:val="005440D1"/>
    <w:rsid w:val="00544102"/>
    <w:rsid w:val="0054412D"/>
    <w:rsid w:val="0054413B"/>
    <w:rsid w:val="0054419D"/>
    <w:rsid w:val="005441F1"/>
    <w:rsid w:val="00544367"/>
    <w:rsid w:val="00544465"/>
    <w:rsid w:val="0054448E"/>
    <w:rsid w:val="005444F1"/>
    <w:rsid w:val="00544516"/>
    <w:rsid w:val="0054451B"/>
    <w:rsid w:val="00544522"/>
    <w:rsid w:val="00544535"/>
    <w:rsid w:val="005445D5"/>
    <w:rsid w:val="00544767"/>
    <w:rsid w:val="005447BB"/>
    <w:rsid w:val="005449E6"/>
    <w:rsid w:val="00544AEC"/>
    <w:rsid w:val="00544BAD"/>
    <w:rsid w:val="00544E80"/>
    <w:rsid w:val="00544FA4"/>
    <w:rsid w:val="00545173"/>
    <w:rsid w:val="00545222"/>
    <w:rsid w:val="00545265"/>
    <w:rsid w:val="00545352"/>
    <w:rsid w:val="0054556E"/>
    <w:rsid w:val="00545642"/>
    <w:rsid w:val="00545791"/>
    <w:rsid w:val="00545809"/>
    <w:rsid w:val="00545830"/>
    <w:rsid w:val="005459BB"/>
    <w:rsid w:val="005459DC"/>
    <w:rsid w:val="00545AA4"/>
    <w:rsid w:val="00545BFD"/>
    <w:rsid w:val="00545CC1"/>
    <w:rsid w:val="00545D6F"/>
    <w:rsid w:val="00545E4F"/>
    <w:rsid w:val="00545E6F"/>
    <w:rsid w:val="00546006"/>
    <w:rsid w:val="00546148"/>
    <w:rsid w:val="00546217"/>
    <w:rsid w:val="00546221"/>
    <w:rsid w:val="0054623E"/>
    <w:rsid w:val="00546263"/>
    <w:rsid w:val="005462B3"/>
    <w:rsid w:val="005462D6"/>
    <w:rsid w:val="00546310"/>
    <w:rsid w:val="00546335"/>
    <w:rsid w:val="00546463"/>
    <w:rsid w:val="0054651D"/>
    <w:rsid w:val="00546603"/>
    <w:rsid w:val="0054665B"/>
    <w:rsid w:val="0054680A"/>
    <w:rsid w:val="00546842"/>
    <w:rsid w:val="005468DD"/>
    <w:rsid w:val="00546962"/>
    <w:rsid w:val="00546980"/>
    <w:rsid w:val="00546A52"/>
    <w:rsid w:val="00546B56"/>
    <w:rsid w:val="00546C5C"/>
    <w:rsid w:val="00546D34"/>
    <w:rsid w:val="00546D7D"/>
    <w:rsid w:val="00546EC0"/>
    <w:rsid w:val="00546F14"/>
    <w:rsid w:val="00546F8D"/>
    <w:rsid w:val="005470C3"/>
    <w:rsid w:val="005470F4"/>
    <w:rsid w:val="0054733F"/>
    <w:rsid w:val="005473D9"/>
    <w:rsid w:val="005474C2"/>
    <w:rsid w:val="00547556"/>
    <w:rsid w:val="00547674"/>
    <w:rsid w:val="0054772A"/>
    <w:rsid w:val="005478A9"/>
    <w:rsid w:val="005479B7"/>
    <w:rsid w:val="00547A97"/>
    <w:rsid w:val="00547AD0"/>
    <w:rsid w:val="00547AFB"/>
    <w:rsid w:val="00547B3E"/>
    <w:rsid w:val="00547D2D"/>
    <w:rsid w:val="00547D93"/>
    <w:rsid w:val="00547D9F"/>
    <w:rsid w:val="00547FD1"/>
    <w:rsid w:val="005503AA"/>
    <w:rsid w:val="005503E8"/>
    <w:rsid w:val="005504B3"/>
    <w:rsid w:val="005504C4"/>
    <w:rsid w:val="0055055C"/>
    <w:rsid w:val="00550637"/>
    <w:rsid w:val="005506E8"/>
    <w:rsid w:val="00550733"/>
    <w:rsid w:val="00550838"/>
    <w:rsid w:val="00550926"/>
    <w:rsid w:val="00550A15"/>
    <w:rsid w:val="00550A4B"/>
    <w:rsid w:val="00550C0F"/>
    <w:rsid w:val="00550D82"/>
    <w:rsid w:val="00550D84"/>
    <w:rsid w:val="00550D99"/>
    <w:rsid w:val="00550E03"/>
    <w:rsid w:val="00550EEB"/>
    <w:rsid w:val="00550F06"/>
    <w:rsid w:val="00550FEC"/>
    <w:rsid w:val="0055106A"/>
    <w:rsid w:val="00551091"/>
    <w:rsid w:val="005510B3"/>
    <w:rsid w:val="00551149"/>
    <w:rsid w:val="0055124C"/>
    <w:rsid w:val="005514C4"/>
    <w:rsid w:val="00551590"/>
    <w:rsid w:val="005515D6"/>
    <w:rsid w:val="005515FD"/>
    <w:rsid w:val="00551606"/>
    <w:rsid w:val="005516BC"/>
    <w:rsid w:val="00551785"/>
    <w:rsid w:val="00551816"/>
    <w:rsid w:val="005518E9"/>
    <w:rsid w:val="00551A0A"/>
    <w:rsid w:val="00551B6A"/>
    <w:rsid w:val="00551B7D"/>
    <w:rsid w:val="00551BEE"/>
    <w:rsid w:val="00551D60"/>
    <w:rsid w:val="00551D78"/>
    <w:rsid w:val="00551E54"/>
    <w:rsid w:val="00551ECB"/>
    <w:rsid w:val="00551F2B"/>
    <w:rsid w:val="005520A4"/>
    <w:rsid w:val="005520B4"/>
    <w:rsid w:val="005520C9"/>
    <w:rsid w:val="0055230F"/>
    <w:rsid w:val="00552352"/>
    <w:rsid w:val="00552509"/>
    <w:rsid w:val="0055252D"/>
    <w:rsid w:val="00552630"/>
    <w:rsid w:val="0055276D"/>
    <w:rsid w:val="00552881"/>
    <w:rsid w:val="005528E5"/>
    <w:rsid w:val="00552C31"/>
    <w:rsid w:val="00552D05"/>
    <w:rsid w:val="00552D39"/>
    <w:rsid w:val="00552E87"/>
    <w:rsid w:val="00552F47"/>
    <w:rsid w:val="0055303F"/>
    <w:rsid w:val="005530B5"/>
    <w:rsid w:val="0055328A"/>
    <w:rsid w:val="005532D5"/>
    <w:rsid w:val="00553321"/>
    <w:rsid w:val="005534AC"/>
    <w:rsid w:val="005534D8"/>
    <w:rsid w:val="005535F4"/>
    <w:rsid w:val="00553696"/>
    <w:rsid w:val="00553700"/>
    <w:rsid w:val="00553705"/>
    <w:rsid w:val="005538A3"/>
    <w:rsid w:val="005538D6"/>
    <w:rsid w:val="00553B0C"/>
    <w:rsid w:val="00553B8C"/>
    <w:rsid w:val="00553C70"/>
    <w:rsid w:val="00553CBD"/>
    <w:rsid w:val="00553D90"/>
    <w:rsid w:val="00553D9A"/>
    <w:rsid w:val="00553E11"/>
    <w:rsid w:val="00553E1F"/>
    <w:rsid w:val="00553F67"/>
    <w:rsid w:val="00553FF2"/>
    <w:rsid w:val="00553FFD"/>
    <w:rsid w:val="00554052"/>
    <w:rsid w:val="0055410E"/>
    <w:rsid w:val="00554236"/>
    <w:rsid w:val="0055424D"/>
    <w:rsid w:val="0055426A"/>
    <w:rsid w:val="0055428C"/>
    <w:rsid w:val="005544E6"/>
    <w:rsid w:val="005544E7"/>
    <w:rsid w:val="0055463B"/>
    <w:rsid w:val="005546CF"/>
    <w:rsid w:val="005548BC"/>
    <w:rsid w:val="00554C4A"/>
    <w:rsid w:val="00554C51"/>
    <w:rsid w:val="00554C7F"/>
    <w:rsid w:val="00554CBD"/>
    <w:rsid w:val="00554D23"/>
    <w:rsid w:val="00554E2D"/>
    <w:rsid w:val="00554E47"/>
    <w:rsid w:val="00554EA8"/>
    <w:rsid w:val="00554F3E"/>
    <w:rsid w:val="0055503A"/>
    <w:rsid w:val="005550CA"/>
    <w:rsid w:val="005551D5"/>
    <w:rsid w:val="0055525B"/>
    <w:rsid w:val="0055533A"/>
    <w:rsid w:val="005553F0"/>
    <w:rsid w:val="0055551F"/>
    <w:rsid w:val="005555D8"/>
    <w:rsid w:val="005556A8"/>
    <w:rsid w:val="00555785"/>
    <w:rsid w:val="00555892"/>
    <w:rsid w:val="00555905"/>
    <w:rsid w:val="00555AEB"/>
    <w:rsid w:val="00555B98"/>
    <w:rsid w:val="00555C0B"/>
    <w:rsid w:val="00555DB9"/>
    <w:rsid w:val="00555E9A"/>
    <w:rsid w:val="00555EDD"/>
    <w:rsid w:val="00555F4A"/>
    <w:rsid w:val="0055617B"/>
    <w:rsid w:val="005561D1"/>
    <w:rsid w:val="0055620B"/>
    <w:rsid w:val="0055621B"/>
    <w:rsid w:val="0055626E"/>
    <w:rsid w:val="0055626F"/>
    <w:rsid w:val="0055633C"/>
    <w:rsid w:val="0055635B"/>
    <w:rsid w:val="005563ED"/>
    <w:rsid w:val="0055652A"/>
    <w:rsid w:val="005565A9"/>
    <w:rsid w:val="005566BA"/>
    <w:rsid w:val="0055681D"/>
    <w:rsid w:val="00556A7D"/>
    <w:rsid w:val="00556A99"/>
    <w:rsid w:val="00556ABA"/>
    <w:rsid w:val="00556AE3"/>
    <w:rsid w:val="00556AE6"/>
    <w:rsid w:val="00556C59"/>
    <w:rsid w:val="00556CA3"/>
    <w:rsid w:val="00556CEC"/>
    <w:rsid w:val="00556D2F"/>
    <w:rsid w:val="00556FDC"/>
    <w:rsid w:val="00557072"/>
    <w:rsid w:val="005570BF"/>
    <w:rsid w:val="00557126"/>
    <w:rsid w:val="00557163"/>
    <w:rsid w:val="00557459"/>
    <w:rsid w:val="00557505"/>
    <w:rsid w:val="0055763E"/>
    <w:rsid w:val="005576BD"/>
    <w:rsid w:val="005576FF"/>
    <w:rsid w:val="00557713"/>
    <w:rsid w:val="00557832"/>
    <w:rsid w:val="00557955"/>
    <w:rsid w:val="005579E1"/>
    <w:rsid w:val="00557B4D"/>
    <w:rsid w:val="00557BAD"/>
    <w:rsid w:val="00557BDF"/>
    <w:rsid w:val="00557C04"/>
    <w:rsid w:val="00557E6D"/>
    <w:rsid w:val="00557FFB"/>
    <w:rsid w:val="00560044"/>
    <w:rsid w:val="00560484"/>
    <w:rsid w:val="0056087E"/>
    <w:rsid w:val="00560883"/>
    <w:rsid w:val="005608A0"/>
    <w:rsid w:val="0056099B"/>
    <w:rsid w:val="00560AFD"/>
    <w:rsid w:val="00560B22"/>
    <w:rsid w:val="00560CF9"/>
    <w:rsid w:val="00560D63"/>
    <w:rsid w:val="00560D6C"/>
    <w:rsid w:val="00560E01"/>
    <w:rsid w:val="00560EB2"/>
    <w:rsid w:val="00560F56"/>
    <w:rsid w:val="00560FE8"/>
    <w:rsid w:val="00560FF7"/>
    <w:rsid w:val="00561143"/>
    <w:rsid w:val="005611FF"/>
    <w:rsid w:val="00561294"/>
    <w:rsid w:val="005613CE"/>
    <w:rsid w:val="0056141B"/>
    <w:rsid w:val="0056149C"/>
    <w:rsid w:val="005614E3"/>
    <w:rsid w:val="00561664"/>
    <w:rsid w:val="00561691"/>
    <w:rsid w:val="00561751"/>
    <w:rsid w:val="00561761"/>
    <w:rsid w:val="005619F0"/>
    <w:rsid w:val="00561BF4"/>
    <w:rsid w:val="00561C5E"/>
    <w:rsid w:val="00561D80"/>
    <w:rsid w:val="00561DBE"/>
    <w:rsid w:val="00561E31"/>
    <w:rsid w:val="00561F14"/>
    <w:rsid w:val="00561FF5"/>
    <w:rsid w:val="00561FFD"/>
    <w:rsid w:val="005620C6"/>
    <w:rsid w:val="00562149"/>
    <w:rsid w:val="00562157"/>
    <w:rsid w:val="005621B1"/>
    <w:rsid w:val="005623EA"/>
    <w:rsid w:val="005623F0"/>
    <w:rsid w:val="005624B6"/>
    <w:rsid w:val="00562699"/>
    <w:rsid w:val="005626CD"/>
    <w:rsid w:val="00562750"/>
    <w:rsid w:val="0056276D"/>
    <w:rsid w:val="00562A90"/>
    <w:rsid w:val="00562AE2"/>
    <w:rsid w:val="00562C3A"/>
    <w:rsid w:val="00562D3C"/>
    <w:rsid w:val="00562DBF"/>
    <w:rsid w:val="005630F0"/>
    <w:rsid w:val="00563121"/>
    <w:rsid w:val="00563235"/>
    <w:rsid w:val="00563238"/>
    <w:rsid w:val="0056323C"/>
    <w:rsid w:val="00563418"/>
    <w:rsid w:val="0056343A"/>
    <w:rsid w:val="00563539"/>
    <w:rsid w:val="0056354D"/>
    <w:rsid w:val="00563561"/>
    <w:rsid w:val="0056356E"/>
    <w:rsid w:val="005635E1"/>
    <w:rsid w:val="0056366D"/>
    <w:rsid w:val="005637D7"/>
    <w:rsid w:val="005639EB"/>
    <w:rsid w:val="00563A11"/>
    <w:rsid w:val="00563A78"/>
    <w:rsid w:val="00563AB4"/>
    <w:rsid w:val="00563D57"/>
    <w:rsid w:val="00563F51"/>
    <w:rsid w:val="005640A0"/>
    <w:rsid w:val="00564167"/>
    <w:rsid w:val="005641F5"/>
    <w:rsid w:val="005642C0"/>
    <w:rsid w:val="0056438C"/>
    <w:rsid w:val="005643F8"/>
    <w:rsid w:val="00564598"/>
    <w:rsid w:val="005646E2"/>
    <w:rsid w:val="0056479C"/>
    <w:rsid w:val="005649FD"/>
    <w:rsid w:val="00564A42"/>
    <w:rsid w:val="00564C91"/>
    <w:rsid w:val="00564CCD"/>
    <w:rsid w:val="00564CE2"/>
    <w:rsid w:val="00564DBB"/>
    <w:rsid w:val="00564DC9"/>
    <w:rsid w:val="00564E3D"/>
    <w:rsid w:val="00564E4A"/>
    <w:rsid w:val="00564EF4"/>
    <w:rsid w:val="00564EFD"/>
    <w:rsid w:val="00564F45"/>
    <w:rsid w:val="00564F98"/>
    <w:rsid w:val="0056514B"/>
    <w:rsid w:val="005652F6"/>
    <w:rsid w:val="0056548F"/>
    <w:rsid w:val="00565544"/>
    <w:rsid w:val="0056568F"/>
    <w:rsid w:val="00565704"/>
    <w:rsid w:val="0056572E"/>
    <w:rsid w:val="0056572F"/>
    <w:rsid w:val="0056573D"/>
    <w:rsid w:val="0056578B"/>
    <w:rsid w:val="005658EF"/>
    <w:rsid w:val="00565914"/>
    <w:rsid w:val="00565924"/>
    <w:rsid w:val="00565B51"/>
    <w:rsid w:val="00565B73"/>
    <w:rsid w:val="00565B94"/>
    <w:rsid w:val="00565BF1"/>
    <w:rsid w:val="00565C6D"/>
    <w:rsid w:val="00565CA5"/>
    <w:rsid w:val="00565CFF"/>
    <w:rsid w:val="00565E31"/>
    <w:rsid w:val="00565E7C"/>
    <w:rsid w:val="005660D5"/>
    <w:rsid w:val="005660DD"/>
    <w:rsid w:val="0056610C"/>
    <w:rsid w:val="0056617A"/>
    <w:rsid w:val="005661D3"/>
    <w:rsid w:val="0056629C"/>
    <w:rsid w:val="0056632E"/>
    <w:rsid w:val="00566426"/>
    <w:rsid w:val="0056645B"/>
    <w:rsid w:val="00566491"/>
    <w:rsid w:val="005665BF"/>
    <w:rsid w:val="005665F9"/>
    <w:rsid w:val="005666F1"/>
    <w:rsid w:val="00566718"/>
    <w:rsid w:val="005667C0"/>
    <w:rsid w:val="005667FE"/>
    <w:rsid w:val="00566829"/>
    <w:rsid w:val="005669BC"/>
    <w:rsid w:val="00566BA3"/>
    <w:rsid w:val="00566E43"/>
    <w:rsid w:val="00566EB8"/>
    <w:rsid w:val="00567010"/>
    <w:rsid w:val="0056704E"/>
    <w:rsid w:val="005670C8"/>
    <w:rsid w:val="005672AC"/>
    <w:rsid w:val="00567354"/>
    <w:rsid w:val="0056737E"/>
    <w:rsid w:val="00567503"/>
    <w:rsid w:val="0056757F"/>
    <w:rsid w:val="005675AF"/>
    <w:rsid w:val="005675C5"/>
    <w:rsid w:val="00567639"/>
    <w:rsid w:val="0056763B"/>
    <w:rsid w:val="005676A4"/>
    <w:rsid w:val="005676D3"/>
    <w:rsid w:val="005678B1"/>
    <w:rsid w:val="005679FA"/>
    <w:rsid w:val="00567CBF"/>
    <w:rsid w:val="00567CEC"/>
    <w:rsid w:val="00567DAF"/>
    <w:rsid w:val="00567E80"/>
    <w:rsid w:val="00567EDD"/>
    <w:rsid w:val="00567FCD"/>
    <w:rsid w:val="00570045"/>
    <w:rsid w:val="00570050"/>
    <w:rsid w:val="00570082"/>
    <w:rsid w:val="005700CC"/>
    <w:rsid w:val="00570364"/>
    <w:rsid w:val="00570586"/>
    <w:rsid w:val="005705D2"/>
    <w:rsid w:val="00570647"/>
    <w:rsid w:val="00570A39"/>
    <w:rsid w:val="00570AA6"/>
    <w:rsid w:val="00570B72"/>
    <w:rsid w:val="00570C60"/>
    <w:rsid w:val="00570F16"/>
    <w:rsid w:val="0057105B"/>
    <w:rsid w:val="00571174"/>
    <w:rsid w:val="005712F2"/>
    <w:rsid w:val="00571496"/>
    <w:rsid w:val="00571535"/>
    <w:rsid w:val="0057153C"/>
    <w:rsid w:val="005715DC"/>
    <w:rsid w:val="00571A4D"/>
    <w:rsid w:val="00571A5A"/>
    <w:rsid w:val="00571A68"/>
    <w:rsid w:val="00571BB1"/>
    <w:rsid w:val="00571C6B"/>
    <w:rsid w:val="00571CBA"/>
    <w:rsid w:val="00571CDC"/>
    <w:rsid w:val="00571D1B"/>
    <w:rsid w:val="00571E1F"/>
    <w:rsid w:val="00571E25"/>
    <w:rsid w:val="00571F12"/>
    <w:rsid w:val="00571F8F"/>
    <w:rsid w:val="00571F98"/>
    <w:rsid w:val="00572151"/>
    <w:rsid w:val="00572274"/>
    <w:rsid w:val="00572399"/>
    <w:rsid w:val="0057240C"/>
    <w:rsid w:val="00572536"/>
    <w:rsid w:val="00572593"/>
    <w:rsid w:val="005725CD"/>
    <w:rsid w:val="00572626"/>
    <w:rsid w:val="005726A4"/>
    <w:rsid w:val="00572805"/>
    <w:rsid w:val="005728B3"/>
    <w:rsid w:val="00572906"/>
    <w:rsid w:val="0057295A"/>
    <w:rsid w:val="005729DB"/>
    <w:rsid w:val="00572C1B"/>
    <w:rsid w:val="00572C91"/>
    <w:rsid w:val="00572D0A"/>
    <w:rsid w:val="00572D3B"/>
    <w:rsid w:val="00572DAC"/>
    <w:rsid w:val="00572DEF"/>
    <w:rsid w:val="00572ECB"/>
    <w:rsid w:val="00572FC5"/>
    <w:rsid w:val="005731AB"/>
    <w:rsid w:val="005731F6"/>
    <w:rsid w:val="00573248"/>
    <w:rsid w:val="00573345"/>
    <w:rsid w:val="00573413"/>
    <w:rsid w:val="005734CE"/>
    <w:rsid w:val="005735A9"/>
    <w:rsid w:val="005736AA"/>
    <w:rsid w:val="005736BF"/>
    <w:rsid w:val="0057390E"/>
    <w:rsid w:val="00573B29"/>
    <w:rsid w:val="00573CE5"/>
    <w:rsid w:val="00573E2A"/>
    <w:rsid w:val="00573F1B"/>
    <w:rsid w:val="00573F8A"/>
    <w:rsid w:val="00573FBF"/>
    <w:rsid w:val="0057415C"/>
    <w:rsid w:val="005742C7"/>
    <w:rsid w:val="00574347"/>
    <w:rsid w:val="0057441E"/>
    <w:rsid w:val="00574653"/>
    <w:rsid w:val="00574664"/>
    <w:rsid w:val="0057491E"/>
    <w:rsid w:val="00574A15"/>
    <w:rsid w:val="00574A9A"/>
    <w:rsid w:val="00574CE0"/>
    <w:rsid w:val="00574D89"/>
    <w:rsid w:val="00574DEC"/>
    <w:rsid w:val="00574DF2"/>
    <w:rsid w:val="00575122"/>
    <w:rsid w:val="00575156"/>
    <w:rsid w:val="00575172"/>
    <w:rsid w:val="00575183"/>
    <w:rsid w:val="005751D5"/>
    <w:rsid w:val="00575279"/>
    <w:rsid w:val="005753F4"/>
    <w:rsid w:val="005754B8"/>
    <w:rsid w:val="00575601"/>
    <w:rsid w:val="005756CF"/>
    <w:rsid w:val="0057584F"/>
    <w:rsid w:val="005758D4"/>
    <w:rsid w:val="00575941"/>
    <w:rsid w:val="005759D9"/>
    <w:rsid w:val="005759DE"/>
    <w:rsid w:val="00575A0F"/>
    <w:rsid w:val="00575ADC"/>
    <w:rsid w:val="00575C1E"/>
    <w:rsid w:val="00576026"/>
    <w:rsid w:val="00576066"/>
    <w:rsid w:val="005760FC"/>
    <w:rsid w:val="0057620B"/>
    <w:rsid w:val="00576355"/>
    <w:rsid w:val="0057637C"/>
    <w:rsid w:val="0057639C"/>
    <w:rsid w:val="005763AA"/>
    <w:rsid w:val="005763BF"/>
    <w:rsid w:val="005764AF"/>
    <w:rsid w:val="00576A1D"/>
    <w:rsid w:val="00576B9A"/>
    <w:rsid w:val="00576C07"/>
    <w:rsid w:val="00576C91"/>
    <w:rsid w:val="00576F31"/>
    <w:rsid w:val="00576F4A"/>
    <w:rsid w:val="00576FF4"/>
    <w:rsid w:val="0057715D"/>
    <w:rsid w:val="00577165"/>
    <w:rsid w:val="005771F5"/>
    <w:rsid w:val="00577265"/>
    <w:rsid w:val="005772DA"/>
    <w:rsid w:val="005775BB"/>
    <w:rsid w:val="005775FA"/>
    <w:rsid w:val="00577604"/>
    <w:rsid w:val="00577726"/>
    <w:rsid w:val="0057777A"/>
    <w:rsid w:val="00577781"/>
    <w:rsid w:val="005777BC"/>
    <w:rsid w:val="0057781D"/>
    <w:rsid w:val="00577830"/>
    <w:rsid w:val="0057790B"/>
    <w:rsid w:val="00577968"/>
    <w:rsid w:val="00577AAF"/>
    <w:rsid w:val="00577AD2"/>
    <w:rsid w:val="00577B33"/>
    <w:rsid w:val="00577CC3"/>
    <w:rsid w:val="00577D8C"/>
    <w:rsid w:val="00577D9A"/>
    <w:rsid w:val="00577E31"/>
    <w:rsid w:val="00577EB8"/>
    <w:rsid w:val="00577F8C"/>
    <w:rsid w:val="0058026C"/>
    <w:rsid w:val="005802BF"/>
    <w:rsid w:val="005803F3"/>
    <w:rsid w:val="00580592"/>
    <w:rsid w:val="00580628"/>
    <w:rsid w:val="0058063A"/>
    <w:rsid w:val="005806BA"/>
    <w:rsid w:val="0058075E"/>
    <w:rsid w:val="00580789"/>
    <w:rsid w:val="005807C6"/>
    <w:rsid w:val="0058081D"/>
    <w:rsid w:val="0058098A"/>
    <w:rsid w:val="005809AA"/>
    <w:rsid w:val="00580B3E"/>
    <w:rsid w:val="00580C8A"/>
    <w:rsid w:val="00580E0C"/>
    <w:rsid w:val="00580EC5"/>
    <w:rsid w:val="00580F7C"/>
    <w:rsid w:val="00580FBB"/>
    <w:rsid w:val="00580FD7"/>
    <w:rsid w:val="0058103F"/>
    <w:rsid w:val="00581192"/>
    <w:rsid w:val="005812C4"/>
    <w:rsid w:val="005812DA"/>
    <w:rsid w:val="00581447"/>
    <w:rsid w:val="00581545"/>
    <w:rsid w:val="0058170C"/>
    <w:rsid w:val="0058177C"/>
    <w:rsid w:val="005817A6"/>
    <w:rsid w:val="005817D3"/>
    <w:rsid w:val="005819A5"/>
    <w:rsid w:val="00581AC6"/>
    <w:rsid w:val="00581B2F"/>
    <w:rsid w:val="00581BD9"/>
    <w:rsid w:val="00581D2B"/>
    <w:rsid w:val="00581D4E"/>
    <w:rsid w:val="00581FEF"/>
    <w:rsid w:val="00582069"/>
    <w:rsid w:val="005820CA"/>
    <w:rsid w:val="0058222F"/>
    <w:rsid w:val="0058229F"/>
    <w:rsid w:val="005822B2"/>
    <w:rsid w:val="005823C1"/>
    <w:rsid w:val="005823D9"/>
    <w:rsid w:val="00582509"/>
    <w:rsid w:val="0058253C"/>
    <w:rsid w:val="00582608"/>
    <w:rsid w:val="0058261B"/>
    <w:rsid w:val="00582891"/>
    <w:rsid w:val="0058295D"/>
    <w:rsid w:val="0058297B"/>
    <w:rsid w:val="00582989"/>
    <w:rsid w:val="0058298C"/>
    <w:rsid w:val="0058298D"/>
    <w:rsid w:val="00582AAD"/>
    <w:rsid w:val="00582AB3"/>
    <w:rsid w:val="00582B74"/>
    <w:rsid w:val="00582C6E"/>
    <w:rsid w:val="00582CF6"/>
    <w:rsid w:val="00582DE0"/>
    <w:rsid w:val="00582E4F"/>
    <w:rsid w:val="00582F6A"/>
    <w:rsid w:val="0058301B"/>
    <w:rsid w:val="00583157"/>
    <w:rsid w:val="00583165"/>
    <w:rsid w:val="0058321A"/>
    <w:rsid w:val="0058345F"/>
    <w:rsid w:val="005834F0"/>
    <w:rsid w:val="005834F4"/>
    <w:rsid w:val="005835A2"/>
    <w:rsid w:val="005835F4"/>
    <w:rsid w:val="005836AE"/>
    <w:rsid w:val="00583871"/>
    <w:rsid w:val="005838D2"/>
    <w:rsid w:val="00583959"/>
    <w:rsid w:val="00583998"/>
    <w:rsid w:val="00583A12"/>
    <w:rsid w:val="00583A75"/>
    <w:rsid w:val="00583B11"/>
    <w:rsid w:val="00583B4A"/>
    <w:rsid w:val="00583B9B"/>
    <w:rsid w:val="00583CAE"/>
    <w:rsid w:val="00583DBE"/>
    <w:rsid w:val="00583E67"/>
    <w:rsid w:val="0058415C"/>
    <w:rsid w:val="00584164"/>
    <w:rsid w:val="005841B1"/>
    <w:rsid w:val="005842F3"/>
    <w:rsid w:val="005842F9"/>
    <w:rsid w:val="00584634"/>
    <w:rsid w:val="0058479C"/>
    <w:rsid w:val="005847CC"/>
    <w:rsid w:val="0058481A"/>
    <w:rsid w:val="005848A0"/>
    <w:rsid w:val="005848CE"/>
    <w:rsid w:val="00584A28"/>
    <w:rsid w:val="00584AF1"/>
    <w:rsid w:val="00584B28"/>
    <w:rsid w:val="00584DAE"/>
    <w:rsid w:val="00584ED8"/>
    <w:rsid w:val="00585005"/>
    <w:rsid w:val="005850A5"/>
    <w:rsid w:val="005851EA"/>
    <w:rsid w:val="005852F6"/>
    <w:rsid w:val="005853D7"/>
    <w:rsid w:val="00585467"/>
    <w:rsid w:val="005855DE"/>
    <w:rsid w:val="00585643"/>
    <w:rsid w:val="0058565A"/>
    <w:rsid w:val="00585712"/>
    <w:rsid w:val="00585833"/>
    <w:rsid w:val="0058583C"/>
    <w:rsid w:val="0058594A"/>
    <w:rsid w:val="00585A5D"/>
    <w:rsid w:val="00585ABE"/>
    <w:rsid w:val="00585AC4"/>
    <w:rsid w:val="00585B28"/>
    <w:rsid w:val="00585BC4"/>
    <w:rsid w:val="00585C00"/>
    <w:rsid w:val="00585DA2"/>
    <w:rsid w:val="00585E08"/>
    <w:rsid w:val="00585E21"/>
    <w:rsid w:val="00585F6F"/>
    <w:rsid w:val="00585F73"/>
    <w:rsid w:val="00586002"/>
    <w:rsid w:val="0058603D"/>
    <w:rsid w:val="0058609C"/>
    <w:rsid w:val="0058611F"/>
    <w:rsid w:val="005861A1"/>
    <w:rsid w:val="00586259"/>
    <w:rsid w:val="00586294"/>
    <w:rsid w:val="00586380"/>
    <w:rsid w:val="0058649A"/>
    <w:rsid w:val="00586523"/>
    <w:rsid w:val="005865EF"/>
    <w:rsid w:val="005866D7"/>
    <w:rsid w:val="00586794"/>
    <w:rsid w:val="005867CA"/>
    <w:rsid w:val="005867F1"/>
    <w:rsid w:val="00586A8D"/>
    <w:rsid w:val="00586B4F"/>
    <w:rsid w:val="00586DC3"/>
    <w:rsid w:val="00586E53"/>
    <w:rsid w:val="00586E91"/>
    <w:rsid w:val="00586E96"/>
    <w:rsid w:val="00586E9D"/>
    <w:rsid w:val="00586F36"/>
    <w:rsid w:val="0058701F"/>
    <w:rsid w:val="00587132"/>
    <w:rsid w:val="00587168"/>
    <w:rsid w:val="005871E7"/>
    <w:rsid w:val="00587290"/>
    <w:rsid w:val="005872D5"/>
    <w:rsid w:val="00587430"/>
    <w:rsid w:val="0058746F"/>
    <w:rsid w:val="00587497"/>
    <w:rsid w:val="00587581"/>
    <w:rsid w:val="005875C8"/>
    <w:rsid w:val="00587615"/>
    <w:rsid w:val="0058764C"/>
    <w:rsid w:val="005876EC"/>
    <w:rsid w:val="00587877"/>
    <w:rsid w:val="0058798D"/>
    <w:rsid w:val="00587A72"/>
    <w:rsid w:val="00587A83"/>
    <w:rsid w:val="00587C12"/>
    <w:rsid w:val="00587C7A"/>
    <w:rsid w:val="00587C9C"/>
    <w:rsid w:val="00587CCC"/>
    <w:rsid w:val="00587D20"/>
    <w:rsid w:val="00587D58"/>
    <w:rsid w:val="00587E57"/>
    <w:rsid w:val="00587EA3"/>
    <w:rsid w:val="00587EF4"/>
    <w:rsid w:val="00587FC3"/>
    <w:rsid w:val="0059001E"/>
    <w:rsid w:val="005901F4"/>
    <w:rsid w:val="00590226"/>
    <w:rsid w:val="00590283"/>
    <w:rsid w:val="005902DD"/>
    <w:rsid w:val="00590363"/>
    <w:rsid w:val="0059036F"/>
    <w:rsid w:val="00590399"/>
    <w:rsid w:val="00590439"/>
    <w:rsid w:val="0059057A"/>
    <w:rsid w:val="005905AF"/>
    <w:rsid w:val="005905EE"/>
    <w:rsid w:val="00590649"/>
    <w:rsid w:val="0059066F"/>
    <w:rsid w:val="00590716"/>
    <w:rsid w:val="00590785"/>
    <w:rsid w:val="005908AC"/>
    <w:rsid w:val="00590907"/>
    <w:rsid w:val="00590912"/>
    <w:rsid w:val="00590B9B"/>
    <w:rsid w:val="00590BC8"/>
    <w:rsid w:val="00590CE6"/>
    <w:rsid w:val="00590D3A"/>
    <w:rsid w:val="00590D97"/>
    <w:rsid w:val="00590DE3"/>
    <w:rsid w:val="00590DFB"/>
    <w:rsid w:val="005910FB"/>
    <w:rsid w:val="00591121"/>
    <w:rsid w:val="005913E0"/>
    <w:rsid w:val="005914D0"/>
    <w:rsid w:val="005915C2"/>
    <w:rsid w:val="00591A84"/>
    <w:rsid w:val="00591AC4"/>
    <w:rsid w:val="00591AFA"/>
    <w:rsid w:val="00591CD6"/>
    <w:rsid w:val="00591CFB"/>
    <w:rsid w:val="00591D1B"/>
    <w:rsid w:val="00591D2B"/>
    <w:rsid w:val="00591D42"/>
    <w:rsid w:val="00591E26"/>
    <w:rsid w:val="00591F12"/>
    <w:rsid w:val="00592007"/>
    <w:rsid w:val="00592023"/>
    <w:rsid w:val="0059209D"/>
    <w:rsid w:val="005920B3"/>
    <w:rsid w:val="00592285"/>
    <w:rsid w:val="005923F4"/>
    <w:rsid w:val="00592458"/>
    <w:rsid w:val="00592502"/>
    <w:rsid w:val="00592519"/>
    <w:rsid w:val="00592723"/>
    <w:rsid w:val="00592751"/>
    <w:rsid w:val="005927FF"/>
    <w:rsid w:val="00592841"/>
    <w:rsid w:val="0059286C"/>
    <w:rsid w:val="005928BD"/>
    <w:rsid w:val="005929DE"/>
    <w:rsid w:val="00592A8B"/>
    <w:rsid w:val="00592B7C"/>
    <w:rsid w:val="00592B88"/>
    <w:rsid w:val="00592BB4"/>
    <w:rsid w:val="00592C85"/>
    <w:rsid w:val="00592CC8"/>
    <w:rsid w:val="00592CCB"/>
    <w:rsid w:val="00592D4B"/>
    <w:rsid w:val="005930C5"/>
    <w:rsid w:val="00593117"/>
    <w:rsid w:val="0059318B"/>
    <w:rsid w:val="005931CE"/>
    <w:rsid w:val="00593230"/>
    <w:rsid w:val="005932B6"/>
    <w:rsid w:val="005932DA"/>
    <w:rsid w:val="00593333"/>
    <w:rsid w:val="0059349F"/>
    <w:rsid w:val="00593538"/>
    <w:rsid w:val="0059369A"/>
    <w:rsid w:val="00593707"/>
    <w:rsid w:val="00593765"/>
    <w:rsid w:val="005937D7"/>
    <w:rsid w:val="00593813"/>
    <w:rsid w:val="005938F9"/>
    <w:rsid w:val="00593B45"/>
    <w:rsid w:val="00593BA3"/>
    <w:rsid w:val="00593BBB"/>
    <w:rsid w:val="00593DA3"/>
    <w:rsid w:val="00593DF5"/>
    <w:rsid w:val="00593E55"/>
    <w:rsid w:val="00593ECE"/>
    <w:rsid w:val="00593FA7"/>
    <w:rsid w:val="005941B0"/>
    <w:rsid w:val="00594296"/>
    <w:rsid w:val="0059435E"/>
    <w:rsid w:val="0059437E"/>
    <w:rsid w:val="00594427"/>
    <w:rsid w:val="0059450A"/>
    <w:rsid w:val="00594591"/>
    <w:rsid w:val="005945EA"/>
    <w:rsid w:val="00594692"/>
    <w:rsid w:val="00594789"/>
    <w:rsid w:val="005947F8"/>
    <w:rsid w:val="005949EF"/>
    <w:rsid w:val="00594A03"/>
    <w:rsid w:val="00594A38"/>
    <w:rsid w:val="00594B02"/>
    <w:rsid w:val="00594C0C"/>
    <w:rsid w:val="00594DD8"/>
    <w:rsid w:val="00594FCA"/>
    <w:rsid w:val="00595050"/>
    <w:rsid w:val="00595144"/>
    <w:rsid w:val="00595195"/>
    <w:rsid w:val="005951F1"/>
    <w:rsid w:val="00595213"/>
    <w:rsid w:val="00595258"/>
    <w:rsid w:val="00595291"/>
    <w:rsid w:val="005953A9"/>
    <w:rsid w:val="0059548E"/>
    <w:rsid w:val="0059551F"/>
    <w:rsid w:val="00595535"/>
    <w:rsid w:val="005955D7"/>
    <w:rsid w:val="00595862"/>
    <w:rsid w:val="00595892"/>
    <w:rsid w:val="00595A17"/>
    <w:rsid w:val="00595A9D"/>
    <w:rsid w:val="00595ABD"/>
    <w:rsid w:val="00595AD0"/>
    <w:rsid w:val="00595B50"/>
    <w:rsid w:val="00595B5A"/>
    <w:rsid w:val="00595C56"/>
    <w:rsid w:val="00595D12"/>
    <w:rsid w:val="00595D21"/>
    <w:rsid w:val="00595DE2"/>
    <w:rsid w:val="00595DF7"/>
    <w:rsid w:val="00595EFE"/>
    <w:rsid w:val="00595F01"/>
    <w:rsid w:val="00595F90"/>
    <w:rsid w:val="005960A9"/>
    <w:rsid w:val="005960D3"/>
    <w:rsid w:val="005961F0"/>
    <w:rsid w:val="005962BE"/>
    <w:rsid w:val="00596397"/>
    <w:rsid w:val="00596398"/>
    <w:rsid w:val="0059640F"/>
    <w:rsid w:val="0059657D"/>
    <w:rsid w:val="0059661D"/>
    <w:rsid w:val="00596699"/>
    <w:rsid w:val="00596711"/>
    <w:rsid w:val="0059671E"/>
    <w:rsid w:val="00596744"/>
    <w:rsid w:val="00596901"/>
    <w:rsid w:val="005969AE"/>
    <w:rsid w:val="00596A5F"/>
    <w:rsid w:val="00596A91"/>
    <w:rsid w:val="00596C4B"/>
    <w:rsid w:val="00596CC6"/>
    <w:rsid w:val="00596D38"/>
    <w:rsid w:val="00596F32"/>
    <w:rsid w:val="00596F7E"/>
    <w:rsid w:val="00597022"/>
    <w:rsid w:val="00597045"/>
    <w:rsid w:val="0059707E"/>
    <w:rsid w:val="0059709F"/>
    <w:rsid w:val="0059720C"/>
    <w:rsid w:val="00597278"/>
    <w:rsid w:val="005974E3"/>
    <w:rsid w:val="00597509"/>
    <w:rsid w:val="00597512"/>
    <w:rsid w:val="005975AD"/>
    <w:rsid w:val="00597658"/>
    <w:rsid w:val="005977A2"/>
    <w:rsid w:val="0059785B"/>
    <w:rsid w:val="005979DD"/>
    <w:rsid w:val="005979F1"/>
    <w:rsid w:val="00597A4F"/>
    <w:rsid w:val="00597AA0"/>
    <w:rsid w:val="00597B0F"/>
    <w:rsid w:val="00597B47"/>
    <w:rsid w:val="00597E4A"/>
    <w:rsid w:val="00597FB4"/>
    <w:rsid w:val="005A00C7"/>
    <w:rsid w:val="005A0102"/>
    <w:rsid w:val="005A022D"/>
    <w:rsid w:val="005A032F"/>
    <w:rsid w:val="005A03C2"/>
    <w:rsid w:val="005A0419"/>
    <w:rsid w:val="005A053E"/>
    <w:rsid w:val="005A0553"/>
    <w:rsid w:val="005A0638"/>
    <w:rsid w:val="005A072A"/>
    <w:rsid w:val="005A0B5F"/>
    <w:rsid w:val="005A0B73"/>
    <w:rsid w:val="005A0BF0"/>
    <w:rsid w:val="005A0C34"/>
    <w:rsid w:val="005A0E4F"/>
    <w:rsid w:val="005A0FED"/>
    <w:rsid w:val="005A102F"/>
    <w:rsid w:val="005A11BE"/>
    <w:rsid w:val="005A11C5"/>
    <w:rsid w:val="005A11DC"/>
    <w:rsid w:val="005A120D"/>
    <w:rsid w:val="005A1320"/>
    <w:rsid w:val="005A133C"/>
    <w:rsid w:val="005A154B"/>
    <w:rsid w:val="005A1609"/>
    <w:rsid w:val="005A1651"/>
    <w:rsid w:val="005A16FA"/>
    <w:rsid w:val="005A174D"/>
    <w:rsid w:val="005A1778"/>
    <w:rsid w:val="005A17E5"/>
    <w:rsid w:val="005A1A16"/>
    <w:rsid w:val="005A1B1C"/>
    <w:rsid w:val="005A1B7C"/>
    <w:rsid w:val="005A1C06"/>
    <w:rsid w:val="005A1C5E"/>
    <w:rsid w:val="005A1D5B"/>
    <w:rsid w:val="005A2075"/>
    <w:rsid w:val="005A2092"/>
    <w:rsid w:val="005A20D5"/>
    <w:rsid w:val="005A21A1"/>
    <w:rsid w:val="005A2236"/>
    <w:rsid w:val="005A22FD"/>
    <w:rsid w:val="005A23C2"/>
    <w:rsid w:val="005A25B1"/>
    <w:rsid w:val="005A26E4"/>
    <w:rsid w:val="005A2755"/>
    <w:rsid w:val="005A285B"/>
    <w:rsid w:val="005A297B"/>
    <w:rsid w:val="005A2CF1"/>
    <w:rsid w:val="005A2D63"/>
    <w:rsid w:val="005A2DB7"/>
    <w:rsid w:val="005A2E58"/>
    <w:rsid w:val="005A2E8A"/>
    <w:rsid w:val="005A2F4B"/>
    <w:rsid w:val="005A3048"/>
    <w:rsid w:val="005A3075"/>
    <w:rsid w:val="005A32CE"/>
    <w:rsid w:val="005A3375"/>
    <w:rsid w:val="005A3478"/>
    <w:rsid w:val="005A35F2"/>
    <w:rsid w:val="005A3671"/>
    <w:rsid w:val="005A3685"/>
    <w:rsid w:val="005A368C"/>
    <w:rsid w:val="005A36B6"/>
    <w:rsid w:val="005A37F6"/>
    <w:rsid w:val="005A3918"/>
    <w:rsid w:val="005A3948"/>
    <w:rsid w:val="005A3968"/>
    <w:rsid w:val="005A3984"/>
    <w:rsid w:val="005A39BE"/>
    <w:rsid w:val="005A39C9"/>
    <w:rsid w:val="005A39D1"/>
    <w:rsid w:val="005A39D7"/>
    <w:rsid w:val="005A3C20"/>
    <w:rsid w:val="005A3C7E"/>
    <w:rsid w:val="005A3F85"/>
    <w:rsid w:val="005A3FE4"/>
    <w:rsid w:val="005A402A"/>
    <w:rsid w:val="005A40AF"/>
    <w:rsid w:val="005A40C9"/>
    <w:rsid w:val="005A4168"/>
    <w:rsid w:val="005A425F"/>
    <w:rsid w:val="005A42AE"/>
    <w:rsid w:val="005A4302"/>
    <w:rsid w:val="005A43A3"/>
    <w:rsid w:val="005A43F2"/>
    <w:rsid w:val="005A43F4"/>
    <w:rsid w:val="005A44A4"/>
    <w:rsid w:val="005A45BF"/>
    <w:rsid w:val="005A45E3"/>
    <w:rsid w:val="005A4654"/>
    <w:rsid w:val="005A47A8"/>
    <w:rsid w:val="005A481B"/>
    <w:rsid w:val="005A48CB"/>
    <w:rsid w:val="005A492D"/>
    <w:rsid w:val="005A4A3E"/>
    <w:rsid w:val="005A4AB0"/>
    <w:rsid w:val="005A4B24"/>
    <w:rsid w:val="005A4B5D"/>
    <w:rsid w:val="005A4C8A"/>
    <w:rsid w:val="005A4CBF"/>
    <w:rsid w:val="005A4D0D"/>
    <w:rsid w:val="005A4D63"/>
    <w:rsid w:val="005A4D8C"/>
    <w:rsid w:val="005A4E45"/>
    <w:rsid w:val="005A4FC1"/>
    <w:rsid w:val="005A50DB"/>
    <w:rsid w:val="005A51F4"/>
    <w:rsid w:val="005A52EC"/>
    <w:rsid w:val="005A537D"/>
    <w:rsid w:val="005A5387"/>
    <w:rsid w:val="005A53CE"/>
    <w:rsid w:val="005A5666"/>
    <w:rsid w:val="005A576E"/>
    <w:rsid w:val="005A58AB"/>
    <w:rsid w:val="005A5BFF"/>
    <w:rsid w:val="005A5CCA"/>
    <w:rsid w:val="005A5E28"/>
    <w:rsid w:val="005A5F05"/>
    <w:rsid w:val="005A5F2D"/>
    <w:rsid w:val="005A6144"/>
    <w:rsid w:val="005A61FE"/>
    <w:rsid w:val="005A6274"/>
    <w:rsid w:val="005A62FF"/>
    <w:rsid w:val="005A63E7"/>
    <w:rsid w:val="005A647A"/>
    <w:rsid w:val="005A64F4"/>
    <w:rsid w:val="005A661C"/>
    <w:rsid w:val="005A6627"/>
    <w:rsid w:val="005A668B"/>
    <w:rsid w:val="005A66FC"/>
    <w:rsid w:val="005A6A55"/>
    <w:rsid w:val="005A6AA5"/>
    <w:rsid w:val="005A6AFA"/>
    <w:rsid w:val="005A6EE8"/>
    <w:rsid w:val="005A6EEF"/>
    <w:rsid w:val="005A7005"/>
    <w:rsid w:val="005A7090"/>
    <w:rsid w:val="005A7183"/>
    <w:rsid w:val="005A7319"/>
    <w:rsid w:val="005A7400"/>
    <w:rsid w:val="005A75F9"/>
    <w:rsid w:val="005A765A"/>
    <w:rsid w:val="005A7742"/>
    <w:rsid w:val="005A777C"/>
    <w:rsid w:val="005A77F1"/>
    <w:rsid w:val="005A7808"/>
    <w:rsid w:val="005A782D"/>
    <w:rsid w:val="005A78E8"/>
    <w:rsid w:val="005A79BB"/>
    <w:rsid w:val="005A79FF"/>
    <w:rsid w:val="005A7A5B"/>
    <w:rsid w:val="005A7AB2"/>
    <w:rsid w:val="005A7B16"/>
    <w:rsid w:val="005A7BD2"/>
    <w:rsid w:val="005A7C20"/>
    <w:rsid w:val="005A7C7F"/>
    <w:rsid w:val="005A7CA5"/>
    <w:rsid w:val="005A7CEC"/>
    <w:rsid w:val="005A7FAC"/>
    <w:rsid w:val="005B003C"/>
    <w:rsid w:val="005B0047"/>
    <w:rsid w:val="005B008D"/>
    <w:rsid w:val="005B01A7"/>
    <w:rsid w:val="005B0208"/>
    <w:rsid w:val="005B027C"/>
    <w:rsid w:val="005B02F3"/>
    <w:rsid w:val="005B034C"/>
    <w:rsid w:val="005B034E"/>
    <w:rsid w:val="005B03AB"/>
    <w:rsid w:val="005B0535"/>
    <w:rsid w:val="005B053B"/>
    <w:rsid w:val="005B06B5"/>
    <w:rsid w:val="005B0714"/>
    <w:rsid w:val="005B0734"/>
    <w:rsid w:val="005B08B3"/>
    <w:rsid w:val="005B0A12"/>
    <w:rsid w:val="005B0A1D"/>
    <w:rsid w:val="005B0A26"/>
    <w:rsid w:val="005B0A8E"/>
    <w:rsid w:val="005B0B43"/>
    <w:rsid w:val="005B0C81"/>
    <w:rsid w:val="005B0DE5"/>
    <w:rsid w:val="005B0FFD"/>
    <w:rsid w:val="005B118A"/>
    <w:rsid w:val="005B1192"/>
    <w:rsid w:val="005B1221"/>
    <w:rsid w:val="005B12B6"/>
    <w:rsid w:val="005B154B"/>
    <w:rsid w:val="005B1592"/>
    <w:rsid w:val="005B15FC"/>
    <w:rsid w:val="005B169C"/>
    <w:rsid w:val="005B178A"/>
    <w:rsid w:val="005B18B6"/>
    <w:rsid w:val="005B1A32"/>
    <w:rsid w:val="005B1ADF"/>
    <w:rsid w:val="005B1B5E"/>
    <w:rsid w:val="005B1BAD"/>
    <w:rsid w:val="005B1BF9"/>
    <w:rsid w:val="005B1D4F"/>
    <w:rsid w:val="005B1E19"/>
    <w:rsid w:val="005B1ED6"/>
    <w:rsid w:val="005B1F4F"/>
    <w:rsid w:val="005B1F55"/>
    <w:rsid w:val="005B1FEE"/>
    <w:rsid w:val="005B20F1"/>
    <w:rsid w:val="005B2104"/>
    <w:rsid w:val="005B2320"/>
    <w:rsid w:val="005B23A4"/>
    <w:rsid w:val="005B2402"/>
    <w:rsid w:val="005B2463"/>
    <w:rsid w:val="005B26D9"/>
    <w:rsid w:val="005B2725"/>
    <w:rsid w:val="005B2769"/>
    <w:rsid w:val="005B2946"/>
    <w:rsid w:val="005B294A"/>
    <w:rsid w:val="005B294D"/>
    <w:rsid w:val="005B2A18"/>
    <w:rsid w:val="005B2A62"/>
    <w:rsid w:val="005B2B03"/>
    <w:rsid w:val="005B2B6C"/>
    <w:rsid w:val="005B2CCC"/>
    <w:rsid w:val="005B2DB5"/>
    <w:rsid w:val="005B2DFB"/>
    <w:rsid w:val="005B2E09"/>
    <w:rsid w:val="005B30A6"/>
    <w:rsid w:val="005B30B1"/>
    <w:rsid w:val="005B33EB"/>
    <w:rsid w:val="005B34C3"/>
    <w:rsid w:val="005B34EC"/>
    <w:rsid w:val="005B351A"/>
    <w:rsid w:val="005B38EE"/>
    <w:rsid w:val="005B3907"/>
    <w:rsid w:val="005B39BF"/>
    <w:rsid w:val="005B39CD"/>
    <w:rsid w:val="005B3A8C"/>
    <w:rsid w:val="005B3AA8"/>
    <w:rsid w:val="005B3B88"/>
    <w:rsid w:val="005B3BAE"/>
    <w:rsid w:val="005B3DC1"/>
    <w:rsid w:val="005B3FCD"/>
    <w:rsid w:val="005B3FD5"/>
    <w:rsid w:val="005B43BF"/>
    <w:rsid w:val="005B4624"/>
    <w:rsid w:val="005B4631"/>
    <w:rsid w:val="005B476C"/>
    <w:rsid w:val="005B47C2"/>
    <w:rsid w:val="005B47E8"/>
    <w:rsid w:val="005B48E3"/>
    <w:rsid w:val="005B4B0C"/>
    <w:rsid w:val="005B4D39"/>
    <w:rsid w:val="005B4DA8"/>
    <w:rsid w:val="005B4E37"/>
    <w:rsid w:val="005B4EEE"/>
    <w:rsid w:val="005B4EF5"/>
    <w:rsid w:val="005B4F89"/>
    <w:rsid w:val="005B4F97"/>
    <w:rsid w:val="005B4FB1"/>
    <w:rsid w:val="005B4FED"/>
    <w:rsid w:val="005B5003"/>
    <w:rsid w:val="005B52CF"/>
    <w:rsid w:val="005B53E5"/>
    <w:rsid w:val="005B5574"/>
    <w:rsid w:val="005B55A8"/>
    <w:rsid w:val="005B5760"/>
    <w:rsid w:val="005B583A"/>
    <w:rsid w:val="005B588B"/>
    <w:rsid w:val="005B58B5"/>
    <w:rsid w:val="005B5A50"/>
    <w:rsid w:val="005B5AFD"/>
    <w:rsid w:val="005B5B37"/>
    <w:rsid w:val="005B5BBF"/>
    <w:rsid w:val="005B5CD9"/>
    <w:rsid w:val="005B5DA4"/>
    <w:rsid w:val="005B5E1A"/>
    <w:rsid w:val="005B5E46"/>
    <w:rsid w:val="005B5EB7"/>
    <w:rsid w:val="005B5EEC"/>
    <w:rsid w:val="005B5F52"/>
    <w:rsid w:val="005B5F6D"/>
    <w:rsid w:val="005B60DB"/>
    <w:rsid w:val="005B6127"/>
    <w:rsid w:val="005B6196"/>
    <w:rsid w:val="005B61EC"/>
    <w:rsid w:val="005B62B1"/>
    <w:rsid w:val="005B63A1"/>
    <w:rsid w:val="005B63CD"/>
    <w:rsid w:val="005B63F3"/>
    <w:rsid w:val="005B64C2"/>
    <w:rsid w:val="005B65BC"/>
    <w:rsid w:val="005B65EF"/>
    <w:rsid w:val="005B65F6"/>
    <w:rsid w:val="005B6642"/>
    <w:rsid w:val="005B667D"/>
    <w:rsid w:val="005B66DF"/>
    <w:rsid w:val="005B676B"/>
    <w:rsid w:val="005B67A0"/>
    <w:rsid w:val="005B681C"/>
    <w:rsid w:val="005B6923"/>
    <w:rsid w:val="005B6B21"/>
    <w:rsid w:val="005B6B49"/>
    <w:rsid w:val="005B6B50"/>
    <w:rsid w:val="005B6BD3"/>
    <w:rsid w:val="005B6C5D"/>
    <w:rsid w:val="005B6D38"/>
    <w:rsid w:val="005B6DFA"/>
    <w:rsid w:val="005B6DFC"/>
    <w:rsid w:val="005B6F46"/>
    <w:rsid w:val="005B7011"/>
    <w:rsid w:val="005B707F"/>
    <w:rsid w:val="005B7087"/>
    <w:rsid w:val="005B7192"/>
    <w:rsid w:val="005B71F6"/>
    <w:rsid w:val="005B73F4"/>
    <w:rsid w:val="005B74B1"/>
    <w:rsid w:val="005B7638"/>
    <w:rsid w:val="005B799C"/>
    <w:rsid w:val="005B79E4"/>
    <w:rsid w:val="005B7A65"/>
    <w:rsid w:val="005B7AF4"/>
    <w:rsid w:val="005B7C12"/>
    <w:rsid w:val="005B7C34"/>
    <w:rsid w:val="005B7CD6"/>
    <w:rsid w:val="005B7D60"/>
    <w:rsid w:val="005B7E0C"/>
    <w:rsid w:val="005B7E2B"/>
    <w:rsid w:val="005B7E65"/>
    <w:rsid w:val="005B7F51"/>
    <w:rsid w:val="005B7FE0"/>
    <w:rsid w:val="005C0175"/>
    <w:rsid w:val="005C02C2"/>
    <w:rsid w:val="005C02CA"/>
    <w:rsid w:val="005C03C1"/>
    <w:rsid w:val="005C03E4"/>
    <w:rsid w:val="005C03F7"/>
    <w:rsid w:val="005C0438"/>
    <w:rsid w:val="005C043D"/>
    <w:rsid w:val="005C0673"/>
    <w:rsid w:val="005C081E"/>
    <w:rsid w:val="005C0893"/>
    <w:rsid w:val="005C0930"/>
    <w:rsid w:val="005C09EE"/>
    <w:rsid w:val="005C0B13"/>
    <w:rsid w:val="005C0B2D"/>
    <w:rsid w:val="005C0B56"/>
    <w:rsid w:val="005C0BAA"/>
    <w:rsid w:val="005C0CFA"/>
    <w:rsid w:val="005C0EC1"/>
    <w:rsid w:val="005C1005"/>
    <w:rsid w:val="005C1073"/>
    <w:rsid w:val="005C1153"/>
    <w:rsid w:val="005C1386"/>
    <w:rsid w:val="005C1563"/>
    <w:rsid w:val="005C159D"/>
    <w:rsid w:val="005C1605"/>
    <w:rsid w:val="005C175C"/>
    <w:rsid w:val="005C17D2"/>
    <w:rsid w:val="005C184E"/>
    <w:rsid w:val="005C1967"/>
    <w:rsid w:val="005C19E0"/>
    <w:rsid w:val="005C1A97"/>
    <w:rsid w:val="005C1AF1"/>
    <w:rsid w:val="005C1C80"/>
    <w:rsid w:val="005C1CA4"/>
    <w:rsid w:val="005C1CB3"/>
    <w:rsid w:val="005C1D7E"/>
    <w:rsid w:val="005C1EA8"/>
    <w:rsid w:val="005C1EF0"/>
    <w:rsid w:val="005C1F49"/>
    <w:rsid w:val="005C1FF7"/>
    <w:rsid w:val="005C2069"/>
    <w:rsid w:val="005C2096"/>
    <w:rsid w:val="005C2121"/>
    <w:rsid w:val="005C23ED"/>
    <w:rsid w:val="005C2458"/>
    <w:rsid w:val="005C2465"/>
    <w:rsid w:val="005C2479"/>
    <w:rsid w:val="005C25D1"/>
    <w:rsid w:val="005C2675"/>
    <w:rsid w:val="005C2691"/>
    <w:rsid w:val="005C26AE"/>
    <w:rsid w:val="005C26E7"/>
    <w:rsid w:val="005C2766"/>
    <w:rsid w:val="005C27A4"/>
    <w:rsid w:val="005C29F0"/>
    <w:rsid w:val="005C2AF9"/>
    <w:rsid w:val="005C2B69"/>
    <w:rsid w:val="005C2B9F"/>
    <w:rsid w:val="005C2DAA"/>
    <w:rsid w:val="005C2E73"/>
    <w:rsid w:val="005C2F6B"/>
    <w:rsid w:val="005C2F92"/>
    <w:rsid w:val="005C2F98"/>
    <w:rsid w:val="005C30D2"/>
    <w:rsid w:val="005C3175"/>
    <w:rsid w:val="005C3274"/>
    <w:rsid w:val="005C3309"/>
    <w:rsid w:val="005C33BD"/>
    <w:rsid w:val="005C33C8"/>
    <w:rsid w:val="005C33D0"/>
    <w:rsid w:val="005C33F3"/>
    <w:rsid w:val="005C343A"/>
    <w:rsid w:val="005C3482"/>
    <w:rsid w:val="005C3534"/>
    <w:rsid w:val="005C3611"/>
    <w:rsid w:val="005C3673"/>
    <w:rsid w:val="005C3715"/>
    <w:rsid w:val="005C37D5"/>
    <w:rsid w:val="005C393B"/>
    <w:rsid w:val="005C3A03"/>
    <w:rsid w:val="005C3A0E"/>
    <w:rsid w:val="005C3ABB"/>
    <w:rsid w:val="005C3AE9"/>
    <w:rsid w:val="005C3CFD"/>
    <w:rsid w:val="005C3D68"/>
    <w:rsid w:val="005C3E18"/>
    <w:rsid w:val="005C4089"/>
    <w:rsid w:val="005C40C7"/>
    <w:rsid w:val="005C4170"/>
    <w:rsid w:val="005C41E4"/>
    <w:rsid w:val="005C421E"/>
    <w:rsid w:val="005C4308"/>
    <w:rsid w:val="005C431E"/>
    <w:rsid w:val="005C4475"/>
    <w:rsid w:val="005C460F"/>
    <w:rsid w:val="005C46E3"/>
    <w:rsid w:val="005C46ED"/>
    <w:rsid w:val="005C4812"/>
    <w:rsid w:val="005C48BD"/>
    <w:rsid w:val="005C493C"/>
    <w:rsid w:val="005C4953"/>
    <w:rsid w:val="005C4ADE"/>
    <w:rsid w:val="005C4B57"/>
    <w:rsid w:val="005C4B85"/>
    <w:rsid w:val="005C4BF0"/>
    <w:rsid w:val="005C4C30"/>
    <w:rsid w:val="005C4C81"/>
    <w:rsid w:val="005C4CEA"/>
    <w:rsid w:val="005C4DB7"/>
    <w:rsid w:val="005C4E10"/>
    <w:rsid w:val="005C4F3B"/>
    <w:rsid w:val="005C511F"/>
    <w:rsid w:val="005C515A"/>
    <w:rsid w:val="005C523F"/>
    <w:rsid w:val="005C529B"/>
    <w:rsid w:val="005C5651"/>
    <w:rsid w:val="005C5760"/>
    <w:rsid w:val="005C5972"/>
    <w:rsid w:val="005C5A8A"/>
    <w:rsid w:val="005C5AAC"/>
    <w:rsid w:val="005C5BF1"/>
    <w:rsid w:val="005C5D62"/>
    <w:rsid w:val="005C606D"/>
    <w:rsid w:val="005C6146"/>
    <w:rsid w:val="005C6302"/>
    <w:rsid w:val="005C6435"/>
    <w:rsid w:val="005C64C1"/>
    <w:rsid w:val="005C6543"/>
    <w:rsid w:val="005C6725"/>
    <w:rsid w:val="005C6729"/>
    <w:rsid w:val="005C6731"/>
    <w:rsid w:val="005C6862"/>
    <w:rsid w:val="005C687C"/>
    <w:rsid w:val="005C6AE8"/>
    <w:rsid w:val="005C6B0B"/>
    <w:rsid w:val="005C6B3A"/>
    <w:rsid w:val="005C6B45"/>
    <w:rsid w:val="005C6C65"/>
    <w:rsid w:val="005C6D32"/>
    <w:rsid w:val="005C6D88"/>
    <w:rsid w:val="005C6DDE"/>
    <w:rsid w:val="005C6DE5"/>
    <w:rsid w:val="005C6E04"/>
    <w:rsid w:val="005C6EE6"/>
    <w:rsid w:val="005C6F1D"/>
    <w:rsid w:val="005C6F73"/>
    <w:rsid w:val="005C7066"/>
    <w:rsid w:val="005C708E"/>
    <w:rsid w:val="005C7093"/>
    <w:rsid w:val="005C7317"/>
    <w:rsid w:val="005C74F4"/>
    <w:rsid w:val="005C76C8"/>
    <w:rsid w:val="005C778E"/>
    <w:rsid w:val="005C7931"/>
    <w:rsid w:val="005C79D3"/>
    <w:rsid w:val="005C7A39"/>
    <w:rsid w:val="005C7B14"/>
    <w:rsid w:val="005C7C3C"/>
    <w:rsid w:val="005C7CC6"/>
    <w:rsid w:val="005C7DAA"/>
    <w:rsid w:val="005C7DBE"/>
    <w:rsid w:val="005C7F69"/>
    <w:rsid w:val="005C7F9D"/>
    <w:rsid w:val="005C7FD0"/>
    <w:rsid w:val="005D00A1"/>
    <w:rsid w:val="005D0146"/>
    <w:rsid w:val="005D02EE"/>
    <w:rsid w:val="005D0494"/>
    <w:rsid w:val="005D04A0"/>
    <w:rsid w:val="005D04A4"/>
    <w:rsid w:val="005D04D6"/>
    <w:rsid w:val="005D06BC"/>
    <w:rsid w:val="005D06E9"/>
    <w:rsid w:val="005D0769"/>
    <w:rsid w:val="005D0866"/>
    <w:rsid w:val="005D098B"/>
    <w:rsid w:val="005D0A00"/>
    <w:rsid w:val="005D0B5B"/>
    <w:rsid w:val="005D0F3E"/>
    <w:rsid w:val="005D0FDD"/>
    <w:rsid w:val="005D1008"/>
    <w:rsid w:val="005D101C"/>
    <w:rsid w:val="005D1091"/>
    <w:rsid w:val="005D10D5"/>
    <w:rsid w:val="005D1161"/>
    <w:rsid w:val="005D11FD"/>
    <w:rsid w:val="005D12AD"/>
    <w:rsid w:val="005D13BD"/>
    <w:rsid w:val="005D153B"/>
    <w:rsid w:val="005D1571"/>
    <w:rsid w:val="005D157E"/>
    <w:rsid w:val="005D171B"/>
    <w:rsid w:val="005D1721"/>
    <w:rsid w:val="005D17C6"/>
    <w:rsid w:val="005D186E"/>
    <w:rsid w:val="005D1964"/>
    <w:rsid w:val="005D1A32"/>
    <w:rsid w:val="005D1A57"/>
    <w:rsid w:val="005D1A95"/>
    <w:rsid w:val="005D1ABE"/>
    <w:rsid w:val="005D1ADF"/>
    <w:rsid w:val="005D1B65"/>
    <w:rsid w:val="005D1BEB"/>
    <w:rsid w:val="005D1C6C"/>
    <w:rsid w:val="005D1CEC"/>
    <w:rsid w:val="005D1D95"/>
    <w:rsid w:val="005D1E03"/>
    <w:rsid w:val="005D1EE8"/>
    <w:rsid w:val="005D203E"/>
    <w:rsid w:val="005D207F"/>
    <w:rsid w:val="005D20D0"/>
    <w:rsid w:val="005D227C"/>
    <w:rsid w:val="005D22F4"/>
    <w:rsid w:val="005D23A1"/>
    <w:rsid w:val="005D2459"/>
    <w:rsid w:val="005D2629"/>
    <w:rsid w:val="005D2643"/>
    <w:rsid w:val="005D2698"/>
    <w:rsid w:val="005D26ED"/>
    <w:rsid w:val="005D27DD"/>
    <w:rsid w:val="005D27E2"/>
    <w:rsid w:val="005D288E"/>
    <w:rsid w:val="005D28AB"/>
    <w:rsid w:val="005D2B6D"/>
    <w:rsid w:val="005D2B81"/>
    <w:rsid w:val="005D2B88"/>
    <w:rsid w:val="005D2D2D"/>
    <w:rsid w:val="005D2D7E"/>
    <w:rsid w:val="005D2E10"/>
    <w:rsid w:val="005D2F64"/>
    <w:rsid w:val="005D317B"/>
    <w:rsid w:val="005D3272"/>
    <w:rsid w:val="005D3334"/>
    <w:rsid w:val="005D3520"/>
    <w:rsid w:val="005D35A8"/>
    <w:rsid w:val="005D38FC"/>
    <w:rsid w:val="005D3961"/>
    <w:rsid w:val="005D3974"/>
    <w:rsid w:val="005D3ABA"/>
    <w:rsid w:val="005D3AD0"/>
    <w:rsid w:val="005D3B73"/>
    <w:rsid w:val="005D3DA9"/>
    <w:rsid w:val="005D3EFF"/>
    <w:rsid w:val="005D3F12"/>
    <w:rsid w:val="005D4061"/>
    <w:rsid w:val="005D416F"/>
    <w:rsid w:val="005D429C"/>
    <w:rsid w:val="005D42E4"/>
    <w:rsid w:val="005D4318"/>
    <w:rsid w:val="005D4374"/>
    <w:rsid w:val="005D4455"/>
    <w:rsid w:val="005D4622"/>
    <w:rsid w:val="005D4659"/>
    <w:rsid w:val="005D46C5"/>
    <w:rsid w:val="005D478E"/>
    <w:rsid w:val="005D484D"/>
    <w:rsid w:val="005D48C9"/>
    <w:rsid w:val="005D4905"/>
    <w:rsid w:val="005D494E"/>
    <w:rsid w:val="005D494F"/>
    <w:rsid w:val="005D49F0"/>
    <w:rsid w:val="005D4A25"/>
    <w:rsid w:val="005D4AC4"/>
    <w:rsid w:val="005D4D75"/>
    <w:rsid w:val="005D4F9F"/>
    <w:rsid w:val="005D4FA6"/>
    <w:rsid w:val="005D5052"/>
    <w:rsid w:val="005D50AD"/>
    <w:rsid w:val="005D5257"/>
    <w:rsid w:val="005D530D"/>
    <w:rsid w:val="005D536D"/>
    <w:rsid w:val="005D53F1"/>
    <w:rsid w:val="005D5591"/>
    <w:rsid w:val="005D56FC"/>
    <w:rsid w:val="005D5856"/>
    <w:rsid w:val="005D5882"/>
    <w:rsid w:val="005D5954"/>
    <w:rsid w:val="005D5994"/>
    <w:rsid w:val="005D5B5C"/>
    <w:rsid w:val="005D5C46"/>
    <w:rsid w:val="005D5CC3"/>
    <w:rsid w:val="005D5CF4"/>
    <w:rsid w:val="005D5EF9"/>
    <w:rsid w:val="005D5F52"/>
    <w:rsid w:val="005D62AA"/>
    <w:rsid w:val="005D62ED"/>
    <w:rsid w:val="005D631D"/>
    <w:rsid w:val="005D647D"/>
    <w:rsid w:val="005D6493"/>
    <w:rsid w:val="005D6545"/>
    <w:rsid w:val="005D65D7"/>
    <w:rsid w:val="005D6957"/>
    <w:rsid w:val="005D6BDF"/>
    <w:rsid w:val="005D6CC1"/>
    <w:rsid w:val="005D6D29"/>
    <w:rsid w:val="005D6E53"/>
    <w:rsid w:val="005D6E86"/>
    <w:rsid w:val="005D6F84"/>
    <w:rsid w:val="005D7018"/>
    <w:rsid w:val="005D710B"/>
    <w:rsid w:val="005D71FF"/>
    <w:rsid w:val="005D7293"/>
    <w:rsid w:val="005D7445"/>
    <w:rsid w:val="005D7462"/>
    <w:rsid w:val="005D74EC"/>
    <w:rsid w:val="005D7522"/>
    <w:rsid w:val="005D7599"/>
    <w:rsid w:val="005D7619"/>
    <w:rsid w:val="005D7632"/>
    <w:rsid w:val="005D7663"/>
    <w:rsid w:val="005D7695"/>
    <w:rsid w:val="005D76FB"/>
    <w:rsid w:val="005D7738"/>
    <w:rsid w:val="005D794A"/>
    <w:rsid w:val="005D7BF2"/>
    <w:rsid w:val="005D7D9D"/>
    <w:rsid w:val="005D7E2B"/>
    <w:rsid w:val="005D7E4D"/>
    <w:rsid w:val="005D7E61"/>
    <w:rsid w:val="005D7F70"/>
    <w:rsid w:val="005E04E9"/>
    <w:rsid w:val="005E0514"/>
    <w:rsid w:val="005E0542"/>
    <w:rsid w:val="005E074F"/>
    <w:rsid w:val="005E07AC"/>
    <w:rsid w:val="005E07D9"/>
    <w:rsid w:val="005E082B"/>
    <w:rsid w:val="005E086D"/>
    <w:rsid w:val="005E0992"/>
    <w:rsid w:val="005E0B5F"/>
    <w:rsid w:val="005E0C71"/>
    <w:rsid w:val="005E0CC5"/>
    <w:rsid w:val="005E0DAF"/>
    <w:rsid w:val="005E0E3B"/>
    <w:rsid w:val="005E10E5"/>
    <w:rsid w:val="005E11D4"/>
    <w:rsid w:val="005E1387"/>
    <w:rsid w:val="005E1438"/>
    <w:rsid w:val="005E1620"/>
    <w:rsid w:val="005E1783"/>
    <w:rsid w:val="005E17E1"/>
    <w:rsid w:val="005E1864"/>
    <w:rsid w:val="005E1976"/>
    <w:rsid w:val="005E1A0E"/>
    <w:rsid w:val="005E1A39"/>
    <w:rsid w:val="005E1C94"/>
    <w:rsid w:val="005E1CC5"/>
    <w:rsid w:val="005E1CC8"/>
    <w:rsid w:val="005E1CEB"/>
    <w:rsid w:val="005E1D91"/>
    <w:rsid w:val="005E1DD6"/>
    <w:rsid w:val="005E1E2D"/>
    <w:rsid w:val="005E1E3A"/>
    <w:rsid w:val="005E1EF6"/>
    <w:rsid w:val="005E200D"/>
    <w:rsid w:val="005E20B2"/>
    <w:rsid w:val="005E20EE"/>
    <w:rsid w:val="005E2232"/>
    <w:rsid w:val="005E22CE"/>
    <w:rsid w:val="005E23EC"/>
    <w:rsid w:val="005E24E4"/>
    <w:rsid w:val="005E254D"/>
    <w:rsid w:val="005E2567"/>
    <w:rsid w:val="005E2666"/>
    <w:rsid w:val="005E2760"/>
    <w:rsid w:val="005E283C"/>
    <w:rsid w:val="005E28BF"/>
    <w:rsid w:val="005E2923"/>
    <w:rsid w:val="005E29F8"/>
    <w:rsid w:val="005E2B75"/>
    <w:rsid w:val="005E2BA1"/>
    <w:rsid w:val="005E2C51"/>
    <w:rsid w:val="005E2D3C"/>
    <w:rsid w:val="005E2DA0"/>
    <w:rsid w:val="005E2DBC"/>
    <w:rsid w:val="005E2E94"/>
    <w:rsid w:val="005E2F0E"/>
    <w:rsid w:val="005E2F67"/>
    <w:rsid w:val="005E301A"/>
    <w:rsid w:val="005E30E5"/>
    <w:rsid w:val="005E31AA"/>
    <w:rsid w:val="005E3218"/>
    <w:rsid w:val="005E32DA"/>
    <w:rsid w:val="005E33C0"/>
    <w:rsid w:val="005E35C2"/>
    <w:rsid w:val="005E35F0"/>
    <w:rsid w:val="005E36F8"/>
    <w:rsid w:val="005E3779"/>
    <w:rsid w:val="005E38F4"/>
    <w:rsid w:val="005E39A3"/>
    <w:rsid w:val="005E3A27"/>
    <w:rsid w:val="005E3A7F"/>
    <w:rsid w:val="005E3B13"/>
    <w:rsid w:val="005E3CA3"/>
    <w:rsid w:val="005E3D1E"/>
    <w:rsid w:val="005E3E23"/>
    <w:rsid w:val="005E3EBA"/>
    <w:rsid w:val="005E4004"/>
    <w:rsid w:val="005E469A"/>
    <w:rsid w:val="005E46A6"/>
    <w:rsid w:val="005E47BC"/>
    <w:rsid w:val="005E47D0"/>
    <w:rsid w:val="005E4824"/>
    <w:rsid w:val="005E4846"/>
    <w:rsid w:val="005E49A1"/>
    <w:rsid w:val="005E4AFA"/>
    <w:rsid w:val="005E4B1E"/>
    <w:rsid w:val="005E4B68"/>
    <w:rsid w:val="005E4C1C"/>
    <w:rsid w:val="005E4C75"/>
    <w:rsid w:val="005E4CEF"/>
    <w:rsid w:val="005E4D00"/>
    <w:rsid w:val="005E4D2C"/>
    <w:rsid w:val="005E4D45"/>
    <w:rsid w:val="005E4DB3"/>
    <w:rsid w:val="005E4E2C"/>
    <w:rsid w:val="005E4E41"/>
    <w:rsid w:val="005E5068"/>
    <w:rsid w:val="005E512B"/>
    <w:rsid w:val="005E5243"/>
    <w:rsid w:val="005E5453"/>
    <w:rsid w:val="005E54B2"/>
    <w:rsid w:val="005E557E"/>
    <w:rsid w:val="005E56DC"/>
    <w:rsid w:val="005E5900"/>
    <w:rsid w:val="005E59CB"/>
    <w:rsid w:val="005E59D7"/>
    <w:rsid w:val="005E5AE2"/>
    <w:rsid w:val="005E5D1F"/>
    <w:rsid w:val="005E5D3F"/>
    <w:rsid w:val="005E5E2B"/>
    <w:rsid w:val="005E5E7F"/>
    <w:rsid w:val="005E5EB8"/>
    <w:rsid w:val="005E5F9F"/>
    <w:rsid w:val="005E5FA1"/>
    <w:rsid w:val="005E6072"/>
    <w:rsid w:val="005E608F"/>
    <w:rsid w:val="005E60B0"/>
    <w:rsid w:val="005E6109"/>
    <w:rsid w:val="005E61DD"/>
    <w:rsid w:val="005E6211"/>
    <w:rsid w:val="005E622E"/>
    <w:rsid w:val="005E6317"/>
    <w:rsid w:val="005E6517"/>
    <w:rsid w:val="005E654D"/>
    <w:rsid w:val="005E688D"/>
    <w:rsid w:val="005E6A87"/>
    <w:rsid w:val="005E6B5F"/>
    <w:rsid w:val="005E6B92"/>
    <w:rsid w:val="005E6C8E"/>
    <w:rsid w:val="005E6D1C"/>
    <w:rsid w:val="005E6E61"/>
    <w:rsid w:val="005E6EE5"/>
    <w:rsid w:val="005E6EFE"/>
    <w:rsid w:val="005E6F76"/>
    <w:rsid w:val="005E6FCB"/>
    <w:rsid w:val="005E6FDA"/>
    <w:rsid w:val="005E7021"/>
    <w:rsid w:val="005E70DD"/>
    <w:rsid w:val="005E718C"/>
    <w:rsid w:val="005E7310"/>
    <w:rsid w:val="005E74C3"/>
    <w:rsid w:val="005E75F6"/>
    <w:rsid w:val="005E768C"/>
    <w:rsid w:val="005E76BF"/>
    <w:rsid w:val="005E7725"/>
    <w:rsid w:val="005E792A"/>
    <w:rsid w:val="005E7B2C"/>
    <w:rsid w:val="005E7B5B"/>
    <w:rsid w:val="005E7B98"/>
    <w:rsid w:val="005E7BC6"/>
    <w:rsid w:val="005E7C67"/>
    <w:rsid w:val="005E7D3F"/>
    <w:rsid w:val="005E7DF1"/>
    <w:rsid w:val="005E7E98"/>
    <w:rsid w:val="005E7EBB"/>
    <w:rsid w:val="005E7F97"/>
    <w:rsid w:val="005F0151"/>
    <w:rsid w:val="005F01EB"/>
    <w:rsid w:val="005F0210"/>
    <w:rsid w:val="005F031D"/>
    <w:rsid w:val="005F0335"/>
    <w:rsid w:val="005F0396"/>
    <w:rsid w:val="005F03AF"/>
    <w:rsid w:val="005F0428"/>
    <w:rsid w:val="005F04A5"/>
    <w:rsid w:val="005F0528"/>
    <w:rsid w:val="005F0538"/>
    <w:rsid w:val="005F056B"/>
    <w:rsid w:val="005F065F"/>
    <w:rsid w:val="005F06C4"/>
    <w:rsid w:val="005F072B"/>
    <w:rsid w:val="005F073A"/>
    <w:rsid w:val="005F0743"/>
    <w:rsid w:val="005F074A"/>
    <w:rsid w:val="005F079A"/>
    <w:rsid w:val="005F0A0B"/>
    <w:rsid w:val="005F0D63"/>
    <w:rsid w:val="005F0DAA"/>
    <w:rsid w:val="005F0F57"/>
    <w:rsid w:val="005F108E"/>
    <w:rsid w:val="005F13FE"/>
    <w:rsid w:val="005F16A7"/>
    <w:rsid w:val="005F1724"/>
    <w:rsid w:val="005F1877"/>
    <w:rsid w:val="005F1972"/>
    <w:rsid w:val="005F19A0"/>
    <w:rsid w:val="005F1B37"/>
    <w:rsid w:val="005F1CC2"/>
    <w:rsid w:val="005F1E99"/>
    <w:rsid w:val="005F203A"/>
    <w:rsid w:val="005F2046"/>
    <w:rsid w:val="005F210C"/>
    <w:rsid w:val="005F231D"/>
    <w:rsid w:val="005F2355"/>
    <w:rsid w:val="005F239E"/>
    <w:rsid w:val="005F23FB"/>
    <w:rsid w:val="005F24B1"/>
    <w:rsid w:val="005F24B8"/>
    <w:rsid w:val="005F258B"/>
    <w:rsid w:val="005F2611"/>
    <w:rsid w:val="005F296B"/>
    <w:rsid w:val="005F2A69"/>
    <w:rsid w:val="005F2AB6"/>
    <w:rsid w:val="005F2AEB"/>
    <w:rsid w:val="005F2C03"/>
    <w:rsid w:val="005F2C9C"/>
    <w:rsid w:val="005F2CB6"/>
    <w:rsid w:val="005F2E29"/>
    <w:rsid w:val="005F2E5B"/>
    <w:rsid w:val="005F2E70"/>
    <w:rsid w:val="005F2F06"/>
    <w:rsid w:val="005F2FBE"/>
    <w:rsid w:val="005F303E"/>
    <w:rsid w:val="005F314A"/>
    <w:rsid w:val="005F3199"/>
    <w:rsid w:val="005F3239"/>
    <w:rsid w:val="005F329D"/>
    <w:rsid w:val="005F32B9"/>
    <w:rsid w:val="005F32C5"/>
    <w:rsid w:val="005F32DC"/>
    <w:rsid w:val="005F32F4"/>
    <w:rsid w:val="005F3315"/>
    <w:rsid w:val="005F33C2"/>
    <w:rsid w:val="005F3549"/>
    <w:rsid w:val="005F354D"/>
    <w:rsid w:val="005F35ED"/>
    <w:rsid w:val="005F368D"/>
    <w:rsid w:val="005F36A7"/>
    <w:rsid w:val="005F37E8"/>
    <w:rsid w:val="005F3857"/>
    <w:rsid w:val="005F3945"/>
    <w:rsid w:val="005F3958"/>
    <w:rsid w:val="005F39D7"/>
    <w:rsid w:val="005F3AF3"/>
    <w:rsid w:val="005F3F0D"/>
    <w:rsid w:val="005F3FAE"/>
    <w:rsid w:val="005F3FE7"/>
    <w:rsid w:val="005F4025"/>
    <w:rsid w:val="005F4037"/>
    <w:rsid w:val="005F417D"/>
    <w:rsid w:val="005F41DB"/>
    <w:rsid w:val="005F4238"/>
    <w:rsid w:val="005F4348"/>
    <w:rsid w:val="005F4392"/>
    <w:rsid w:val="005F4405"/>
    <w:rsid w:val="005F4450"/>
    <w:rsid w:val="005F46F0"/>
    <w:rsid w:val="005F4706"/>
    <w:rsid w:val="005F4734"/>
    <w:rsid w:val="005F47B7"/>
    <w:rsid w:val="005F480B"/>
    <w:rsid w:val="005F482A"/>
    <w:rsid w:val="005F48AB"/>
    <w:rsid w:val="005F4B23"/>
    <w:rsid w:val="005F4BB8"/>
    <w:rsid w:val="005F4BD6"/>
    <w:rsid w:val="005F4BD8"/>
    <w:rsid w:val="005F4D1E"/>
    <w:rsid w:val="005F4D61"/>
    <w:rsid w:val="005F4FFC"/>
    <w:rsid w:val="005F504F"/>
    <w:rsid w:val="005F5091"/>
    <w:rsid w:val="005F50A5"/>
    <w:rsid w:val="005F51A2"/>
    <w:rsid w:val="005F5291"/>
    <w:rsid w:val="005F5300"/>
    <w:rsid w:val="005F5336"/>
    <w:rsid w:val="005F5358"/>
    <w:rsid w:val="005F540C"/>
    <w:rsid w:val="005F54B0"/>
    <w:rsid w:val="005F5579"/>
    <w:rsid w:val="005F565B"/>
    <w:rsid w:val="005F571C"/>
    <w:rsid w:val="005F5752"/>
    <w:rsid w:val="005F575D"/>
    <w:rsid w:val="005F5880"/>
    <w:rsid w:val="005F58CE"/>
    <w:rsid w:val="005F5905"/>
    <w:rsid w:val="005F5945"/>
    <w:rsid w:val="005F59E7"/>
    <w:rsid w:val="005F5A1B"/>
    <w:rsid w:val="005F5ADB"/>
    <w:rsid w:val="005F5CD8"/>
    <w:rsid w:val="005F5E34"/>
    <w:rsid w:val="005F5E77"/>
    <w:rsid w:val="005F5EC3"/>
    <w:rsid w:val="005F5F6C"/>
    <w:rsid w:val="005F5F7A"/>
    <w:rsid w:val="005F5FAD"/>
    <w:rsid w:val="005F6004"/>
    <w:rsid w:val="005F60A3"/>
    <w:rsid w:val="005F6135"/>
    <w:rsid w:val="005F61A4"/>
    <w:rsid w:val="005F6323"/>
    <w:rsid w:val="005F634C"/>
    <w:rsid w:val="005F63F8"/>
    <w:rsid w:val="005F668D"/>
    <w:rsid w:val="005F669A"/>
    <w:rsid w:val="005F66A8"/>
    <w:rsid w:val="005F6712"/>
    <w:rsid w:val="005F6769"/>
    <w:rsid w:val="005F67FE"/>
    <w:rsid w:val="005F6859"/>
    <w:rsid w:val="005F6886"/>
    <w:rsid w:val="005F6A8F"/>
    <w:rsid w:val="005F6B18"/>
    <w:rsid w:val="005F6B39"/>
    <w:rsid w:val="005F6B60"/>
    <w:rsid w:val="005F6BEF"/>
    <w:rsid w:val="005F6BF9"/>
    <w:rsid w:val="005F6C9A"/>
    <w:rsid w:val="005F6DEF"/>
    <w:rsid w:val="005F6E1A"/>
    <w:rsid w:val="005F6E24"/>
    <w:rsid w:val="005F6E36"/>
    <w:rsid w:val="005F6EC8"/>
    <w:rsid w:val="005F6F79"/>
    <w:rsid w:val="005F709E"/>
    <w:rsid w:val="005F70BF"/>
    <w:rsid w:val="005F71B3"/>
    <w:rsid w:val="005F71DF"/>
    <w:rsid w:val="005F7247"/>
    <w:rsid w:val="005F73DC"/>
    <w:rsid w:val="005F756E"/>
    <w:rsid w:val="005F76EE"/>
    <w:rsid w:val="005F780C"/>
    <w:rsid w:val="005F7BC0"/>
    <w:rsid w:val="005F7DD9"/>
    <w:rsid w:val="00600023"/>
    <w:rsid w:val="00600116"/>
    <w:rsid w:val="006001A1"/>
    <w:rsid w:val="00600209"/>
    <w:rsid w:val="0060020E"/>
    <w:rsid w:val="00600215"/>
    <w:rsid w:val="0060043A"/>
    <w:rsid w:val="0060056B"/>
    <w:rsid w:val="0060059B"/>
    <w:rsid w:val="006005E8"/>
    <w:rsid w:val="0060062E"/>
    <w:rsid w:val="00600639"/>
    <w:rsid w:val="0060066D"/>
    <w:rsid w:val="00600727"/>
    <w:rsid w:val="0060072E"/>
    <w:rsid w:val="006007A3"/>
    <w:rsid w:val="0060082B"/>
    <w:rsid w:val="0060090D"/>
    <w:rsid w:val="00600914"/>
    <w:rsid w:val="00600930"/>
    <w:rsid w:val="00600A15"/>
    <w:rsid w:val="00600A76"/>
    <w:rsid w:val="00600B8F"/>
    <w:rsid w:val="00600BBD"/>
    <w:rsid w:val="00600BCF"/>
    <w:rsid w:val="00600BF6"/>
    <w:rsid w:val="00600C3A"/>
    <w:rsid w:val="00600CA2"/>
    <w:rsid w:val="00600CA4"/>
    <w:rsid w:val="00600CAC"/>
    <w:rsid w:val="00600DC9"/>
    <w:rsid w:val="00600F81"/>
    <w:rsid w:val="00600F88"/>
    <w:rsid w:val="00600FF6"/>
    <w:rsid w:val="006010A1"/>
    <w:rsid w:val="006011C7"/>
    <w:rsid w:val="00601228"/>
    <w:rsid w:val="006012CE"/>
    <w:rsid w:val="006012D9"/>
    <w:rsid w:val="00601307"/>
    <w:rsid w:val="006013F2"/>
    <w:rsid w:val="006014E3"/>
    <w:rsid w:val="00601617"/>
    <w:rsid w:val="006016AE"/>
    <w:rsid w:val="006016E8"/>
    <w:rsid w:val="0060170E"/>
    <w:rsid w:val="00601717"/>
    <w:rsid w:val="006017DC"/>
    <w:rsid w:val="00601814"/>
    <w:rsid w:val="00601823"/>
    <w:rsid w:val="0060182E"/>
    <w:rsid w:val="006018EF"/>
    <w:rsid w:val="00601918"/>
    <w:rsid w:val="0060193B"/>
    <w:rsid w:val="00601A06"/>
    <w:rsid w:val="00601A87"/>
    <w:rsid w:val="00601B3A"/>
    <w:rsid w:val="00601BE7"/>
    <w:rsid w:val="00601C57"/>
    <w:rsid w:val="00602060"/>
    <w:rsid w:val="006023C4"/>
    <w:rsid w:val="006024AE"/>
    <w:rsid w:val="00602522"/>
    <w:rsid w:val="0060253D"/>
    <w:rsid w:val="006025C5"/>
    <w:rsid w:val="006025E5"/>
    <w:rsid w:val="0060268F"/>
    <w:rsid w:val="006026E4"/>
    <w:rsid w:val="006026F2"/>
    <w:rsid w:val="0060274C"/>
    <w:rsid w:val="0060279F"/>
    <w:rsid w:val="00602925"/>
    <w:rsid w:val="006029F8"/>
    <w:rsid w:val="00602B21"/>
    <w:rsid w:val="00602B41"/>
    <w:rsid w:val="00602B50"/>
    <w:rsid w:val="00602B53"/>
    <w:rsid w:val="00602BBF"/>
    <w:rsid w:val="00602BE7"/>
    <w:rsid w:val="00602E59"/>
    <w:rsid w:val="00602E83"/>
    <w:rsid w:val="00602E93"/>
    <w:rsid w:val="00602EC6"/>
    <w:rsid w:val="00602EE3"/>
    <w:rsid w:val="00602F5C"/>
    <w:rsid w:val="00602F7E"/>
    <w:rsid w:val="00603059"/>
    <w:rsid w:val="00603514"/>
    <w:rsid w:val="0060356B"/>
    <w:rsid w:val="00603670"/>
    <w:rsid w:val="00603715"/>
    <w:rsid w:val="006037D9"/>
    <w:rsid w:val="0060381F"/>
    <w:rsid w:val="00603B54"/>
    <w:rsid w:val="00603C43"/>
    <w:rsid w:val="00603D83"/>
    <w:rsid w:val="00603EB1"/>
    <w:rsid w:val="0060402D"/>
    <w:rsid w:val="00604067"/>
    <w:rsid w:val="0060411D"/>
    <w:rsid w:val="00604187"/>
    <w:rsid w:val="006043CB"/>
    <w:rsid w:val="006043D0"/>
    <w:rsid w:val="006043DD"/>
    <w:rsid w:val="00604400"/>
    <w:rsid w:val="006044C2"/>
    <w:rsid w:val="006044FB"/>
    <w:rsid w:val="00604650"/>
    <w:rsid w:val="00604682"/>
    <w:rsid w:val="006046DC"/>
    <w:rsid w:val="00604705"/>
    <w:rsid w:val="00604761"/>
    <w:rsid w:val="00604821"/>
    <w:rsid w:val="006048B5"/>
    <w:rsid w:val="0060497A"/>
    <w:rsid w:val="00604AE9"/>
    <w:rsid w:val="00604D10"/>
    <w:rsid w:val="00604E4E"/>
    <w:rsid w:val="00604F71"/>
    <w:rsid w:val="00604FE5"/>
    <w:rsid w:val="00605057"/>
    <w:rsid w:val="006050A6"/>
    <w:rsid w:val="006050B9"/>
    <w:rsid w:val="006050E6"/>
    <w:rsid w:val="0060527C"/>
    <w:rsid w:val="0060528F"/>
    <w:rsid w:val="00605337"/>
    <w:rsid w:val="0060536C"/>
    <w:rsid w:val="00605446"/>
    <w:rsid w:val="00605566"/>
    <w:rsid w:val="00605736"/>
    <w:rsid w:val="00605757"/>
    <w:rsid w:val="0060588F"/>
    <w:rsid w:val="006058AB"/>
    <w:rsid w:val="006058DB"/>
    <w:rsid w:val="00605903"/>
    <w:rsid w:val="006059E8"/>
    <w:rsid w:val="00605A2C"/>
    <w:rsid w:val="00605A93"/>
    <w:rsid w:val="00605B05"/>
    <w:rsid w:val="00605B1F"/>
    <w:rsid w:val="00605B67"/>
    <w:rsid w:val="00605BAC"/>
    <w:rsid w:val="00605BEF"/>
    <w:rsid w:val="00605D48"/>
    <w:rsid w:val="00605EDA"/>
    <w:rsid w:val="00605F6F"/>
    <w:rsid w:val="00606049"/>
    <w:rsid w:val="00606070"/>
    <w:rsid w:val="00606084"/>
    <w:rsid w:val="00606115"/>
    <w:rsid w:val="00606298"/>
    <w:rsid w:val="006062A0"/>
    <w:rsid w:val="006062AC"/>
    <w:rsid w:val="006062BF"/>
    <w:rsid w:val="00606329"/>
    <w:rsid w:val="006063C3"/>
    <w:rsid w:val="0060648B"/>
    <w:rsid w:val="006064E4"/>
    <w:rsid w:val="006064EF"/>
    <w:rsid w:val="0060659D"/>
    <w:rsid w:val="00606872"/>
    <w:rsid w:val="00606873"/>
    <w:rsid w:val="0060688A"/>
    <w:rsid w:val="006068BF"/>
    <w:rsid w:val="0060690C"/>
    <w:rsid w:val="006069A9"/>
    <w:rsid w:val="006069D8"/>
    <w:rsid w:val="006069FA"/>
    <w:rsid w:val="00606A32"/>
    <w:rsid w:val="00606A3A"/>
    <w:rsid w:val="00606D2D"/>
    <w:rsid w:val="00606E06"/>
    <w:rsid w:val="00606EEF"/>
    <w:rsid w:val="00606F5F"/>
    <w:rsid w:val="00607292"/>
    <w:rsid w:val="006072FE"/>
    <w:rsid w:val="00607438"/>
    <w:rsid w:val="00607522"/>
    <w:rsid w:val="0060784A"/>
    <w:rsid w:val="006078D7"/>
    <w:rsid w:val="00607965"/>
    <w:rsid w:val="00607999"/>
    <w:rsid w:val="006079DE"/>
    <w:rsid w:val="00607A2B"/>
    <w:rsid w:val="00607AE2"/>
    <w:rsid w:val="00607BDB"/>
    <w:rsid w:val="00607C19"/>
    <w:rsid w:val="00607CAD"/>
    <w:rsid w:val="00607DB6"/>
    <w:rsid w:val="00607DE9"/>
    <w:rsid w:val="00607ED6"/>
    <w:rsid w:val="00610068"/>
    <w:rsid w:val="00610271"/>
    <w:rsid w:val="0061029D"/>
    <w:rsid w:val="006102CC"/>
    <w:rsid w:val="006102D5"/>
    <w:rsid w:val="0061042B"/>
    <w:rsid w:val="00610523"/>
    <w:rsid w:val="006105F6"/>
    <w:rsid w:val="0061068B"/>
    <w:rsid w:val="006106EC"/>
    <w:rsid w:val="00610713"/>
    <w:rsid w:val="00610813"/>
    <w:rsid w:val="0061081A"/>
    <w:rsid w:val="0061085F"/>
    <w:rsid w:val="006108BB"/>
    <w:rsid w:val="006108CA"/>
    <w:rsid w:val="00610985"/>
    <w:rsid w:val="00610A68"/>
    <w:rsid w:val="00610AAD"/>
    <w:rsid w:val="00610AAE"/>
    <w:rsid w:val="00610C8A"/>
    <w:rsid w:val="00610E35"/>
    <w:rsid w:val="0061109B"/>
    <w:rsid w:val="0061115A"/>
    <w:rsid w:val="006111FC"/>
    <w:rsid w:val="006113D2"/>
    <w:rsid w:val="006113D7"/>
    <w:rsid w:val="00611437"/>
    <w:rsid w:val="00611446"/>
    <w:rsid w:val="00611489"/>
    <w:rsid w:val="006114BB"/>
    <w:rsid w:val="006114C9"/>
    <w:rsid w:val="0061159E"/>
    <w:rsid w:val="00611744"/>
    <w:rsid w:val="006119C5"/>
    <w:rsid w:val="006119E5"/>
    <w:rsid w:val="00611A05"/>
    <w:rsid w:val="00611A0B"/>
    <w:rsid w:val="00611A8A"/>
    <w:rsid w:val="00611B86"/>
    <w:rsid w:val="00611BF3"/>
    <w:rsid w:val="00611DC8"/>
    <w:rsid w:val="00611DF4"/>
    <w:rsid w:val="00611FBA"/>
    <w:rsid w:val="00611FD6"/>
    <w:rsid w:val="00612004"/>
    <w:rsid w:val="00612076"/>
    <w:rsid w:val="006120AE"/>
    <w:rsid w:val="0061227A"/>
    <w:rsid w:val="006123FA"/>
    <w:rsid w:val="006124F0"/>
    <w:rsid w:val="006124FB"/>
    <w:rsid w:val="006125A6"/>
    <w:rsid w:val="00612609"/>
    <w:rsid w:val="006126DD"/>
    <w:rsid w:val="00612767"/>
    <w:rsid w:val="006127CE"/>
    <w:rsid w:val="006127E6"/>
    <w:rsid w:val="00612AC7"/>
    <w:rsid w:val="00612B5A"/>
    <w:rsid w:val="00612B5F"/>
    <w:rsid w:val="00612C9F"/>
    <w:rsid w:val="00612CEC"/>
    <w:rsid w:val="00612CFD"/>
    <w:rsid w:val="00612E42"/>
    <w:rsid w:val="0061308A"/>
    <w:rsid w:val="00613233"/>
    <w:rsid w:val="00613244"/>
    <w:rsid w:val="006132B4"/>
    <w:rsid w:val="006132F4"/>
    <w:rsid w:val="0061333B"/>
    <w:rsid w:val="006133F2"/>
    <w:rsid w:val="00613428"/>
    <w:rsid w:val="00613487"/>
    <w:rsid w:val="006135E0"/>
    <w:rsid w:val="00613654"/>
    <w:rsid w:val="00613720"/>
    <w:rsid w:val="00613765"/>
    <w:rsid w:val="006137F2"/>
    <w:rsid w:val="00613820"/>
    <w:rsid w:val="00613830"/>
    <w:rsid w:val="00613BCE"/>
    <w:rsid w:val="00613C93"/>
    <w:rsid w:val="00613DB9"/>
    <w:rsid w:val="00613DFD"/>
    <w:rsid w:val="00613F67"/>
    <w:rsid w:val="00613F6F"/>
    <w:rsid w:val="00613F9C"/>
    <w:rsid w:val="00614091"/>
    <w:rsid w:val="006143FC"/>
    <w:rsid w:val="00614432"/>
    <w:rsid w:val="006144AB"/>
    <w:rsid w:val="006145A9"/>
    <w:rsid w:val="006145C6"/>
    <w:rsid w:val="006146C2"/>
    <w:rsid w:val="00614907"/>
    <w:rsid w:val="00614ABF"/>
    <w:rsid w:val="00614B55"/>
    <w:rsid w:val="00614B73"/>
    <w:rsid w:val="00614BBE"/>
    <w:rsid w:val="00614C73"/>
    <w:rsid w:val="00614E5B"/>
    <w:rsid w:val="00614F09"/>
    <w:rsid w:val="00614F30"/>
    <w:rsid w:val="00614F39"/>
    <w:rsid w:val="00615032"/>
    <w:rsid w:val="0061511B"/>
    <w:rsid w:val="00615308"/>
    <w:rsid w:val="0061534B"/>
    <w:rsid w:val="00615376"/>
    <w:rsid w:val="006153C6"/>
    <w:rsid w:val="0061555D"/>
    <w:rsid w:val="00615665"/>
    <w:rsid w:val="00615669"/>
    <w:rsid w:val="006156CC"/>
    <w:rsid w:val="00615839"/>
    <w:rsid w:val="00615A79"/>
    <w:rsid w:val="00615AA9"/>
    <w:rsid w:val="00615B7C"/>
    <w:rsid w:val="00615BE7"/>
    <w:rsid w:val="00615C72"/>
    <w:rsid w:val="00615C9D"/>
    <w:rsid w:val="00615CC5"/>
    <w:rsid w:val="00615E08"/>
    <w:rsid w:val="00616053"/>
    <w:rsid w:val="006160CC"/>
    <w:rsid w:val="00616261"/>
    <w:rsid w:val="006162BC"/>
    <w:rsid w:val="006166D8"/>
    <w:rsid w:val="00616711"/>
    <w:rsid w:val="00616811"/>
    <w:rsid w:val="00616891"/>
    <w:rsid w:val="00616900"/>
    <w:rsid w:val="00616916"/>
    <w:rsid w:val="00616975"/>
    <w:rsid w:val="00616990"/>
    <w:rsid w:val="00616A6C"/>
    <w:rsid w:val="00616B1E"/>
    <w:rsid w:val="00616B2C"/>
    <w:rsid w:val="00616BC8"/>
    <w:rsid w:val="00616BE0"/>
    <w:rsid w:val="00616CBE"/>
    <w:rsid w:val="00616D1A"/>
    <w:rsid w:val="00616F1E"/>
    <w:rsid w:val="00616F25"/>
    <w:rsid w:val="00616FB5"/>
    <w:rsid w:val="00617012"/>
    <w:rsid w:val="0061703E"/>
    <w:rsid w:val="0061706C"/>
    <w:rsid w:val="006172CF"/>
    <w:rsid w:val="00617483"/>
    <w:rsid w:val="006176F3"/>
    <w:rsid w:val="00617709"/>
    <w:rsid w:val="00617746"/>
    <w:rsid w:val="00617761"/>
    <w:rsid w:val="0061776A"/>
    <w:rsid w:val="006177CA"/>
    <w:rsid w:val="00617B13"/>
    <w:rsid w:val="00617B4F"/>
    <w:rsid w:val="00617BFE"/>
    <w:rsid w:val="00617C34"/>
    <w:rsid w:val="00617C95"/>
    <w:rsid w:val="00617F63"/>
    <w:rsid w:val="00617F65"/>
    <w:rsid w:val="00617F90"/>
    <w:rsid w:val="00617FDD"/>
    <w:rsid w:val="0062000B"/>
    <w:rsid w:val="006200A1"/>
    <w:rsid w:val="0062012E"/>
    <w:rsid w:val="00620736"/>
    <w:rsid w:val="00620838"/>
    <w:rsid w:val="006208AD"/>
    <w:rsid w:val="006208FE"/>
    <w:rsid w:val="0062099E"/>
    <w:rsid w:val="006209AC"/>
    <w:rsid w:val="00620B72"/>
    <w:rsid w:val="00620BE5"/>
    <w:rsid w:val="00620D3D"/>
    <w:rsid w:val="00620D69"/>
    <w:rsid w:val="00620E59"/>
    <w:rsid w:val="00620E97"/>
    <w:rsid w:val="00620EE7"/>
    <w:rsid w:val="00620F14"/>
    <w:rsid w:val="00620F64"/>
    <w:rsid w:val="00620F86"/>
    <w:rsid w:val="00620FC6"/>
    <w:rsid w:val="00620FEC"/>
    <w:rsid w:val="006210EC"/>
    <w:rsid w:val="006213BF"/>
    <w:rsid w:val="00621617"/>
    <w:rsid w:val="006216B2"/>
    <w:rsid w:val="006216ED"/>
    <w:rsid w:val="006216EE"/>
    <w:rsid w:val="00621794"/>
    <w:rsid w:val="006218D4"/>
    <w:rsid w:val="006219A0"/>
    <w:rsid w:val="00621B49"/>
    <w:rsid w:val="00621B97"/>
    <w:rsid w:val="00621CFB"/>
    <w:rsid w:val="00621E41"/>
    <w:rsid w:val="00621F87"/>
    <w:rsid w:val="00621FDE"/>
    <w:rsid w:val="006220A2"/>
    <w:rsid w:val="006220FA"/>
    <w:rsid w:val="00622227"/>
    <w:rsid w:val="00622328"/>
    <w:rsid w:val="006224A6"/>
    <w:rsid w:val="006226E4"/>
    <w:rsid w:val="00622739"/>
    <w:rsid w:val="006227A6"/>
    <w:rsid w:val="006227C7"/>
    <w:rsid w:val="00622868"/>
    <w:rsid w:val="006228C6"/>
    <w:rsid w:val="00622923"/>
    <w:rsid w:val="00622B36"/>
    <w:rsid w:val="00622C2C"/>
    <w:rsid w:val="00622D01"/>
    <w:rsid w:val="00622D35"/>
    <w:rsid w:val="00622D91"/>
    <w:rsid w:val="00622DE0"/>
    <w:rsid w:val="00622F97"/>
    <w:rsid w:val="006231A4"/>
    <w:rsid w:val="006231B2"/>
    <w:rsid w:val="006231B8"/>
    <w:rsid w:val="006231D1"/>
    <w:rsid w:val="006231DC"/>
    <w:rsid w:val="00623228"/>
    <w:rsid w:val="006232D1"/>
    <w:rsid w:val="0062333F"/>
    <w:rsid w:val="006233BB"/>
    <w:rsid w:val="0062343F"/>
    <w:rsid w:val="00623447"/>
    <w:rsid w:val="0062349D"/>
    <w:rsid w:val="0062352E"/>
    <w:rsid w:val="0062356F"/>
    <w:rsid w:val="0062357A"/>
    <w:rsid w:val="00623591"/>
    <w:rsid w:val="0062359F"/>
    <w:rsid w:val="00623716"/>
    <w:rsid w:val="00623837"/>
    <w:rsid w:val="006238CD"/>
    <w:rsid w:val="00623935"/>
    <w:rsid w:val="006239F1"/>
    <w:rsid w:val="00623CFE"/>
    <w:rsid w:val="00623D03"/>
    <w:rsid w:val="00623D6C"/>
    <w:rsid w:val="0062401D"/>
    <w:rsid w:val="0062414E"/>
    <w:rsid w:val="006242C1"/>
    <w:rsid w:val="0062433D"/>
    <w:rsid w:val="0062442E"/>
    <w:rsid w:val="00624465"/>
    <w:rsid w:val="006244A8"/>
    <w:rsid w:val="00624567"/>
    <w:rsid w:val="00624577"/>
    <w:rsid w:val="0062464D"/>
    <w:rsid w:val="0062471B"/>
    <w:rsid w:val="00624838"/>
    <w:rsid w:val="00624858"/>
    <w:rsid w:val="0062487E"/>
    <w:rsid w:val="006248D5"/>
    <w:rsid w:val="006248EC"/>
    <w:rsid w:val="006248FE"/>
    <w:rsid w:val="0062497C"/>
    <w:rsid w:val="0062499A"/>
    <w:rsid w:val="00624A2A"/>
    <w:rsid w:val="00624A37"/>
    <w:rsid w:val="00624A95"/>
    <w:rsid w:val="00624AB3"/>
    <w:rsid w:val="00624ACF"/>
    <w:rsid w:val="00624BB4"/>
    <w:rsid w:val="00624C42"/>
    <w:rsid w:val="00624C4D"/>
    <w:rsid w:val="00624C6A"/>
    <w:rsid w:val="00624C74"/>
    <w:rsid w:val="00624E03"/>
    <w:rsid w:val="00624E65"/>
    <w:rsid w:val="00624ECF"/>
    <w:rsid w:val="00625092"/>
    <w:rsid w:val="006251AA"/>
    <w:rsid w:val="00625275"/>
    <w:rsid w:val="0062544B"/>
    <w:rsid w:val="006254B6"/>
    <w:rsid w:val="006254E4"/>
    <w:rsid w:val="006255C7"/>
    <w:rsid w:val="006255D5"/>
    <w:rsid w:val="00625601"/>
    <w:rsid w:val="00625657"/>
    <w:rsid w:val="00625658"/>
    <w:rsid w:val="006256B9"/>
    <w:rsid w:val="0062573E"/>
    <w:rsid w:val="006257A8"/>
    <w:rsid w:val="006257B6"/>
    <w:rsid w:val="006259AD"/>
    <w:rsid w:val="00625A2C"/>
    <w:rsid w:val="00625A60"/>
    <w:rsid w:val="00625A7C"/>
    <w:rsid w:val="00625A97"/>
    <w:rsid w:val="00625B13"/>
    <w:rsid w:val="00625BE7"/>
    <w:rsid w:val="00625CB7"/>
    <w:rsid w:val="00625CC7"/>
    <w:rsid w:val="00625D78"/>
    <w:rsid w:val="00625DDD"/>
    <w:rsid w:val="00625E67"/>
    <w:rsid w:val="00625E71"/>
    <w:rsid w:val="00625F21"/>
    <w:rsid w:val="00626207"/>
    <w:rsid w:val="00626305"/>
    <w:rsid w:val="00626315"/>
    <w:rsid w:val="0062635F"/>
    <w:rsid w:val="0062639B"/>
    <w:rsid w:val="006263DA"/>
    <w:rsid w:val="0062640F"/>
    <w:rsid w:val="00626465"/>
    <w:rsid w:val="00626486"/>
    <w:rsid w:val="0062649C"/>
    <w:rsid w:val="006265BE"/>
    <w:rsid w:val="00626749"/>
    <w:rsid w:val="0062674E"/>
    <w:rsid w:val="006267AC"/>
    <w:rsid w:val="006267E8"/>
    <w:rsid w:val="00626852"/>
    <w:rsid w:val="00626A2D"/>
    <w:rsid w:val="00626B62"/>
    <w:rsid w:val="00626C0B"/>
    <w:rsid w:val="00626CE6"/>
    <w:rsid w:val="00626DD4"/>
    <w:rsid w:val="00626E7B"/>
    <w:rsid w:val="00626F3A"/>
    <w:rsid w:val="00626F94"/>
    <w:rsid w:val="00627034"/>
    <w:rsid w:val="006270E5"/>
    <w:rsid w:val="00627129"/>
    <w:rsid w:val="00627273"/>
    <w:rsid w:val="006272C0"/>
    <w:rsid w:val="0062733D"/>
    <w:rsid w:val="00627379"/>
    <w:rsid w:val="0062741C"/>
    <w:rsid w:val="006274F0"/>
    <w:rsid w:val="0062754F"/>
    <w:rsid w:val="0062758B"/>
    <w:rsid w:val="00627591"/>
    <w:rsid w:val="006275B1"/>
    <w:rsid w:val="00627626"/>
    <w:rsid w:val="00627662"/>
    <w:rsid w:val="0062768C"/>
    <w:rsid w:val="00627784"/>
    <w:rsid w:val="006277CC"/>
    <w:rsid w:val="006277F9"/>
    <w:rsid w:val="00627838"/>
    <w:rsid w:val="006278F0"/>
    <w:rsid w:val="00627931"/>
    <w:rsid w:val="00627A2E"/>
    <w:rsid w:val="00627A30"/>
    <w:rsid w:val="00627A64"/>
    <w:rsid w:val="00627B25"/>
    <w:rsid w:val="00627DC5"/>
    <w:rsid w:val="00627FA6"/>
    <w:rsid w:val="00630071"/>
    <w:rsid w:val="0063018F"/>
    <w:rsid w:val="006301CF"/>
    <w:rsid w:val="00630226"/>
    <w:rsid w:val="0063022D"/>
    <w:rsid w:val="006302F2"/>
    <w:rsid w:val="006304CF"/>
    <w:rsid w:val="0063053F"/>
    <w:rsid w:val="00630658"/>
    <w:rsid w:val="00630714"/>
    <w:rsid w:val="0063087F"/>
    <w:rsid w:val="00630882"/>
    <w:rsid w:val="006308AD"/>
    <w:rsid w:val="00630919"/>
    <w:rsid w:val="006309AE"/>
    <w:rsid w:val="00630A23"/>
    <w:rsid w:val="00630A3B"/>
    <w:rsid w:val="00630A98"/>
    <w:rsid w:val="00630D95"/>
    <w:rsid w:val="00630DA5"/>
    <w:rsid w:val="00630E04"/>
    <w:rsid w:val="0063137A"/>
    <w:rsid w:val="0063140E"/>
    <w:rsid w:val="00631459"/>
    <w:rsid w:val="00631568"/>
    <w:rsid w:val="00631692"/>
    <w:rsid w:val="0063174B"/>
    <w:rsid w:val="0063178B"/>
    <w:rsid w:val="006317BB"/>
    <w:rsid w:val="006317C5"/>
    <w:rsid w:val="00631824"/>
    <w:rsid w:val="00631AA1"/>
    <w:rsid w:val="00631DD5"/>
    <w:rsid w:val="00631E42"/>
    <w:rsid w:val="00631E43"/>
    <w:rsid w:val="00631F75"/>
    <w:rsid w:val="006320E7"/>
    <w:rsid w:val="00632121"/>
    <w:rsid w:val="0063214E"/>
    <w:rsid w:val="006321F2"/>
    <w:rsid w:val="00632214"/>
    <w:rsid w:val="006322EC"/>
    <w:rsid w:val="0063238E"/>
    <w:rsid w:val="00632448"/>
    <w:rsid w:val="006324EF"/>
    <w:rsid w:val="0063258E"/>
    <w:rsid w:val="0063264D"/>
    <w:rsid w:val="0063269B"/>
    <w:rsid w:val="0063272E"/>
    <w:rsid w:val="00632A3B"/>
    <w:rsid w:val="00632A55"/>
    <w:rsid w:val="00632C85"/>
    <w:rsid w:val="00632CC7"/>
    <w:rsid w:val="00632CCA"/>
    <w:rsid w:val="00632CDB"/>
    <w:rsid w:val="00632EEB"/>
    <w:rsid w:val="00632FDE"/>
    <w:rsid w:val="00633077"/>
    <w:rsid w:val="00633162"/>
    <w:rsid w:val="00633205"/>
    <w:rsid w:val="006332C4"/>
    <w:rsid w:val="006332D7"/>
    <w:rsid w:val="0063331E"/>
    <w:rsid w:val="00633362"/>
    <w:rsid w:val="00633371"/>
    <w:rsid w:val="0063337E"/>
    <w:rsid w:val="006333BC"/>
    <w:rsid w:val="00633606"/>
    <w:rsid w:val="00633655"/>
    <w:rsid w:val="006336E5"/>
    <w:rsid w:val="00633704"/>
    <w:rsid w:val="00633719"/>
    <w:rsid w:val="006337C4"/>
    <w:rsid w:val="006337FF"/>
    <w:rsid w:val="0063396A"/>
    <w:rsid w:val="00633A68"/>
    <w:rsid w:val="00633B35"/>
    <w:rsid w:val="00633B39"/>
    <w:rsid w:val="00633CFD"/>
    <w:rsid w:val="00633D84"/>
    <w:rsid w:val="00633E18"/>
    <w:rsid w:val="00633E50"/>
    <w:rsid w:val="00633EBB"/>
    <w:rsid w:val="00633FA5"/>
    <w:rsid w:val="00633FDE"/>
    <w:rsid w:val="00633FEC"/>
    <w:rsid w:val="006340F7"/>
    <w:rsid w:val="0063430A"/>
    <w:rsid w:val="00634349"/>
    <w:rsid w:val="006344AB"/>
    <w:rsid w:val="00634530"/>
    <w:rsid w:val="0063460D"/>
    <w:rsid w:val="0063465F"/>
    <w:rsid w:val="00634835"/>
    <w:rsid w:val="00634912"/>
    <w:rsid w:val="00634934"/>
    <w:rsid w:val="006349FA"/>
    <w:rsid w:val="00634A3C"/>
    <w:rsid w:val="00634AFB"/>
    <w:rsid w:val="00634B79"/>
    <w:rsid w:val="00634BA6"/>
    <w:rsid w:val="00634BB2"/>
    <w:rsid w:val="00634D57"/>
    <w:rsid w:val="00634E7B"/>
    <w:rsid w:val="00634F69"/>
    <w:rsid w:val="00634F7B"/>
    <w:rsid w:val="00634FCE"/>
    <w:rsid w:val="006351AF"/>
    <w:rsid w:val="00635456"/>
    <w:rsid w:val="0063545B"/>
    <w:rsid w:val="00635567"/>
    <w:rsid w:val="006356F0"/>
    <w:rsid w:val="00635798"/>
    <w:rsid w:val="006359C7"/>
    <w:rsid w:val="00635B22"/>
    <w:rsid w:val="00635B3A"/>
    <w:rsid w:val="00635B87"/>
    <w:rsid w:val="00635C39"/>
    <w:rsid w:val="00635C41"/>
    <w:rsid w:val="00635DC8"/>
    <w:rsid w:val="00635FE4"/>
    <w:rsid w:val="00636016"/>
    <w:rsid w:val="0063606D"/>
    <w:rsid w:val="006360B3"/>
    <w:rsid w:val="0063614E"/>
    <w:rsid w:val="006362A4"/>
    <w:rsid w:val="00636474"/>
    <w:rsid w:val="006364D1"/>
    <w:rsid w:val="006364ED"/>
    <w:rsid w:val="006365CD"/>
    <w:rsid w:val="00636623"/>
    <w:rsid w:val="006366B1"/>
    <w:rsid w:val="00636A8B"/>
    <w:rsid w:val="00636AC1"/>
    <w:rsid w:val="00636B25"/>
    <w:rsid w:val="00636B76"/>
    <w:rsid w:val="00636C42"/>
    <w:rsid w:val="00636C7E"/>
    <w:rsid w:val="00636D4D"/>
    <w:rsid w:val="00636ED5"/>
    <w:rsid w:val="00637019"/>
    <w:rsid w:val="00637171"/>
    <w:rsid w:val="00637212"/>
    <w:rsid w:val="006372D0"/>
    <w:rsid w:val="0063740E"/>
    <w:rsid w:val="00637571"/>
    <w:rsid w:val="0063760D"/>
    <w:rsid w:val="00637622"/>
    <w:rsid w:val="006376A8"/>
    <w:rsid w:val="00637782"/>
    <w:rsid w:val="006377F6"/>
    <w:rsid w:val="00637AA7"/>
    <w:rsid w:val="00637B0D"/>
    <w:rsid w:val="00637B22"/>
    <w:rsid w:val="00637B50"/>
    <w:rsid w:val="00637D45"/>
    <w:rsid w:val="00637DE0"/>
    <w:rsid w:val="00637DFC"/>
    <w:rsid w:val="00637EB1"/>
    <w:rsid w:val="006400F7"/>
    <w:rsid w:val="00640131"/>
    <w:rsid w:val="00640215"/>
    <w:rsid w:val="00640378"/>
    <w:rsid w:val="0064045D"/>
    <w:rsid w:val="0064047C"/>
    <w:rsid w:val="006404F5"/>
    <w:rsid w:val="0064053D"/>
    <w:rsid w:val="006405CE"/>
    <w:rsid w:val="00640858"/>
    <w:rsid w:val="00640866"/>
    <w:rsid w:val="006408A8"/>
    <w:rsid w:val="006408C0"/>
    <w:rsid w:val="006408E0"/>
    <w:rsid w:val="00640908"/>
    <w:rsid w:val="00640932"/>
    <w:rsid w:val="00640933"/>
    <w:rsid w:val="0064099D"/>
    <w:rsid w:val="006409C0"/>
    <w:rsid w:val="00640A7C"/>
    <w:rsid w:val="00640ABF"/>
    <w:rsid w:val="00640B72"/>
    <w:rsid w:val="00640BDB"/>
    <w:rsid w:val="00640C54"/>
    <w:rsid w:val="00640CA2"/>
    <w:rsid w:val="00640DF0"/>
    <w:rsid w:val="00640F2D"/>
    <w:rsid w:val="00640F34"/>
    <w:rsid w:val="00640FEF"/>
    <w:rsid w:val="006410A9"/>
    <w:rsid w:val="0064118A"/>
    <w:rsid w:val="0064128F"/>
    <w:rsid w:val="0064135B"/>
    <w:rsid w:val="006413D6"/>
    <w:rsid w:val="006413FF"/>
    <w:rsid w:val="006415F4"/>
    <w:rsid w:val="00641605"/>
    <w:rsid w:val="00641606"/>
    <w:rsid w:val="0064173D"/>
    <w:rsid w:val="00641859"/>
    <w:rsid w:val="006418F8"/>
    <w:rsid w:val="006419A1"/>
    <w:rsid w:val="00641A9F"/>
    <w:rsid w:val="00641AF6"/>
    <w:rsid w:val="00641B0E"/>
    <w:rsid w:val="00641BFF"/>
    <w:rsid w:val="00641C66"/>
    <w:rsid w:val="00641C6E"/>
    <w:rsid w:val="00641D1A"/>
    <w:rsid w:val="00641D63"/>
    <w:rsid w:val="00641DA2"/>
    <w:rsid w:val="00641F75"/>
    <w:rsid w:val="00642079"/>
    <w:rsid w:val="006420C6"/>
    <w:rsid w:val="00642150"/>
    <w:rsid w:val="00642183"/>
    <w:rsid w:val="0064218D"/>
    <w:rsid w:val="00642215"/>
    <w:rsid w:val="0064223C"/>
    <w:rsid w:val="0064226E"/>
    <w:rsid w:val="006423DD"/>
    <w:rsid w:val="006424FD"/>
    <w:rsid w:val="0064250A"/>
    <w:rsid w:val="0064256B"/>
    <w:rsid w:val="006425A0"/>
    <w:rsid w:val="006425A5"/>
    <w:rsid w:val="0064277D"/>
    <w:rsid w:val="006428B9"/>
    <w:rsid w:val="006429EF"/>
    <w:rsid w:val="00642B3E"/>
    <w:rsid w:val="00642CC4"/>
    <w:rsid w:val="00642D89"/>
    <w:rsid w:val="00642DE7"/>
    <w:rsid w:val="00642E0C"/>
    <w:rsid w:val="00642EE4"/>
    <w:rsid w:val="0064302D"/>
    <w:rsid w:val="0064322C"/>
    <w:rsid w:val="006433F8"/>
    <w:rsid w:val="0064358F"/>
    <w:rsid w:val="0064366C"/>
    <w:rsid w:val="0064381B"/>
    <w:rsid w:val="00643863"/>
    <w:rsid w:val="006438ED"/>
    <w:rsid w:val="006439E9"/>
    <w:rsid w:val="00643AFE"/>
    <w:rsid w:val="00643B18"/>
    <w:rsid w:val="00643B31"/>
    <w:rsid w:val="00643DCF"/>
    <w:rsid w:val="00643E50"/>
    <w:rsid w:val="00643E53"/>
    <w:rsid w:val="00643ECE"/>
    <w:rsid w:val="00643F03"/>
    <w:rsid w:val="00643F58"/>
    <w:rsid w:val="00643FE7"/>
    <w:rsid w:val="006440C7"/>
    <w:rsid w:val="006442F5"/>
    <w:rsid w:val="006443E4"/>
    <w:rsid w:val="0064446F"/>
    <w:rsid w:val="00644690"/>
    <w:rsid w:val="00644697"/>
    <w:rsid w:val="006446BC"/>
    <w:rsid w:val="006447CD"/>
    <w:rsid w:val="00644995"/>
    <w:rsid w:val="00644A45"/>
    <w:rsid w:val="00644A54"/>
    <w:rsid w:val="00644BEB"/>
    <w:rsid w:val="00644C09"/>
    <w:rsid w:val="00644C4F"/>
    <w:rsid w:val="00644D68"/>
    <w:rsid w:val="00644D97"/>
    <w:rsid w:val="00644EC8"/>
    <w:rsid w:val="00644F47"/>
    <w:rsid w:val="0064505F"/>
    <w:rsid w:val="006450EB"/>
    <w:rsid w:val="00645130"/>
    <w:rsid w:val="006451C3"/>
    <w:rsid w:val="00645231"/>
    <w:rsid w:val="0064539B"/>
    <w:rsid w:val="00645501"/>
    <w:rsid w:val="00645520"/>
    <w:rsid w:val="0064552F"/>
    <w:rsid w:val="006455A2"/>
    <w:rsid w:val="00645601"/>
    <w:rsid w:val="0064570B"/>
    <w:rsid w:val="00645710"/>
    <w:rsid w:val="00645771"/>
    <w:rsid w:val="00645809"/>
    <w:rsid w:val="00645812"/>
    <w:rsid w:val="0064598F"/>
    <w:rsid w:val="00645B8B"/>
    <w:rsid w:val="00645D21"/>
    <w:rsid w:val="00645EEB"/>
    <w:rsid w:val="00645FEC"/>
    <w:rsid w:val="00646112"/>
    <w:rsid w:val="006461A2"/>
    <w:rsid w:val="006461E2"/>
    <w:rsid w:val="00646315"/>
    <w:rsid w:val="006463B3"/>
    <w:rsid w:val="006463E5"/>
    <w:rsid w:val="0064656C"/>
    <w:rsid w:val="006465CF"/>
    <w:rsid w:val="00646709"/>
    <w:rsid w:val="00646756"/>
    <w:rsid w:val="006467FF"/>
    <w:rsid w:val="0064682C"/>
    <w:rsid w:val="00646838"/>
    <w:rsid w:val="0064684C"/>
    <w:rsid w:val="006468B6"/>
    <w:rsid w:val="00646E14"/>
    <w:rsid w:val="00646FEE"/>
    <w:rsid w:val="00646FF7"/>
    <w:rsid w:val="0064707D"/>
    <w:rsid w:val="006470A7"/>
    <w:rsid w:val="006471AE"/>
    <w:rsid w:val="006472AC"/>
    <w:rsid w:val="0064743D"/>
    <w:rsid w:val="006474E7"/>
    <w:rsid w:val="00647645"/>
    <w:rsid w:val="006476F0"/>
    <w:rsid w:val="006477FF"/>
    <w:rsid w:val="0064781F"/>
    <w:rsid w:val="0064792B"/>
    <w:rsid w:val="00647A06"/>
    <w:rsid w:val="00647CF3"/>
    <w:rsid w:val="00647FCF"/>
    <w:rsid w:val="0065004A"/>
    <w:rsid w:val="00650161"/>
    <w:rsid w:val="0065021B"/>
    <w:rsid w:val="0065042F"/>
    <w:rsid w:val="0065057F"/>
    <w:rsid w:val="006505FF"/>
    <w:rsid w:val="0065063E"/>
    <w:rsid w:val="006508B2"/>
    <w:rsid w:val="006508BE"/>
    <w:rsid w:val="006509B3"/>
    <w:rsid w:val="00650AA9"/>
    <w:rsid w:val="00650B56"/>
    <w:rsid w:val="00650D05"/>
    <w:rsid w:val="00650E13"/>
    <w:rsid w:val="00650E1D"/>
    <w:rsid w:val="00650E4B"/>
    <w:rsid w:val="00650F7C"/>
    <w:rsid w:val="006511B2"/>
    <w:rsid w:val="006512AB"/>
    <w:rsid w:val="0065136B"/>
    <w:rsid w:val="0065136D"/>
    <w:rsid w:val="006513EB"/>
    <w:rsid w:val="00651493"/>
    <w:rsid w:val="00651531"/>
    <w:rsid w:val="0065157F"/>
    <w:rsid w:val="006515BD"/>
    <w:rsid w:val="006516F9"/>
    <w:rsid w:val="0065170F"/>
    <w:rsid w:val="0065171C"/>
    <w:rsid w:val="00651736"/>
    <w:rsid w:val="0065193F"/>
    <w:rsid w:val="00651B9E"/>
    <w:rsid w:val="00651BA9"/>
    <w:rsid w:val="00651CFB"/>
    <w:rsid w:val="00651D72"/>
    <w:rsid w:val="00651DBE"/>
    <w:rsid w:val="00651F5E"/>
    <w:rsid w:val="00652146"/>
    <w:rsid w:val="006521B5"/>
    <w:rsid w:val="00652337"/>
    <w:rsid w:val="00652375"/>
    <w:rsid w:val="006523BA"/>
    <w:rsid w:val="006523CB"/>
    <w:rsid w:val="006523E3"/>
    <w:rsid w:val="00652497"/>
    <w:rsid w:val="0065295A"/>
    <w:rsid w:val="006529E7"/>
    <w:rsid w:val="00652B8C"/>
    <w:rsid w:val="00652D42"/>
    <w:rsid w:val="00652E2E"/>
    <w:rsid w:val="00652E9C"/>
    <w:rsid w:val="00652EA4"/>
    <w:rsid w:val="00652EE1"/>
    <w:rsid w:val="00653126"/>
    <w:rsid w:val="006532B5"/>
    <w:rsid w:val="0065339F"/>
    <w:rsid w:val="006533E0"/>
    <w:rsid w:val="0065348A"/>
    <w:rsid w:val="006535A5"/>
    <w:rsid w:val="00653721"/>
    <w:rsid w:val="0065378F"/>
    <w:rsid w:val="006537BC"/>
    <w:rsid w:val="0065397E"/>
    <w:rsid w:val="00653B14"/>
    <w:rsid w:val="00653C4A"/>
    <w:rsid w:val="00653C98"/>
    <w:rsid w:val="00653D4B"/>
    <w:rsid w:val="00653D96"/>
    <w:rsid w:val="0065415B"/>
    <w:rsid w:val="006541A7"/>
    <w:rsid w:val="0065449C"/>
    <w:rsid w:val="006544C8"/>
    <w:rsid w:val="00654588"/>
    <w:rsid w:val="0065469D"/>
    <w:rsid w:val="006548B5"/>
    <w:rsid w:val="00654A10"/>
    <w:rsid w:val="00654A8B"/>
    <w:rsid w:val="00654AF9"/>
    <w:rsid w:val="00654DE2"/>
    <w:rsid w:val="00654E40"/>
    <w:rsid w:val="00654EAD"/>
    <w:rsid w:val="00654EC1"/>
    <w:rsid w:val="00654F1A"/>
    <w:rsid w:val="00655042"/>
    <w:rsid w:val="006550A4"/>
    <w:rsid w:val="006550AD"/>
    <w:rsid w:val="006553CC"/>
    <w:rsid w:val="00655519"/>
    <w:rsid w:val="00655525"/>
    <w:rsid w:val="00655559"/>
    <w:rsid w:val="0065555F"/>
    <w:rsid w:val="00655669"/>
    <w:rsid w:val="006556A3"/>
    <w:rsid w:val="00655716"/>
    <w:rsid w:val="00655773"/>
    <w:rsid w:val="006557B5"/>
    <w:rsid w:val="00655AF2"/>
    <w:rsid w:val="00655D31"/>
    <w:rsid w:val="00655D90"/>
    <w:rsid w:val="00655D9C"/>
    <w:rsid w:val="00655DDD"/>
    <w:rsid w:val="00655E80"/>
    <w:rsid w:val="00655F2C"/>
    <w:rsid w:val="00656071"/>
    <w:rsid w:val="00656429"/>
    <w:rsid w:val="00656481"/>
    <w:rsid w:val="0065654D"/>
    <w:rsid w:val="0065665C"/>
    <w:rsid w:val="00656A7A"/>
    <w:rsid w:val="00656B3F"/>
    <w:rsid w:val="00656B9B"/>
    <w:rsid w:val="00656F3A"/>
    <w:rsid w:val="006570B0"/>
    <w:rsid w:val="006570B2"/>
    <w:rsid w:val="00657115"/>
    <w:rsid w:val="006571F4"/>
    <w:rsid w:val="00657294"/>
    <w:rsid w:val="006573DA"/>
    <w:rsid w:val="0065742D"/>
    <w:rsid w:val="00657450"/>
    <w:rsid w:val="006576C6"/>
    <w:rsid w:val="00657851"/>
    <w:rsid w:val="006579D8"/>
    <w:rsid w:val="00657A09"/>
    <w:rsid w:val="00657A7A"/>
    <w:rsid w:val="00657B33"/>
    <w:rsid w:val="00657C0C"/>
    <w:rsid w:val="00657E1F"/>
    <w:rsid w:val="00657E67"/>
    <w:rsid w:val="00657F50"/>
    <w:rsid w:val="00657F5C"/>
    <w:rsid w:val="00657FA0"/>
    <w:rsid w:val="00657FB7"/>
    <w:rsid w:val="0066002E"/>
    <w:rsid w:val="006600FE"/>
    <w:rsid w:val="00660146"/>
    <w:rsid w:val="0066017D"/>
    <w:rsid w:val="006601C4"/>
    <w:rsid w:val="0066030D"/>
    <w:rsid w:val="006603BA"/>
    <w:rsid w:val="006603C3"/>
    <w:rsid w:val="006604CF"/>
    <w:rsid w:val="0066055C"/>
    <w:rsid w:val="0066058A"/>
    <w:rsid w:val="006605E7"/>
    <w:rsid w:val="0066064C"/>
    <w:rsid w:val="006606A4"/>
    <w:rsid w:val="006606F8"/>
    <w:rsid w:val="00660822"/>
    <w:rsid w:val="00660879"/>
    <w:rsid w:val="00660884"/>
    <w:rsid w:val="00660BAD"/>
    <w:rsid w:val="00660C3B"/>
    <w:rsid w:val="00660C6C"/>
    <w:rsid w:val="00660D91"/>
    <w:rsid w:val="00660DA7"/>
    <w:rsid w:val="00660E9C"/>
    <w:rsid w:val="00660EC7"/>
    <w:rsid w:val="00660F71"/>
    <w:rsid w:val="00660FD8"/>
    <w:rsid w:val="0066109C"/>
    <w:rsid w:val="006610BA"/>
    <w:rsid w:val="00661173"/>
    <w:rsid w:val="0066118C"/>
    <w:rsid w:val="00661193"/>
    <w:rsid w:val="0066119F"/>
    <w:rsid w:val="006611DB"/>
    <w:rsid w:val="00661224"/>
    <w:rsid w:val="006612F6"/>
    <w:rsid w:val="00661341"/>
    <w:rsid w:val="0066149E"/>
    <w:rsid w:val="00661520"/>
    <w:rsid w:val="0066166E"/>
    <w:rsid w:val="00661686"/>
    <w:rsid w:val="0066172E"/>
    <w:rsid w:val="00661777"/>
    <w:rsid w:val="00661833"/>
    <w:rsid w:val="00661860"/>
    <w:rsid w:val="006618A9"/>
    <w:rsid w:val="00661995"/>
    <w:rsid w:val="00661B34"/>
    <w:rsid w:val="00661BDC"/>
    <w:rsid w:val="00661CEC"/>
    <w:rsid w:val="00661CF5"/>
    <w:rsid w:val="00661D33"/>
    <w:rsid w:val="00661D49"/>
    <w:rsid w:val="00661E1D"/>
    <w:rsid w:val="00661E82"/>
    <w:rsid w:val="00661F98"/>
    <w:rsid w:val="0066203D"/>
    <w:rsid w:val="00662134"/>
    <w:rsid w:val="0066216F"/>
    <w:rsid w:val="0066219E"/>
    <w:rsid w:val="0066231B"/>
    <w:rsid w:val="0066243D"/>
    <w:rsid w:val="00662471"/>
    <w:rsid w:val="00662577"/>
    <w:rsid w:val="006625AD"/>
    <w:rsid w:val="006625B8"/>
    <w:rsid w:val="0066267B"/>
    <w:rsid w:val="006626B4"/>
    <w:rsid w:val="006626C6"/>
    <w:rsid w:val="006628CB"/>
    <w:rsid w:val="00662931"/>
    <w:rsid w:val="006629EF"/>
    <w:rsid w:val="00662B2D"/>
    <w:rsid w:val="00662B44"/>
    <w:rsid w:val="00662B67"/>
    <w:rsid w:val="00662C07"/>
    <w:rsid w:val="00662E09"/>
    <w:rsid w:val="00662F8D"/>
    <w:rsid w:val="00662FA7"/>
    <w:rsid w:val="0066310F"/>
    <w:rsid w:val="006631AB"/>
    <w:rsid w:val="00663208"/>
    <w:rsid w:val="0066323A"/>
    <w:rsid w:val="00663279"/>
    <w:rsid w:val="00663396"/>
    <w:rsid w:val="006634EF"/>
    <w:rsid w:val="00663534"/>
    <w:rsid w:val="00663539"/>
    <w:rsid w:val="00663654"/>
    <w:rsid w:val="006636E1"/>
    <w:rsid w:val="00663787"/>
    <w:rsid w:val="006639EB"/>
    <w:rsid w:val="00663A31"/>
    <w:rsid w:val="00663A4F"/>
    <w:rsid w:val="00663C62"/>
    <w:rsid w:val="00663D0D"/>
    <w:rsid w:val="00663D22"/>
    <w:rsid w:val="0066402A"/>
    <w:rsid w:val="0066402F"/>
    <w:rsid w:val="0066406C"/>
    <w:rsid w:val="006640E3"/>
    <w:rsid w:val="0066410A"/>
    <w:rsid w:val="00664173"/>
    <w:rsid w:val="00664226"/>
    <w:rsid w:val="0066426C"/>
    <w:rsid w:val="00664294"/>
    <w:rsid w:val="006642FF"/>
    <w:rsid w:val="00664464"/>
    <w:rsid w:val="0066446F"/>
    <w:rsid w:val="00664521"/>
    <w:rsid w:val="0066474D"/>
    <w:rsid w:val="00664A44"/>
    <w:rsid w:val="00664AA8"/>
    <w:rsid w:val="00664BAE"/>
    <w:rsid w:val="00664C5C"/>
    <w:rsid w:val="00664DAF"/>
    <w:rsid w:val="00664F06"/>
    <w:rsid w:val="00664FAA"/>
    <w:rsid w:val="00664FCB"/>
    <w:rsid w:val="00665098"/>
    <w:rsid w:val="00665294"/>
    <w:rsid w:val="006652EB"/>
    <w:rsid w:val="00665358"/>
    <w:rsid w:val="00665463"/>
    <w:rsid w:val="006654C6"/>
    <w:rsid w:val="006654E9"/>
    <w:rsid w:val="00665555"/>
    <w:rsid w:val="0066558A"/>
    <w:rsid w:val="006655D3"/>
    <w:rsid w:val="006655DC"/>
    <w:rsid w:val="00665989"/>
    <w:rsid w:val="0066598B"/>
    <w:rsid w:val="00665B01"/>
    <w:rsid w:val="00665B6E"/>
    <w:rsid w:val="00665B82"/>
    <w:rsid w:val="00665CBA"/>
    <w:rsid w:val="00665D3C"/>
    <w:rsid w:val="00665F1D"/>
    <w:rsid w:val="00665F97"/>
    <w:rsid w:val="00666049"/>
    <w:rsid w:val="0066607E"/>
    <w:rsid w:val="0066612E"/>
    <w:rsid w:val="00666137"/>
    <w:rsid w:val="006661AB"/>
    <w:rsid w:val="006661B6"/>
    <w:rsid w:val="00666245"/>
    <w:rsid w:val="006664B0"/>
    <w:rsid w:val="006664F7"/>
    <w:rsid w:val="0066655D"/>
    <w:rsid w:val="00666924"/>
    <w:rsid w:val="00666943"/>
    <w:rsid w:val="00666A6A"/>
    <w:rsid w:val="00666AF7"/>
    <w:rsid w:val="00666B23"/>
    <w:rsid w:val="00666C49"/>
    <w:rsid w:val="00666CBB"/>
    <w:rsid w:val="00666CEC"/>
    <w:rsid w:val="00666D8A"/>
    <w:rsid w:val="00666DFF"/>
    <w:rsid w:val="00666E00"/>
    <w:rsid w:val="00666EE3"/>
    <w:rsid w:val="00666F42"/>
    <w:rsid w:val="00667004"/>
    <w:rsid w:val="00667018"/>
    <w:rsid w:val="006670C9"/>
    <w:rsid w:val="00667171"/>
    <w:rsid w:val="006671AD"/>
    <w:rsid w:val="006671B9"/>
    <w:rsid w:val="0066735E"/>
    <w:rsid w:val="0066765B"/>
    <w:rsid w:val="00667699"/>
    <w:rsid w:val="00667714"/>
    <w:rsid w:val="006677BF"/>
    <w:rsid w:val="0066789F"/>
    <w:rsid w:val="00667973"/>
    <w:rsid w:val="006679D6"/>
    <w:rsid w:val="00667B51"/>
    <w:rsid w:val="00667BC7"/>
    <w:rsid w:val="00667EC3"/>
    <w:rsid w:val="00667ED4"/>
    <w:rsid w:val="00667EDD"/>
    <w:rsid w:val="00667EEE"/>
    <w:rsid w:val="0067009B"/>
    <w:rsid w:val="00670176"/>
    <w:rsid w:val="00670289"/>
    <w:rsid w:val="0067033C"/>
    <w:rsid w:val="00670556"/>
    <w:rsid w:val="00670776"/>
    <w:rsid w:val="0067083A"/>
    <w:rsid w:val="00670886"/>
    <w:rsid w:val="00670894"/>
    <w:rsid w:val="0067098D"/>
    <w:rsid w:val="006709A8"/>
    <w:rsid w:val="00670A8D"/>
    <w:rsid w:val="00670AFA"/>
    <w:rsid w:val="00670B21"/>
    <w:rsid w:val="00670B9D"/>
    <w:rsid w:val="00670D04"/>
    <w:rsid w:val="00671102"/>
    <w:rsid w:val="0067112D"/>
    <w:rsid w:val="00671393"/>
    <w:rsid w:val="006713A8"/>
    <w:rsid w:val="0067161C"/>
    <w:rsid w:val="006717F8"/>
    <w:rsid w:val="0067194A"/>
    <w:rsid w:val="0067198B"/>
    <w:rsid w:val="00671AA4"/>
    <w:rsid w:val="00671B8F"/>
    <w:rsid w:val="00671E03"/>
    <w:rsid w:val="00671EBC"/>
    <w:rsid w:val="00671ED9"/>
    <w:rsid w:val="00671FCC"/>
    <w:rsid w:val="00671FE7"/>
    <w:rsid w:val="006720DE"/>
    <w:rsid w:val="00672143"/>
    <w:rsid w:val="00672410"/>
    <w:rsid w:val="006724FC"/>
    <w:rsid w:val="006727B3"/>
    <w:rsid w:val="006728B4"/>
    <w:rsid w:val="0067298D"/>
    <w:rsid w:val="00672A91"/>
    <w:rsid w:val="00672AB6"/>
    <w:rsid w:val="00672CD9"/>
    <w:rsid w:val="00672DDA"/>
    <w:rsid w:val="00672E45"/>
    <w:rsid w:val="00672E5C"/>
    <w:rsid w:val="00672F8B"/>
    <w:rsid w:val="0067315E"/>
    <w:rsid w:val="006733AC"/>
    <w:rsid w:val="006733BB"/>
    <w:rsid w:val="006734D5"/>
    <w:rsid w:val="00673595"/>
    <w:rsid w:val="006735C7"/>
    <w:rsid w:val="006735F8"/>
    <w:rsid w:val="0067360D"/>
    <w:rsid w:val="00673638"/>
    <w:rsid w:val="006738C2"/>
    <w:rsid w:val="006738C5"/>
    <w:rsid w:val="006739BC"/>
    <w:rsid w:val="00673A68"/>
    <w:rsid w:val="00673AEE"/>
    <w:rsid w:val="00673B14"/>
    <w:rsid w:val="00673B37"/>
    <w:rsid w:val="00673B8A"/>
    <w:rsid w:val="00673BEC"/>
    <w:rsid w:val="00673C4B"/>
    <w:rsid w:val="00673D01"/>
    <w:rsid w:val="00673E14"/>
    <w:rsid w:val="00673E83"/>
    <w:rsid w:val="00673EDF"/>
    <w:rsid w:val="00673F85"/>
    <w:rsid w:val="006740B6"/>
    <w:rsid w:val="0067429E"/>
    <w:rsid w:val="00674353"/>
    <w:rsid w:val="00674362"/>
    <w:rsid w:val="0067444A"/>
    <w:rsid w:val="00674470"/>
    <w:rsid w:val="006745DF"/>
    <w:rsid w:val="006745E4"/>
    <w:rsid w:val="0067476B"/>
    <w:rsid w:val="006748BB"/>
    <w:rsid w:val="0067498F"/>
    <w:rsid w:val="00674A23"/>
    <w:rsid w:val="00674A92"/>
    <w:rsid w:val="00674A99"/>
    <w:rsid w:val="00674D4A"/>
    <w:rsid w:val="00674DC3"/>
    <w:rsid w:val="00674E02"/>
    <w:rsid w:val="00674F5A"/>
    <w:rsid w:val="006750B7"/>
    <w:rsid w:val="006750BB"/>
    <w:rsid w:val="00675106"/>
    <w:rsid w:val="00675110"/>
    <w:rsid w:val="00675136"/>
    <w:rsid w:val="0067515C"/>
    <w:rsid w:val="00675174"/>
    <w:rsid w:val="00675192"/>
    <w:rsid w:val="006751BD"/>
    <w:rsid w:val="00675342"/>
    <w:rsid w:val="00675393"/>
    <w:rsid w:val="006754C6"/>
    <w:rsid w:val="006754D2"/>
    <w:rsid w:val="006754F2"/>
    <w:rsid w:val="00675507"/>
    <w:rsid w:val="00675509"/>
    <w:rsid w:val="00675570"/>
    <w:rsid w:val="00675831"/>
    <w:rsid w:val="00675913"/>
    <w:rsid w:val="0067593B"/>
    <w:rsid w:val="006759CB"/>
    <w:rsid w:val="00675A03"/>
    <w:rsid w:val="00675A2A"/>
    <w:rsid w:val="00675AB1"/>
    <w:rsid w:val="00675BC8"/>
    <w:rsid w:val="00675E7F"/>
    <w:rsid w:val="0067619B"/>
    <w:rsid w:val="00676271"/>
    <w:rsid w:val="006762D3"/>
    <w:rsid w:val="0067648C"/>
    <w:rsid w:val="0067654F"/>
    <w:rsid w:val="00676561"/>
    <w:rsid w:val="006767C8"/>
    <w:rsid w:val="0067685B"/>
    <w:rsid w:val="006768CF"/>
    <w:rsid w:val="00676B37"/>
    <w:rsid w:val="00676BEC"/>
    <w:rsid w:val="00676CBB"/>
    <w:rsid w:val="00676CCD"/>
    <w:rsid w:val="00676D52"/>
    <w:rsid w:val="00676D79"/>
    <w:rsid w:val="00676EC4"/>
    <w:rsid w:val="00676ED1"/>
    <w:rsid w:val="00676F60"/>
    <w:rsid w:val="00676FB1"/>
    <w:rsid w:val="00676FD9"/>
    <w:rsid w:val="006770A0"/>
    <w:rsid w:val="00677137"/>
    <w:rsid w:val="00677186"/>
    <w:rsid w:val="00677284"/>
    <w:rsid w:val="0067734C"/>
    <w:rsid w:val="0067740A"/>
    <w:rsid w:val="006775E5"/>
    <w:rsid w:val="00677643"/>
    <w:rsid w:val="0067770D"/>
    <w:rsid w:val="0067771D"/>
    <w:rsid w:val="006777C9"/>
    <w:rsid w:val="0067786D"/>
    <w:rsid w:val="00677875"/>
    <w:rsid w:val="0067787A"/>
    <w:rsid w:val="00677C08"/>
    <w:rsid w:val="00677D45"/>
    <w:rsid w:val="00677DC7"/>
    <w:rsid w:val="00677E43"/>
    <w:rsid w:val="00677F70"/>
    <w:rsid w:val="006800A3"/>
    <w:rsid w:val="00680128"/>
    <w:rsid w:val="006802D1"/>
    <w:rsid w:val="0068031A"/>
    <w:rsid w:val="00680490"/>
    <w:rsid w:val="0068060F"/>
    <w:rsid w:val="0068079E"/>
    <w:rsid w:val="006807BE"/>
    <w:rsid w:val="006808A2"/>
    <w:rsid w:val="00680941"/>
    <w:rsid w:val="00680972"/>
    <w:rsid w:val="00680B0C"/>
    <w:rsid w:val="00680B5E"/>
    <w:rsid w:val="00680BAD"/>
    <w:rsid w:val="00680C11"/>
    <w:rsid w:val="00680C34"/>
    <w:rsid w:val="00680C78"/>
    <w:rsid w:val="00680DCF"/>
    <w:rsid w:val="00680E02"/>
    <w:rsid w:val="00680E97"/>
    <w:rsid w:val="00680F55"/>
    <w:rsid w:val="00680FAA"/>
    <w:rsid w:val="00680FC3"/>
    <w:rsid w:val="0068109D"/>
    <w:rsid w:val="00681386"/>
    <w:rsid w:val="006816E0"/>
    <w:rsid w:val="006816EF"/>
    <w:rsid w:val="006816F4"/>
    <w:rsid w:val="0068177B"/>
    <w:rsid w:val="00681794"/>
    <w:rsid w:val="006817D4"/>
    <w:rsid w:val="00681841"/>
    <w:rsid w:val="00681926"/>
    <w:rsid w:val="00681AF2"/>
    <w:rsid w:val="00681B05"/>
    <w:rsid w:val="00681BB1"/>
    <w:rsid w:val="00681C2F"/>
    <w:rsid w:val="00681C4A"/>
    <w:rsid w:val="00681C98"/>
    <w:rsid w:val="00681CFD"/>
    <w:rsid w:val="00681DC5"/>
    <w:rsid w:val="00681EF6"/>
    <w:rsid w:val="00681F3D"/>
    <w:rsid w:val="00681F7E"/>
    <w:rsid w:val="006820C8"/>
    <w:rsid w:val="00682159"/>
    <w:rsid w:val="0068230B"/>
    <w:rsid w:val="00682368"/>
    <w:rsid w:val="00682439"/>
    <w:rsid w:val="00682513"/>
    <w:rsid w:val="0068252C"/>
    <w:rsid w:val="006825B0"/>
    <w:rsid w:val="00682602"/>
    <w:rsid w:val="0068260F"/>
    <w:rsid w:val="006829B3"/>
    <w:rsid w:val="00682CC8"/>
    <w:rsid w:val="00682DDD"/>
    <w:rsid w:val="00682DF8"/>
    <w:rsid w:val="00682EC9"/>
    <w:rsid w:val="00683026"/>
    <w:rsid w:val="00683164"/>
    <w:rsid w:val="006832BF"/>
    <w:rsid w:val="006832EA"/>
    <w:rsid w:val="00683441"/>
    <w:rsid w:val="0068344D"/>
    <w:rsid w:val="006834EA"/>
    <w:rsid w:val="006837AB"/>
    <w:rsid w:val="0068383C"/>
    <w:rsid w:val="0068385B"/>
    <w:rsid w:val="0068388D"/>
    <w:rsid w:val="00683961"/>
    <w:rsid w:val="00683A4B"/>
    <w:rsid w:val="00683AD3"/>
    <w:rsid w:val="00683B5E"/>
    <w:rsid w:val="00683BBA"/>
    <w:rsid w:val="00683D12"/>
    <w:rsid w:val="00683D23"/>
    <w:rsid w:val="00683D35"/>
    <w:rsid w:val="00683F1C"/>
    <w:rsid w:val="00683F2E"/>
    <w:rsid w:val="006840A8"/>
    <w:rsid w:val="0068417D"/>
    <w:rsid w:val="00684356"/>
    <w:rsid w:val="0068441D"/>
    <w:rsid w:val="00684505"/>
    <w:rsid w:val="006845C7"/>
    <w:rsid w:val="006845EB"/>
    <w:rsid w:val="006845F6"/>
    <w:rsid w:val="0068476B"/>
    <w:rsid w:val="00684901"/>
    <w:rsid w:val="006849DB"/>
    <w:rsid w:val="00684DCC"/>
    <w:rsid w:val="00684E85"/>
    <w:rsid w:val="00684E8F"/>
    <w:rsid w:val="00684ECE"/>
    <w:rsid w:val="00684F01"/>
    <w:rsid w:val="00684F90"/>
    <w:rsid w:val="00684F95"/>
    <w:rsid w:val="006850F6"/>
    <w:rsid w:val="006851C4"/>
    <w:rsid w:val="006851CD"/>
    <w:rsid w:val="006852E1"/>
    <w:rsid w:val="006853C6"/>
    <w:rsid w:val="00685478"/>
    <w:rsid w:val="00685525"/>
    <w:rsid w:val="00685544"/>
    <w:rsid w:val="0068556A"/>
    <w:rsid w:val="006855B8"/>
    <w:rsid w:val="00685832"/>
    <w:rsid w:val="006858B3"/>
    <w:rsid w:val="00685A17"/>
    <w:rsid w:val="00685B91"/>
    <w:rsid w:val="00685B94"/>
    <w:rsid w:val="00685BC7"/>
    <w:rsid w:val="00685BF0"/>
    <w:rsid w:val="00685D98"/>
    <w:rsid w:val="00685DFC"/>
    <w:rsid w:val="00685EE4"/>
    <w:rsid w:val="00686038"/>
    <w:rsid w:val="00686042"/>
    <w:rsid w:val="006861B8"/>
    <w:rsid w:val="006861DB"/>
    <w:rsid w:val="00686245"/>
    <w:rsid w:val="006862E0"/>
    <w:rsid w:val="0068634E"/>
    <w:rsid w:val="0068642A"/>
    <w:rsid w:val="00686470"/>
    <w:rsid w:val="00686692"/>
    <w:rsid w:val="0068679B"/>
    <w:rsid w:val="00686994"/>
    <w:rsid w:val="006869C1"/>
    <w:rsid w:val="00686A51"/>
    <w:rsid w:val="00686ADD"/>
    <w:rsid w:val="00686B2B"/>
    <w:rsid w:val="00686B7C"/>
    <w:rsid w:val="00686BAD"/>
    <w:rsid w:val="00686BF2"/>
    <w:rsid w:val="00686C1C"/>
    <w:rsid w:val="00686C4E"/>
    <w:rsid w:val="00686C95"/>
    <w:rsid w:val="00686E29"/>
    <w:rsid w:val="00686E43"/>
    <w:rsid w:val="00686F7A"/>
    <w:rsid w:val="00686F9C"/>
    <w:rsid w:val="00686FA7"/>
    <w:rsid w:val="00687156"/>
    <w:rsid w:val="00687194"/>
    <w:rsid w:val="006871B5"/>
    <w:rsid w:val="006872E6"/>
    <w:rsid w:val="00687368"/>
    <w:rsid w:val="00687382"/>
    <w:rsid w:val="00687462"/>
    <w:rsid w:val="0068747D"/>
    <w:rsid w:val="00687584"/>
    <w:rsid w:val="00687679"/>
    <w:rsid w:val="006877C5"/>
    <w:rsid w:val="006877CF"/>
    <w:rsid w:val="00687874"/>
    <w:rsid w:val="00687897"/>
    <w:rsid w:val="0068789E"/>
    <w:rsid w:val="00687A97"/>
    <w:rsid w:val="00687AFC"/>
    <w:rsid w:val="00687BB1"/>
    <w:rsid w:val="00687C25"/>
    <w:rsid w:val="00687D46"/>
    <w:rsid w:val="00687D71"/>
    <w:rsid w:val="00687E5C"/>
    <w:rsid w:val="00690148"/>
    <w:rsid w:val="0069019E"/>
    <w:rsid w:val="006901E8"/>
    <w:rsid w:val="0069026C"/>
    <w:rsid w:val="006902EE"/>
    <w:rsid w:val="006903BC"/>
    <w:rsid w:val="006903E9"/>
    <w:rsid w:val="00690459"/>
    <w:rsid w:val="00690479"/>
    <w:rsid w:val="006907A2"/>
    <w:rsid w:val="006907EC"/>
    <w:rsid w:val="00690801"/>
    <w:rsid w:val="006908B0"/>
    <w:rsid w:val="00690923"/>
    <w:rsid w:val="00690B54"/>
    <w:rsid w:val="00690B95"/>
    <w:rsid w:val="00690C92"/>
    <w:rsid w:val="00690DC6"/>
    <w:rsid w:val="00690DCA"/>
    <w:rsid w:val="00690DE6"/>
    <w:rsid w:val="00690DF9"/>
    <w:rsid w:val="00690ED9"/>
    <w:rsid w:val="00691067"/>
    <w:rsid w:val="006910B9"/>
    <w:rsid w:val="00691247"/>
    <w:rsid w:val="006913BB"/>
    <w:rsid w:val="006913D9"/>
    <w:rsid w:val="00691478"/>
    <w:rsid w:val="00691493"/>
    <w:rsid w:val="00691611"/>
    <w:rsid w:val="00691808"/>
    <w:rsid w:val="006918F8"/>
    <w:rsid w:val="00691A16"/>
    <w:rsid w:val="00691A22"/>
    <w:rsid w:val="00691AD5"/>
    <w:rsid w:val="00691C26"/>
    <w:rsid w:val="00691C62"/>
    <w:rsid w:val="00691CE8"/>
    <w:rsid w:val="00691D0F"/>
    <w:rsid w:val="00691D73"/>
    <w:rsid w:val="00691E6C"/>
    <w:rsid w:val="00691E96"/>
    <w:rsid w:val="00692028"/>
    <w:rsid w:val="006921E0"/>
    <w:rsid w:val="0069229B"/>
    <w:rsid w:val="00692396"/>
    <w:rsid w:val="00692467"/>
    <w:rsid w:val="00692564"/>
    <w:rsid w:val="006926A3"/>
    <w:rsid w:val="00692721"/>
    <w:rsid w:val="0069282A"/>
    <w:rsid w:val="006928A8"/>
    <w:rsid w:val="006928BF"/>
    <w:rsid w:val="0069293C"/>
    <w:rsid w:val="00692992"/>
    <w:rsid w:val="00692A95"/>
    <w:rsid w:val="00692D07"/>
    <w:rsid w:val="00692D08"/>
    <w:rsid w:val="00692D8B"/>
    <w:rsid w:val="00692F4A"/>
    <w:rsid w:val="00693155"/>
    <w:rsid w:val="0069319F"/>
    <w:rsid w:val="00693247"/>
    <w:rsid w:val="00693280"/>
    <w:rsid w:val="0069339D"/>
    <w:rsid w:val="00693466"/>
    <w:rsid w:val="00693734"/>
    <w:rsid w:val="006937AC"/>
    <w:rsid w:val="006939AE"/>
    <w:rsid w:val="00693A37"/>
    <w:rsid w:val="00693A6F"/>
    <w:rsid w:val="00693B1B"/>
    <w:rsid w:val="00693C09"/>
    <w:rsid w:val="00693C31"/>
    <w:rsid w:val="00693C6C"/>
    <w:rsid w:val="00693C78"/>
    <w:rsid w:val="00693C9A"/>
    <w:rsid w:val="00693EC0"/>
    <w:rsid w:val="00693F14"/>
    <w:rsid w:val="00694016"/>
    <w:rsid w:val="006940B6"/>
    <w:rsid w:val="006940D3"/>
    <w:rsid w:val="0069419F"/>
    <w:rsid w:val="0069433F"/>
    <w:rsid w:val="0069444B"/>
    <w:rsid w:val="00694586"/>
    <w:rsid w:val="006945D3"/>
    <w:rsid w:val="00694670"/>
    <w:rsid w:val="006946D1"/>
    <w:rsid w:val="006947E3"/>
    <w:rsid w:val="0069484A"/>
    <w:rsid w:val="00694851"/>
    <w:rsid w:val="006948C8"/>
    <w:rsid w:val="00694951"/>
    <w:rsid w:val="006949AD"/>
    <w:rsid w:val="00694A29"/>
    <w:rsid w:val="00694BF1"/>
    <w:rsid w:val="00694CD6"/>
    <w:rsid w:val="00694D89"/>
    <w:rsid w:val="00694E72"/>
    <w:rsid w:val="00694F0E"/>
    <w:rsid w:val="00694F9D"/>
    <w:rsid w:val="006952AB"/>
    <w:rsid w:val="00695365"/>
    <w:rsid w:val="006953DD"/>
    <w:rsid w:val="006954CC"/>
    <w:rsid w:val="006955A0"/>
    <w:rsid w:val="006955C1"/>
    <w:rsid w:val="0069564C"/>
    <w:rsid w:val="0069582A"/>
    <w:rsid w:val="006959DB"/>
    <w:rsid w:val="00695B07"/>
    <w:rsid w:val="00695B0B"/>
    <w:rsid w:val="00695F4F"/>
    <w:rsid w:val="00695F9D"/>
    <w:rsid w:val="00695FCF"/>
    <w:rsid w:val="0069606A"/>
    <w:rsid w:val="006960EA"/>
    <w:rsid w:val="00696256"/>
    <w:rsid w:val="00696391"/>
    <w:rsid w:val="0069650F"/>
    <w:rsid w:val="006965CE"/>
    <w:rsid w:val="006965EB"/>
    <w:rsid w:val="00696679"/>
    <w:rsid w:val="006966C9"/>
    <w:rsid w:val="006968CB"/>
    <w:rsid w:val="006968EF"/>
    <w:rsid w:val="00696A22"/>
    <w:rsid w:val="00696B1B"/>
    <w:rsid w:val="00696C5F"/>
    <w:rsid w:val="00696E81"/>
    <w:rsid w:val="00696F02"/>
    <w:rsid w:val="00696F59"/>
    <w:rsid w:val="00697051"/>
    <w:rsid w:val="0069707C"/>
    <w:rsid w:val="006970F1"/>
    <w:rsid w:val="006971DB"/>
    <w:rsid w:val="006972D2"/>
    <w:rsid w:val="0069733B"/>
    <w:rsid w:val="00697539"/>
    <w:rsid w:val="006975BD"/>
    <w:rsid w:val="00697772"/>
    <w:rsid w:val="00697849"/>
    <w:rsid w:val="0069799A"/>
    <w:rsid w:val="006979ED"/>
    <w:rsid w:val="00697AE5"/>
    <w:rsid w:val="00697C98"/>
    <w:rsid w:val="00697CC6"/>
    <w:rsid w:val="00697E13"/>
    <w:rsid w:val="00697E41"/>
    <w:rsid w:val="00697ED4"/>
    <w:rsid w:val="00697EF1"/>
    <w:rsid w:val="00697F3E"/>
    <w:rsid w:val="006A00EB"/>
    <w:rsid w:val="006A013F"/>
    <w:rsid w:val="006A01AD"/>
    <w:rsid w:val="006A0277"/>
    <w:rsid w:val="006A03F5"/>
    <w:rsid w:val="006A0490"/>
    <w:rsid w:val="006A04C6"/>
    <w:rsid w:val="006A05B6"/>
    <w:rsid w:val="006A0677"/>
    <w:rsid w:val="006A068E"/>
    <w:rsid w:val="006A0978"/>
    <w:rsid w:val="006A0993"/>
    <w:rsid w:val="006A0BEF"/>
    <w:rsid w:val="006A0C13"/>
    <w:rsid w:val="006A0C1C"/>
    <w:rsid w:val="006A0CCB"/>
    <w:rsid w:val="006A0D40"/>
    <w:rsid w:val="006A0D91"/>
    <w:rsid w:val="006A0F0A"/>
    <w:rsid w:val="006A101C"/>
    <w:rsid w:val="006A1057"/>
    <w:rsid w:val="006A1111"/>
    <w:rsid w:val="006A11D3"/>
    <w:rsid w:val="006A11D7"/>
    <w:rsid w:val="006A12B5"/>
    <w:rsid w:val="006A131B"/>
    <w:rsid w:val="006A13BE"/>
    <w:rsid w:val="006A140E"/>
    <w:rsid w:val="006A1465"/>
    <w:rsid w:val="006A159C"/>
    <w:rsid w:val="006A1620"/>
    <w:rsid w:val="006A1632"/>
    <w:rsid w:val="006A1731"/>
    <w:rsid w:val="006A17DC"/>
    <w:rsid w:val="006A1892"/>
    <w:rsid w:val="006A18AC"/>
    <w:rsid w:val="006A18F8"/>
    <w:rsid w:val="006A1A78"/>
    <w:rsid w:val="006A1DED"/>
    <w:rsid w:val="006A1F0A"/>
    <w:rsid w:val="006A1F1F"/>
    <w:rsid w:val="006A2005"/>
    <w:rsid w:val="006A2039"/>
    <w:rsid w:val="006A2081"/>
    <w:rsid w:val="006A2126"/>
    <w:rsid w:val="006A2158"/>
    <w:rsid w:val="006A2301"/>
    <w:rsid w:val="006A23AC"/>
    <w:rsid w:val="006A2452"/>
    <w:rsid w:val="006A2565"/>
    <w:rsid w:val="006A261D"/>
    <w:rsid w:val="006A264E"/>
    <w:rsid w:val="006A2698"/>
    <w:rsid w:val="006A2784"/>
    <w:rsid w:val="006A28D9"/>
    <w:rsid w:val="006A2D15"/>
    <w:rsid w:val="006A2DDE"/>
    <w:rsid w:val="006A2DE0"/>
    <w:rsid w:val="006A2E3F"/>
    <w:rsid w:val="006A2EF1"/>
    <w:rsid w:val="006A300C"/>
    <w:rsid w:val="006A31C2"/>
    <w:rsid w:val="006A322A"/>
    <w:rsid w:val="006A3271"/>
    <w:rsid w:val="006A33AB"/>
    <w:rsid w:val="006A344F"/>
    <w:rsid w:val="006A3538"/>
    <w:rsid w:val="006A3680"/>
    <w:rsid w:val="006A373A"/>
    <w:rsid w:val="006A3831"/>
    <w:rsid w:val="006A3874"/>
    <w:rsid w:val="006A3ABC"/>
    <w:rsid w:val="006A3B01"/>
    <w:rsid w:val="006A3CF2"/>
    <w:rsid w:val="006A3D4D"/>
    <w:rsid w:val="006A3D6F"/>
    <w:rsid w:val="006A3D95"/>
    <w:rsid w:val="006A3E0F"/>
    <w:rsid w:val="006A3E53"/>
    <w:rsid w:val="006A3E99"/>
    <w:rsid w:val="006A3EDC"/>
    <w:rsid w:val="006A41E2"/>
    <w:rsid w:val="006A425A"/>
    <w:rsid w:val="006A44B7"/>
    <w:rsid w:val="006A452B"/>
    <w:rsid w:val="006A4569"/>
    <w:rsid w:val="006A458A"/>
    <w:rsid w:val="006A45CE"/>
    <w:rsid w:val="006A4603"/>
    <w:rsid w:val="006A465B"/>
    <w:rsid w:val="006A4783"/>
    <w:rsid w:val="006A480A"/>
    <w:rsid w:val="006A48CE"/>
    <w:rsid w:val="006A49B1"/>
    <w:rsid w:val="006A4B03"/>
    <w:rsid w:val="006A4BCD"/>
    <w:rsid w:val="006A4C5A"/>
    <w:rsid w:val="006A4D67"/>
    <w:rsid w:val="006A4D89"/>
    <w:rsid w:val="006A4DC2"/>
    <w:rsid w:val="006A4DC9"/>
    <w:rsid w:val="006A4E41"/>
    <w:rsid w:val="006A4F04"/>
    <w:rsid w:val="006A501B"/>
    <w:rsid w:val="006A503D"/>
    <w:rsid w:val="006A5048"/>
    <w:rsid w:val="006A50D2"/>
    <w:rsid w:val="006A50DF"/>
    <w:rsid w:val="006A523C"/>
    <w:rsid w:val="006A5240"/>
    <w:rsid w:val="006A52BC"/>
    <w:rsid w:val="006A539B"/>
    <w:rsid w:val="006A555C"/>
    <w:rsid w:val="006A575D"/>
    <w:rsid w:val="006A58D2"/>
    <w:rsid w:val="006A5915"/>
    <w:rsid w:val="006A5A54"/>
    <w:rsid w:val="006A5E39"/>
    <w:rsid w:val="006A5EF5"/>
    <w:rsid w:val="006A5F11"/>
    <w:rsid w:val="006A60C5"/>
    <w:rsid w:val="006A60E8"/>
    <w:rsid w:val="006A61D2"/>
    <w:rsid w:val="006A627A"/>
    <w:rsid w:val="006A62A1"/>
    <w:rsid w:val="006A62E5"/>
    <w:rsid w:val="006A62F4"/>
    <w:rsid w:val="006A6316"/>
    <w:rsid w:val="006A6370"/>
    <w:rsid w:val="006A6458"/>
    <w:rsid w:val="006A64FA"/>
    <w:rsid w:val="006A64FF"/>
    <w:rsid w:val="006A6566"/>
    <w:rsid w:val="006A65AE"/>
    <w:rsid w:val="006A6613"/>
    <w:rsid w:val="006A661F"/>
    <w:rsid w:val="006A662F"/>
    <w:rsid w:val="006A6640"/>
    <w:rsid w:val="006A66DF"/>
    <w:rsid w:val="006A66EB"/>
    <w:rsid w:val="006A6703"/>
    <w:rsid w:val="006A670B"/>
    <w:rsid w:val="006A6806"/>
    <w:rsid w:val="006A6A66"/>
    <w:rsid w:val="006A6A97"/>
    <w:rsid w:val="006A6B0B"/>
    <w:rsid w:val="006A6B16"/>
    <w:rsid w:val="006A6BAB"/>
    <w:rsid w:val="006A6C63"/>
    <w:rsid w:val="006A6D9D"/>
    <w:rsid w:val="006A6DDD"/>
    <w:rsid w:val="006A6E5C"/>
    <w:rsid w:val="006A6ECC"/>
    <w:rsid w:val="006A6F83"/>
    <w:rsid w:val="006A7258"/>
    <w:rsid w:val="006A72E1"/>
    <w:rsid w:val="006A731C"/>
    <w:rsid w:val="006A7496"/>
    <w:rsid w:val="006A7545"/>
    <w:rsid w:val="006A75D0"/>
    <w:rsid w:val="006A75D7"/>
    <w:rsid w:val="006A770F"/>
    <w:rsid w:val="006A7845"/>
    <w:rsid w:val="006A7940"/>
    <w:rsid w:val="006A7961"/>
    <w:rsid w:val="006A7A34"/>
    <w:rsid w:val="006A7BA4"/>
    <w:rsid w:val="006A7CB8"/>
    <w:rsid w:val="006A7E4C"/>
    <w:rsid w:val="006A7F8E"/>
    <w:rsid w:val="006B02AC"/>
    <w:rsid w:val="006B03EC"/>
    <w:rsid w:val="006B04B4"/>
    <w:rsid w:val="006B0588"/>
    <w:rsid w:val="006B0636"/>
    <w:rsid w:val="006B0650"/>
    <w:rsid w:val="006B0652"/>
    <w:rsid w:val="006B07A6"/>
    <w:rsid w:val="006B0961"/>
    <w:rsid w:val="006B0A38"/>
    <w:rsid w:val="006B0A99"/>
    <w:rsid w:val="006B0AFF"/>
    <w:rsid w:val="006B0BB8"/>
    <w:rsid w:val="006B0D55"/>
    <w:rsid w:val="006B0D5C"/>
    <w:rsid w:val="006B0DEE"/>
    <w:rsid w:val="006B0E39"/>
    <w:rsid w:val="006B1019"/>
    <w:rsid w:val="006B1096"/>
    <w:rsid w:val="006B11CB"/>
    <w:rsid w:val="006B11F2"/>
    <w:rsid w:val="006B1360"/>
    <w:rsid w:val="006B13A0"/>
    <w:rsid w:val="006B142D"/>
    <w:rsid w:val="006B14DC"/>
    <w:rsid w:val="006B1593"/>
    <w:rsid w:val="006B166C"/>
    <w:rsid w:val="006B1674"/>
    <w:rsid w:val="006B17CA"/>
    <w:rsid w:val="006B1A5E"/>
    <w:rsid w:val="006B1B2D"/>
    <w:rsid w:val="006B1BA4"/>
    <w:rsid w:val="006B1D23"/>
    <w:rsid w:val="006B1F67"/>
    <w:rsid w:val="006B1FAC"/>
    <w:rsid w:val="006B2047"/>
    <w:rsid w:val="006B229D"/>
    <w:rsid w:val="006B248F"/>
    <w:rsid w:val="006B25B0"/>
    <w:rsid w:val="006B2797"/>
    <w:rsid w:val="006B27D8"/>
    <w:rsid w:val="006B27D9"/>
    <w:rsid w:val="006B29FA"/>
    <w:rsid w:val="006B2B28"/>
    <w:rsid w:val="006B2B37"/>
    <w:rsid w:val="006B2D99"/>
    <w:rsid w:val="006B2DDB"/>
    <w:rsid w:val="006B2EC4"/>
    <w:rsid w:val="006B2F71"/>
    <w:rsid w:val="006B2FF3"/>
    <w:rsid w:val="006B31B9"/>
    <w:rsid w:val="006B31E9"/>
    <w:rsid w:val="006B324D"/>
    <w:rsid w:val="006B3317"/>
    <w:rsid w:val="006B33D2"/>
    <w:rsid w:val="006B35B9"/>
    <w:rsid w:val="006B37AC"/>
    <w:rsid w:val="006B3853"/>
    <w:rsid w:val="006B38D8"/>
    <w:rsid w:val="006B399A"/>
    <w:rsid w:val="006B3AD6"/>
    <w:rsid w:val="006B3AE8"/>
    <w:rsid w:val="006B3AFE"/>
    <w:rsid w:val="006B3B15"/>
    <w:rsid w:val="006B3C19"/>
    <w:rsid w:val="006B3D13"/>
    <w:rsid w:val="006B3D16"/>
    <w:rsid w:val="006B3E9C"/>
    <w:rsid w:val="006B3E9E"/>
    <w:rsid w:val="006B3F8D"/>
    <w:rsid w:val="006B42C9"/>
    <w:rsid w:val="006B4307"/>
    <w:rsid w:val="006B4317"/>
    <w:rsid w:val="006B432F"/>
    <w:rsid w:val="006B438C"/>
    <w:rsid w:val="006B43F8"/>
    <w:rsid w:val="006B44AF"/>
    <w:rsid w:val="006B44BD"/>
    <w:rsid w:val="006B44DC"/>
    <w:rsid w:val="006B4544"/>
    <w:rsid w:val="006B45C3"/>
    <w:rsid w:val="006B46BF"/>
    <w:rsid w:val="006B4719"/>
    <w:rsid w:val="006B4755"/>
    <w:rsid w:val="006B4764"/>
    <w:rsid w:val="006B48A1"/>
    <w:rsid w:val="006B4A58"/>
    <w:rsid w:val="006B4B5E"/>
    <w:rsid w:val="006B4B98"/>
    <w:rsid w:val="006B4BF4"/>
    <w:rsid w:val="006B4CEA"/>
    <w:rsid w:val="006B4D22"/>
    <w:rsid w:val="006B4DBD"/>
    <w:rsid w:val="006B4DDC"/>
    <w:rsid w:val="006B4E7C"/>
    <w:rsid w:val="006B4F6B"/>
    <w:rsid w:val="006B5000"/>
    <w:rsid w:val="006B5008"/>
    <w:rsid w:val="006B5133"/>
    <w:rsid w:val="006B513B"/>
    <w:rsid w:val="006B5162"/>
    <w:rsid w:val="006B522D"/>
    <w:rsid w:val="006B530E"/>
    <w:rsid w:val="006B535C"/>
    <w:rsid w:val="006B54D1"/>
    <w:rsid w:val="006B55A9"/>
    <w:rsid w:val="006B561E"/>
    <w:rsid w:val="006B572C"/>
    <w:rsid w:val="006B579D"/>
    <w:rsid w:val="006B5805"/>
    <w:rsid w:val="006B5A41"/>
    <w:rsid w:val="006B5A8D"/>
    <w:rsid w:val="006B5AA0"/>
    <w:rsid w:val="006B5B8F"/>
    <w:rsid w:val="006B5BD4"/>
    <w:rsid w:val="006B5C0F"/>
    <w:rsid w:val="006B5D26"/>
    <w:rsid w:val="006B5DAE"/>
    <w:rsid w:val="006B5DCA"/>
    <w:rsid w:val="006B5E48"/>
    <w:rsid w:val="006B5E59"/>
    <w:rsid w:val="006B5ECC"/>
    <w:rsid w:val="006B5F36"/>
    <w:rsid w:val="006B606B"/>
    <w:rsid w:val="006B60C6"/>
    <w:rsid w:val="006B623C"/>
    <w:rsid w:val="006B624C"/>
    <w:rsid w:val="006B6256"/>
    <w:rsid w:val="006B62C5"/>
    <w:rsid w:val="006B632D"/>
    <w:rsid w:val="006B63DC"/>
    <w:rsid w:val="006B6465"/>
    <w:rsid w:val="006B6565"/>
    <w:rsid w:val="006B67FC"/>
    <w:rsid w:val="006B6830"/>
    <w:rsid w:val="006B6937"/>
    <w:rsid w:val="006B697E"/>
    <w:rsid w:val="006B6A14"/>
    <w:rsid w:val="006B6C81"/>
    <w:rsid w:val="006B6C91"/>
    <w:rsid w:val="006B6E46"/>
    <w:rsid w:val="006B6EF6"/>
    <w:rsid w:val="006B6F7B"/>
    <w:rsid w:val="006B6F92"/>
    <w:rsid w:val="006B709A"/>
    <w:rsid w:val="006B71D9"/>
    <w:rsid w:val="006B723B"/>
    <w:rsid w:val="006B744E"/>
    <w:rsid w:val="006B745D"/>
    <w:rsid w:val="006B747C"/>
    <w:rsid w:val="006B75C5"/>
    <w:rsid w:val="006B75E3"/>
    <w:rsid w:val="006B7634"/>
    <w:rsid w:val="006B764C"/>
    <w:rsid w:val="006B7831"/>
    <w:rsid w:val="006B7857"/>
    <w:rsid w:val="006B78EC"/>
    <w:rsid w:val="006B79AC"/>
    <w:rsid w:val="006B79B7"/>
    <w:rsid w:val="006B7AA2"/>
    <w:rsid w:val="006B7B44"/>
    <w:rsid w:val="006B7C29"/>
    <w:rsid w:val="006B7C7D"/>
    <w:rsid w:val="006B7EBE"/>
    <w:rsid w:val="006B7EC9"/>
    <w:rsid w:val="006B7ED2"/>
    <w:rsid w:val="006B7FEE"/>
    <w:rsid w:val="006C005E"/>
    <w:rsid w:val="006C00DB"/>
    <w:rsid w:val="006C01B1"/>
    <w:rsid w:val="006C0220"/>
    <w:rsid w:val="006C0334"/>
    <w:rsid w:val="006C0398"/>
    <w:rsid w:val="006C0543"/>
    <w:rsid w:val="006C06AD"/>
    <w:rsid w:val="006C06C6"/>
    <w:rsid w:val="006C08AD"/>
    <w:rsid w:val="006C08FC"/>
    <w:rsid w:val="006C0920"/>
    <w:rsid w:val="006C0A79"/>
    <w:rsid w:val="006C0CF3"/>
    <w:rsid w:val="006C1112"/>
    <w:rsid w:val="006C15FF"/>
    <w:rsid w:val="006C1688"/>
    <w:rsid w:val="006C16AA"/>
    <w:rsid w:val="006C16B9"/>
    <w:rsid w:val="006C175E"/>
    <w:rsid w:val="006C179D"/>
    <w:rsid w:val="006C181A"/>
    <w:rsid w:val="006C1877"/>
    <w:rsid w:val="006C189E"/>
    <w:rsid w:val="006C18BF"/>
    <w:rsid w:val="006C199C"/>
    <w:rsid w:val="006C19AD"/>
    <w:rsid w:val="006C1A2F"/>
    <w:rsid w:val="006C1A51"/>
    <w:rsid w:val="006C1AF7"/>
    <w:rsid w:val="006C1C05"/>
    <w:rsid w:val="006C1C4F"/>
    <w:rsid w:val="006C1C91"/>
    <w:rsid w:val="006C1D26"/>
    <w:rsid w:val="006C1DC1"/>
    <w:rsid w:val="006C1E32"/>
    <w:rsid w:val="006C1E41"/>
    <w:rsid w:val="006C1F2C"/>
    <w:rsid w:val="006C1F46"/>
    <w:rsid w:val="006C202B"/>
    <w:rsid w:val="006C2056"/>
    <w:rsid w:val="006C2108"/>
    <w:rsid w:val="006C2184"/>
    <w:rsid w:val="006C22FA"/>
    <w:rsid w:val="006C2310"/>
    <w:rsid w:val="006C2368"/>
    <w:rsid w:val="006C236A"/>
    <w:rsid w:val="006C249C"/>
    <w:rsid w:val="006C2512"/>
    <w:rsid w:val="006C25C0"/>
    <w:rsid w:val="006C26F7"/>
    <w:rsid w:val="006C27AF"/>
    <w:rsid w:val="006C2819"/>
    <w:rsid w:val="006C2AD6"/>
    <w:rsid w:val="006C2BE1"/>
    <w:rsid w:val="006C2C6F"/>
    <w:rsid w:val="006C2C81"/>
    <w:rsid w:val="006C2FA5"/>
    <w:rsid w:val="006C2FAF"/>
    <w:rsid w:val="006C3051"/>
    <w:rsid w:val="006C313E"/>
    <w:rsid w:val="006C31A5"/>
    <w:rsid w:val="006C335B"/>
    <w:rsid w:val="006C33CB"/>
    <w:rsid w:val="006C33DB"/>
    <w:rsid w:val="006C33E8"/>
    <w:rsid w:val="006C349E"/>
    <w:rsid w:val="006C3C12"/>
    <w:rsid w:val="006C3C5A"/>
    <w:rsid w:val="006C3C9D"/>
    <w:rsid w:val="006C3D5B"/>
    <w:rsid w:val="006C3EF6"/>
    <w:rsid w:val="006C3F26"/>
    <w:rsid w:val="006C3F75"/>
    <w:rsid w:val="006C3FE4"/>
    <w:rsid w:val="006C4019"/>
    <w:rsid w:val="006C4033"/>
    <w:rsid w:val="006C403F"/>
    <w:rsid w:val="006C412D"/>
    <w:rsid w:val="006C4269"/>
    <w:rsid w:val="006C4372"/>
    <w:rsid w:val="006C43BB"/>
    <w:rsid w:val="006C456C"/>
    <w:rsid w:val="006C45D5"/>
    <w:rsid w:val="006C4622"/>
    <w:rsid w:val="006C46B3"/>
    <w:rsid w:val="006C491C"/>
    <w:rsid w:val="006C4AE1"/>
    <w:rsid w:val="006C4BB7"/>
    <w:rsid w:val="006C4D53"/>
    <w:rsid w:val="006C4DC6"/>
    <w:rsid w:val="006C4E11"/>
    <w:rsid w:val="006C4E5E"/>
    <w:rsid w:val="006C4EFE"/>
    <w:rsid w:val="006C4F39"/>
    <w:rsid w:val="006C4F58"/>
    <w:rsid w:val="006C5202"/>
    <w:rsid w:val="006C533F"/>
    <w:rsid w:val="006C5373"/>
    <w:rsid w:val="006C5391"/>
    <w:rsid w:val="006C5471"/>
    <w:rsid w:val="006C58A7"/>
    <w:rsid w:val="006C58B8"/>
    <w:rsid w:val="006C58CA"/>
    <w:rsid w:val="006C590F"/>
    <w:rsid w:val="006C598A"/>
    <w:rsid w:val="006C59F2"/>
    <w:rsid w:val="006C5A50"/>
    <w:rsid w:val="006C5AC5"/>
    <w:rsid w:val="006C5BF1"/>
    <w:rsid w:val="006C5C47"/>
    <w:rsid w:val="006C5E25"/>
    <w:rsid w:val="006C5E86"/>
    <w:rsid w:val="006C6074"/>
    <w:rsid w:val="006C6126"/>
    <w:rsid w:val="006C61F7"/>
    <w:rsid w:val="006C6339"/>
    <w:rsid w:val="006C649F"/>
    <w:rsid w:val="006C65CE"/>
    <w:rsid w:val="006C6632"/>
    <w:rsid w:val="006C6746"/>
    <w:rsid w:val="006C67CF"/>
    <w:rsid w:val="006C68B6"/>
    <w:rsid w:val="006C6B2A"/>
    <w:rsid w:val="006C6B97"/>
    <w:rsid w:val="006C6C87"/>
    <w:rsid w:val="006C6D29"/>
    <w:rsid w:val="006C6E4D"/>
    <w:rsid w:val="006C6E5E"/>
    <w:rsid w:val="006C726F"/>
    <w:rsid w:val="006C729A"/>
    <w:rsid w:val="006C7374"/>
    <w:rsid w:val="006C74C0"/>
    <w:rsid w:val="006C75D4"/>
    <w:rsid w:val="006C77F0"/>
    <w:rsid w:val="006C789A"/>
    <w:rsid w:val="006C7A30"/>
    <w:rsid w:val="006C7A50"/>
    <w:rsid w:val="006C7BA9"/>
    <w:rsid w:val="006C7BC4"/>
    <w:rsid w:val="006C7E35"/>
    <w:rsid w:val="006C7F39"/>
    <w:rsid w:val="006C7F78"/>
    <w:rsid w:val="006D00E4"/>
    <w:rsid w:val="006D023A"/>
    <w:rsid w:val="006D0268"/>
    <w:rsid w:val="006D0335"/>
    <w:rsid w:val="006D052E"/>
    <w:rsid w:val="006D05AF"/>
    <w:rsid w:val="006D06F5"/>
    <w:rsid w:val="006D0856"/>
    <w:rsid w:val="006D08B0"/>
    <w:rsid w:val="006D0975"/>
    <w:rsid w:val="006D0B6C"/>
    <w:rsid w:val="006D0BD8"/>
    <w:rsid w:val="006D0BE1"/>
    <w:rsid w:val="006D0BFF"/>
    <w:rsid w:val="006D0CBE"/>
    <w:rsid w:val="006D0D05"/>
    <w:rsid w:val="006D0D19"/>
    <w:rsid w:val="006D11E5"/>
    <w:rsid w:val="006D126F"/>
    <w:rsid w:val="006D12D7"/>
    <w:rsid w:val="006D1405"/>
    <w:rsid w:val="006D151C"/>
    <w:rsid w:val="006D162A"/>
    <w:rsid w:val="006D16B0"/>
    <w:rsid w:val="006D1806"/>
    <w:rsid w:val="006D1827"/>
    <w:rsid w:val="006D18C1"/>
    <w:rsid w:val="006D1937"/>
    <w:rsid w:val="006D1944"/>
    <w:rsid w:val="006D1982"/>
    <w:rsid w:val="006D1A3A"/>
    <w:rsid w:val="006D1B11"/>
    <w:rsid w:val="006D1B71"/>
    <w:rsid w:val="006D1D3A"/>
    <w:rsid w:val="006D1E4C"/>
    <w:rsid w:val="006D2008"/>
    <w:rsid w:val="006D2063"/>
    <w:rsid w:val="006D2200"/>
    <w:rsid w:val="006D2207"/>
    <w:rsid w:val="006D2213"/>
    <w:rsid w:val="006D22DC"/>
    <w:rsid w:val="006D239C"/>
    <w:rsid w:val="006D23E0"/>
    <w:rsid w:val="006D24EA"/>
    <w:rsid w:val="006D24EB"/>
    <w:rsid w:val="006D25AB"/>
    <w:rsid w:val="006D26A3"/>
    <w:rsid w:val="006D279A"/>
    <w:rsid w:val="006D2804"/>
    <w:rsid w:val="006D28C2"/>
    <w:rsid w:val="006D2908"/>
    <w:rsid w:val="006D2C3B"/>
    <w:rsid w:val="006D2D8A"/>
    <w:rsid w:val="006D2E68"/>
    <w:rsid w:val="006D30E3"/>
    <w:rsid w:val="006D3158"/>
    <w:rsid w:val="006D32D7"/>
    <w:rsid w:val="006D3610"/>
    <w:rsid w:val="006D3625"/>
    <w:rsid w:val="006D385B"/>
    <w:rsid w:val="006D386B"/>
    <w:rsid w:val="006D38A9"/>
    <w:rsid w:val="006D394E"/>
    <w:rsid w:val="006D396A"/>
    <w:rsid w:val="006D3ADA"/>
    <w:rsid w:val="006D3B86"/>
    <w:rsid w:val="006D3B93"/>
    <w:rsid w:val="006D3BB6"/>
    <w:rsid w:val="006D3C80"/>
    <w:rsid w:val="006D3CFE"/>
    <w:rsid w:val="006D3E22"/>
    <w:rsid w:val="006D3EBC"/>
    <w:rsid w:val="006D3ECD"/>
    <w:rsid w:val="006D3F2F"/>
    <w:rsid w:val="006D3F8D"/>
    <w:rsid w:val="006D403D"/>
    <w:rsid w:val="006D407E"/>
    <w:rsid w:val="006D4117"/>
    <w:rsid w:val="006D4145"/>
    <w:rsid w:val="006D4230"/>
    <w:rsid w:val="006D4269"/>
    <w:rsid w:val="006D42C2"/>
    <w:rsid w:val="006D430C"/>
    <w:rsid w:val="006D438F"/>
    <w:rsid w:val="006D44F4"/>
    <w:rsid w:val="006D459A"/>
    <w:rsid w:val="006D470D"/>
    <w:rsid w:val="006D47DC"/>
    <w:rsid w:val="006D4800"/>
    <w:rsid w:val="006D488E"/>
    <w:rsid w:val="006D4B2A"/>
    <w:rsid w:val="006D4B7B"/>
    <w:rsid w:val="006D4C29"/>
    <w:rsid w:val="006D4C3B"/>
    <w:rsid w:val="006D4E2F"/>
    <w:rsid w:val="006D4E42"/>
    <w:rsid w:val="006D4E46"/>
    <w:rsid w:val="006D4FCB"/>
    <w:rsid w:val="006D5007"/>
    <w:rsid w:val="006D50B1"/>
    <w:rsid w:val="006D5145"/>
    <w:rsid w:val="006D51E7"/>
    <w:rsid w:val="006D5234"/>
    <w:rsid w:val="006D5374"/>
    <w:rsid w:val="006D5434"/>
    <w:rsid w:val="006D54F8"/>
    <w:rsid w:val="006D54F9"/>
    <w:rsid w:val="006D5554"/>
    <w:rsid w:val="006D56DD"/>
    <w:rsid w:val="006D57DB"/>
    <w:rsid w:val="006D5866"/>
    <w:rsid w:val="006D5A6C"/>
    <w:rsid w:val="006D5A7F"/>
    <w:rsid w:val="006D5B2D"/>
    <w:rsid w:val="006D5B3A"/>
    <w:rsid w:val="006D5BE3"/>
    <w:rsid w:val="006D5BE7"/>
    <w:rsid w:val="006D5E4B"/>
    <w:rsid w:val="006D5EA6"/>
    <w:rsid w:val="006D6027"/>
    <w:rsid w:val="006D6138"/>
    <w:rsid w:val="006D62A7"/>
    <w:rsid w:val="006D62CF"/>
    <w:rsid w:val="006D6438"/>
    <w:rsid w:val="006D6452"/>
    <w:rsid w:val="006D6575"/>
    <w:rsid w:val="006D661C"/>
    <w:rsid w:val="006D6774"/>
    <w:rsid w:val="006D687F"/>
    <w:rsid w:val="006D68F8"/>
    <w:rsid w:val="006D693D"/>
    <w:rsid w:val="006D6B0D"/>
    <w:rsid w:val="006D6C91"/>
    <w:rsid w:val="006D6CE7"/>
    <w:rsid w:val="006D6CF7"/>
    <w:rsid w:val="006D6D7B"/>
    <w:rsid w:val="006D6DAF"/>
    <w:rsid w:val="006D6F3F"/>
    <w:rsid w:val="006D6FAC"/>
    <w:rsid w:val="006D705E"/>
    <w:rsid w:val="006D7068"/>
    <w:rsid w:val="006D720F"/>
    <w:rsid w:val="006D7487"/>
    <w:rsid w:val="006D753F"/>
    <w:rsid w:val="006D75A9"/>
    <w:rsid w:val="006D75EB"/>
    <w:rsid w:val="006D76B8"/>
    <w:rsid w:val="006D7741"/>
    <w:rsid w:val="006D7756"/>
    <w:rsid w:val="006D79B2"/>
    <w:rsid w:val="006D79BB"/>
    <w:rsid w:val="006D79FB"/>
    <w:rsid w:val="006D7A11"/>
    <w:rsid w:val="006D7ADF"/>
    <w:rsid w:val="006D7CC6"/>
    <w:rsid w:val="006D7CEE"/>
    <w:rsid w:val="006D7D19"/>
    <w:rsid w:val="006D7F38"/>
    <w:rsid w:val="006D7FC3"/>
    <w:rsid w:val="006D7FD6"/>
    <w:rsid w:val="006E00E7"/>
    <w:rsid w:val="006E0195"/>
    <w:rsid w:val="006E01F5"/>
    <w:rsid w:val="006E0294"/>
    <w:rsid w:val="006E03C5"/>
    <w:rsid w:val="006E0483"/>
    <w:rsid w:val="006E0540"/>
    <w:rsid w:val="006E05F0"/>
    <w:rsid w:val="006E0626"/>
    <w:rsid w:val="006E066F"/>
    <w:rsid w:val="006E0786"/>
    <w:rsid w:val="006E07AC"/>
    <w:rsid w:val="006E0930"/>
    <w:rsid w:val="006E0A8A"/>
    <w:rsid w:val="006E0B25"/>
    <w:rsid w:val="006E0BA4"/>
    <w:rsid w:val="006E0C65"/>
    <w:rsid w:val="006E0D81"/>
    <w:rsid w:val="006E0D92"/>
    <w:rsid w:val="006E0E89"/>
    <w:rsid w:val="006E0F3E"/>
    <w:rsid w:val="006E0F55"/>
    <w:rsid w:val="006E0FCF"/>
    <w:rsid w:val="006E1142"/>
    <w:rsid w:val="006E1154"/>
    <w:rsid w:val="006E115D"/>
    <w:rsid w:val="006E1289"/>
    <w:rsid w:val="006E1315"/>
    <w:rsid w:val="006E135B"/>
    <w:rsid w:val="006E147D"/>
    <w:rsid w:val="006E149B"/>
    <w:rsid w:val="006E14CD"/>
    <w:rsid w:val="006E1616"/>
    <w:rsid w:val="006E167D"/>
    <w:rsid w:val="006E179E"/>
    <w:rsid w:val="006E17B6"/>
    <w:rsid w:val="006E1868"/>
    <w:rsid w:val="006E1A41"/>
    <w:rsid w:val="006E1CDB"/>
    <w:rsid w:val="006E1D49"/>
    <w:rsid w:val="006E1E1D"/>
    <w:rsid w:val="006E1E73"/>
    <w:rsid w:val="006E1FEF"/>
    <w:rsid w:val="006E2274"/>
    <w:rsid w:val="006E235F"/>
    <w:rsid w:val="006E24FE"/>
    <w:rsid w:val="006E25A3"/>
    <w:rsid w:val="006E26D7"/>
    <w:rsid w:val="006E290C"/>
    <w:rsid w:val="006E292D"/>
    <w:rsid w:val="006E2A93"/>
    <w:rsid w:val="006E2B80"/>
    <w:rsid w:val="006E2D06"/>
    <w:rsid w:val="006E2E46"/>
    <w:rsid w:val="006E2EAE"/>
    <w:rsid w:val="006E2EE0"/>
    <w:rsid w:val="006E2F22"/>
    <w:rsid w:val="006E2FEE"/>
    <w:rsid w:val="006E3052"/>
    <w:rsid w:val="006E309C"/>
    <w:rsid w:val="006E3244"/>
    <w:rsid w:val="006E328F"/>
    <w:rsid w:val="006E3322"/>
    <w:rsid w:val="006E3388"/>
    <w:rsid w:val="006E347A"/>
    <w:rsid w:val="006E34DF"/>
    <w:rsid w:val="006E3526"/>
    <w:rsid w:val="006E360C"/>
    <w:rsid w:val="006E36C5"/>
    <w:rsid w:val="006E3708"/>
    <w:rsid w:val="006E3726"/>
    <w:rsid w:val="006E37F6"/>
    <w:rsid w:val="006E386C"/>
    <w:rsid w:val="006E38FE"/>
    <w:rsid w:val="006E3A9F"/>
    <w:rsid w:val="006E3D1A"/>
    <w:rsid w:val="006E3D2F"/>
    <w:rsid w:val="006E3D7F"/>
    <w:rsid w:val="006E3E00"/>
    <w:rsid w:val="006E3F2D"/>
    <w:rsid w:val="006E3F49"/>
    <w:rsid w:val="006E3F65"/>
    <w:rsid w:val="006E4054"/>
    <w:rsid w:val="006E41E9"/>
    <w:rsid w:val="006E42CF"/>
    <w:rsid w:val="006E43B1"/>
    <w:rsid w:val="006E45FC"/>
    <w:rsid w:val="006E4670"/>
    <w:rsid w:val="006E474A"/>
    <w:rsid w:val="006E4905"/>
    <w:rsid w:val="006E494B"/>
    <w:rsid w:val="006E4978"/>
    <w:rsid w:val="006E4A41"/>
    <w:rsid w:val="006E4B5A"/>
    <w:rsid w:val="006E4D4C"/>
    <w:rsid w:val="006E4DC0"/>
    <w:rsid w:val="006E4E10"/>
    <w:rsid w:val="006E4EB0"/>
    <w:rsid w:val="006E4F76"/>
    <w:rsid w:val="006E50C7"/>
    <w:rsid w:val="006E5106"/>
    <w:rsid w:val="006E517B"/>
    <w:rsid w:val="006E5238"/>
    <w:rsid w:val="006E538C"/>
    <w:rsid w:val="006E55D0"/>
    <w:rsid w:val="006E5607"/>
    <w:rsid w:val="006E565F"/>
    <w:rsid w:val="006E568E"/>
    <w:rsid w:val="006E5691"/>
    <w:rsid w:val="006E5725"/>
    <w:rsid w:val="006E5958"/>
    <w:rsid w:val="006E5A2F"/>
    <w:rsid w:val="006E5B6C"/>
    <w:rsid w:val="006E5C69"/>
    <w:rsid w:val="006E5D3B"/>
    <w:rsid w:val="006E5FA9"/>
    <w:rsid w:val="006E604E"/>
    <w:rsid w:val="006E60BE"/>
    <w:rsid w:val="006E61CB"/>
    <w:rsid w:val="006E6266"/>
    <w:rsid w:val="006E63F1"/>
    <w:rsid w:val="006E64CE"/>
    <w:rsid w:val="006E6587"/>
    <w:rsid w:val="006E65E8"/>
    <w:rsid w:val="006E6615"/>
    <w:rsid w:val="006E66F2"/>
    <w:rsid w:val="006E6798"/>
    <w:rsid w:val="006E68F3"/>
    <w:rsid w:val="006E69B3"/>
    <w:rsid w:val="006E69F2"/>
    <w:rsid w:val="006E6A4E"/>
    <w:rsid w:val="006E6CE0"/>
    <w:rsid w:val="006E6D7D"/>
    <w:rsid w:val="006E6D97"/>
    <w:rsid w:val="006E6E59"/>
    <w:rsid w:val="006E705A"/>
    <w:rsid w:val="006E710B"/>
    <w:rsid w:val="006E7136"/>
    <w:rsid w:val="006E717F"/>
    <w:rsid w:val="006E71B3"/>
    <w:rsid w:val="006E7235"/>
    <w:rsid w:val="006E73CC"/>
    <w:rsid w:val="006E73D7"/>
    <w:rsid w:val="006E745D"/>
    <w:rsid w:val="006E746C"/>
    <w:rsid w:val="006E7649"/>
    <w:rsid w:val="006E7765"/>
    <w:rsid w:val="006E77E9"/>
    <w:rsid w:val="006E7812"/>
    <w:rsid w:val="006E789F"/>
    <w:rsid w:val="006E7936"/>
    <w:rsid w:val="006E79C8"/>
    <w:rsid w:val="006E7A40"/>
    <w:rsid w:val="006E7C0D"/>
    <w:rsid w:val="006E7C20"/>
    <w:rsid w:val="006E7E76"/>
    <w:rsid w:val="006F0046"/>
    <w:rsid w:val="006F006A"/>
    <w:rsid w:val="006F0162"/>
    <w:rsid w:val="006F0210"/>
    <w:rsid w:val="006F0394"/>
    <w:rsid w:val="006F03D1"/>
    <w:rsid w:val="006F04B4"/>
    <w:rsid w:val="006F04FC"/>
    <w:rsid w:val="006F0527"/>
    <w:rsid w:val="006F074F"/>
    <w:rsid w:val="006F091B"/>
    <w:rsid w:val="006F0966"/>
    <w:rsid w:val="006F098A"/>
    <w:rsid w:val="006F0B20"/>
    <w:rsid w:val="006F0F6B"/>
    <w:rsid w:val="006F104C"/>
    <w:rsid w:val="006F114C"/>
    <w:rsid w:val="006F11BF"/>
    <w:rsid w:val="006F125C"/>
    <w:rsid w:val="006F12F1"/>
    <w:rsid w:val="006F1339"/>
    <w:rsid w:val="006F143F"/>
    <w:rsid w:val="006F14C3"/>
    <w:rsid w:val="006F14D1"/>
    <w:rsid w:val="006F1527"/>
    <w:rsid w:val="006F1676"/>
    <w:rsid w:val="006F16E7"/>
    <w:rsid w:val="006F1884"/>
    <w:rsid w:val="006F1913"/>
    <w:rsid w:val="006F1AAB"/>
    <w:rsid w:val="006F1B15"/>
    <w:rsid w:val="006F1BEA"/>
    <w:rsid w:val="006F1C0F"/>
    <w:rsid w:val="006F1C19"/>
    <w:rsid w:val="006F1C61"/>
    <w:rsid w:val="006F1D7F"/>
    <w:rsid w:val="006F1D9A"/>
    <w:rsid w:val="006F1FB9"/>
    <w:rsid w:val="006F20B8"/>
    <w:rsid w:val="006F20CB"/>
    <w:rsid w:val="006F217D"/>
    <w:rsid w:val="006F2186"/>
    <w:rsid w:val="006F2322"/>
    <w:rsid w:val="006F2362"/>
    <w:rsid w:val="006F2398"/>
    <w:rsid w:val="006F2442"/>
    <w:rsid w:val="006F2572"/>
    <w:rsid w:val="006F264A"/>
    <w:rsid w:val="006F26D7"/>
    <w:rsid w:val="006F2787"/>
    <w:rsid w:val="006F2888"/>
    <w:rsid w:val="006F293F"/>
    <w:rsid w:val="006F29FB"/>
    <w:rsid w:val="006F2D17"/>
    <w:rsid w:val="006F2D4D"/>
    <w:rsid w:val="006F2D62"/>
    <w:rsid w:val="006F2D7B"/>
    <w:rsid w:val="006F30A5"/>
    <w:rsid w:val="006F310A"/>
    <w:rsid w:val="006F311A"/>
    <w:rsid w:val="006F31E1"/>
    <w:rsid w:val="006F32B5"/>
    <w:rsid w:val="006F3326"/>
    <w:rsid w:val="006F351D"/>
    <w:rsid w:val="006F354A"/>
    <w:rsid w:val="006F35D6"/>
    <w:rsid w:val="006F3757"/>
    <w:rsid w:val="006F3794"/>
    <w:rsid w:val="006F395C"/>
    <w:rsid w:val="006F3977"/>
    <w:rsid w:val="006F39DA"/>
    <w:rsid w:val="006F3BB6"/>
    <w:rsid w:val="006F3DBF"/>
    <w:rsid w:val="006F3EFE"/>
    <w:rsid w:val="006F3F55"/>
    <w:rsid w:val="006F3F75"/>
    <w:rsid w:val="006F4020"/>
    <w:rsid w:val="006F4104"/>
    <w:rsid w:val="006F4219"/>
    <w:rsid w:val="006F42A8"/>
    <w:rsid w:val="006F4368"/>
    <w:rsid w:val="006F438F"/>
    <w:rsid w:val="006F4417"/>
    <w:rsid w:val="006F4446"/>
    <w:rsid w:val="006F44B1"/>
    <w:rsid w:val="006F44D8"/>
    <w:rsid w:val="006F4537"/>
    <w:rsid w:val="006F45B2"/>
    <w:rsid w:val="006F4630"/>
    <w:rsid w:val="006F4647"/>
    <w:rsid w:val="006F4706"/>
    <w:rsid w:val="006F4730"/>
    <w:rsid w:val="006F4764"/>
    <w:rsid w:val="006F4817"/>
    <w:rsid w:val="006F4824"/>
    <w:rsid w:val="006F49A5"/>
    <w:rsid w:val="006F4AA0"/>
    <w:rsid w:val="006F4B0F"/>
    <w:rsid w:val="006F4E1C"/>
    <w:rsid w:val="006F4EB5"/>
    <w:rsid w:val="006F4FF5"/>
    <w:rsid w:val="006F51DA"/>
    <w:rsid w:val="006F5306"/>
    <w:rsid w:val="006F541C"/>
    <w:rsid w:val="006F54DD"/>
    <w:rsid w:val="006F5638"/>
    <w:rsid w:val="006F56AF"/>
    <w:rsid w:val="006F56B7"/>
    <w:rsid w:val="006F576E"/>
    <w:rsid w:val="006F5808"/>
    <w:rsid w:val="006F5ACC"/>
    <w:rsid w:val="006F5B3D"/>
    <w:rsid w:val="006F5B3E"/>
    <w:rsid w:val="006F5BA0"/>
    <w:rsid w:val="006F5CF4"/>
    <w:rsid w:val="006F5DE6"/>
    <w:rsid w:val="006F5E88"/>
    <w:rsid w:val="006F5FFA"/>
    <w:rsid w:val="006F6039"/>
    <w:rsid w:val="006F6169"/>
    <w:rsid w:val="006F63C9"/>
    <w:rsid w:val="006F6489"/>
    <w:rsid w:val="006F64C4"/>
    <w:rsid w:val="006F656B"/>
    <w:rsid w:val="006F65BC"/>
    <w:rsid w:val="006F65E5"/>
    <w:rsid w:val="006F6744"/>
    <w:rsid w:val="006F6766"/>
    <w:rsid w:val="006F6780"/>
    <w:rsid w:val="006F6A24"/>
    <w:rsid w:val="006F6A4A"/>
    <w:rsid w:val="006F6AFF"/>
    <w:rsid w:val="006F6B6C"/>
    <w:rsid w:val="006F6D27"/>
    <w:rsid w:val="006F6DEF"/>
    <w:rsid w:val="006F6E62"/>
    <w:rsid w:val="006F6EFA"/>
    <w:rsid w:val="006F6FA3"/>
    <w:rsid w:val="006F6FEE"/>
    <w:rsid w:val="006F73FF"/>
    <w:rsid w:val="006F746D"/>
    <w:rsid w:val="006F751B"/>
    <w:rsid w:val="006F7549"/>
    <w:rsid w:val="006F75CE"/>
    <w:rsid w:val="006F76D5"/>
    <w:rsid w:val="006F76D6"/>
    <w:rsid w:val="006F78EE"/>
    <w:rsid w:val="006F7952"/>
    <w:rsid w:val="006F7A5D"/>
    <w:rsid w:val="006F7A5E"/>
    <w:rsid w:val="006F7AD5"/>
    <w:rsid w:val="006F7B67"/>
    <w:rsid w:val="006F7C05"/>
    <w:rsid w:val="006F7C43"/>
    <w:rsid w:val="006F7DEE"/>
    <w:rsid w:val="006F7EC6"/>
    <w:rsid w:val="006F7F76"/>
    <w:rsid w:val="006F7FC4"/>
    <w:rsid w:val="006FAD6A"/>
    <w:rsid w:val="00700349"/>
    <w:rsid w:val="007005D3"/>
    <w:rsid w:val="0070063E"/>
    <w:rsid w:val="00700651"/>
    <w:rsid w:val="007007E4"/>
    <w:rsid w:val="0070087C"/>
    <w:rsid w:val="0070091B"/>
    <w:rsid w:val="0070099B"/>
    <w:rsid w:val="007009E7"/>
    <w:rsid w:val="00700A5D"/>
    <w:rsid w:val="00700A9C"/>
    <w:rsid w:val="00700D02"/>
    <w:rsid w:val="00700D05"/>
    <w:rsid w:val="00700D62"/>
    <w:rsid w:val="00700D70"/>
    <w:rsid w:val="00700FDD"/>
    <w:rsid w:val="00701127"/>
    <w:rsid w:val="0070113B"/>
    <w:rsid w:val="00701204"/>
    <w:rsid w:val="00701278"/>
    <w:rsid w:val="00701500"/>
    <w:rsid w:val="00701700"/>
    <w:rsid w:val="0070181E"/>
    <w:rsid w:val="00701983"/>
    <w:rsid w:val="007019B4"/>
    <w:rsid w:val="00701A18"/>
    <w:rsid w:val="00701B32"/>
    <w:rsid w:val="00701BE5"/>
    <w:rsid w:val="00701CF4"/>
    <w:rsid w:val="00701DD3"/>
    <w:rsid w:val="00701EBC"/>
    <w:rsid w:val="00701F96"/>
    <w:rsid w:val="0070210A"/>
    <w:rsid w:val="00702363"/>
    <w:rsid w:val="007023A0"/>
    <w:rsid w:val="007023C5"/>
    <w:rsid w:val="00702472"/>
    <w:rsid w:val="007024AE"/>
    <w:rsid w:val="007024F3"/>
    <w:rsid w:val="00702525"/>
    <w:rsid w:val="00702559"/>
    <w:rsid w:val="00702587"/>
    <w:rsid w:val="0070262E"/>
    <w:rsid w:val="00702777"/>
    <w:rsid w:val="007027F1"/>
    <w:rsid w:val="00702840"/>
    <w:rsid w:val="0070298B"/>
    <w:rsid w:val="00702A4E"/>
    <w:rsid w:val="00702C96"/>
    <w:rsid w:val="00702CA1"/>
    <w:rsid w:val="00702CD8"/>
    <w:rsid w:val="00702D2C"/>
    <w:rsid w:val="00702D65"/>
    <w:rsid w:val="00702EC6"/>
    <w:rsid w:val="00702EF4"/>
    <w:rsid w:val="00702F87"/>
    <w:rsid w:val="00702F9E"/>
    <w:rsid w:val="00702FF0"/>
    <w:rsid w:val="00703063"/>
    <w:rsid w:val="00703290"/>
    <w:rsid w:val="007032B8"/>
    <w:rsid w:val="00703323"/>
    <w:rsid w:val="007033B9"/>
    <w:rsid w:val="00703429"/>
    <w:rsid w:val="00703446"/>
    <w:rsid w:val="00703523"/>
    <w:rsid w:val="00703610"/>
    <w:rsid w:val="007037C1"/>
    <w:rsid w:val="007037D3"/>
    <w:rsid w:val="00703841"/>
    <w:rsid w:val="00703848"/>
    <w:rsid w:val="00703875"/>
    <w:rsid w:val="00703A33"/>
    <w:rsid w:val="00703ACD"/>
    <w:rsid w:val="00703C81"/>
    <w:rsid w:val="00703D0E"/>
    <w:rsid w:val="00703E1D"/>
    <w:rsid w:val="00703F4B"/>
    <w:rsid w:val="00703F83"/>
    <w:rsid w:val="00703FB4"/>
    <w:rsid w:val="007040AE"/>
    <w:rsid w:val="007042F7"/>
    <w:rsid w:val="00704303"/>
    <w:rsid w:val="00704501"/>
    <w:rsid w:val="00704666"/>
    <w:rsid w:val="00704669"/>
    <w:rsid w:val="0070477B"/>
    <w:rsid w:val="007049AB"/>
    <w:rsid w:val="00704A56"/>
    <w:rsid w:val="00704A7B"/>
    <w:rsid w:val="00704BA3"/>
    <w:rsid w:val="00704BE4"/>
    <w:rsid w:val="00704C4A"/>
    <w:rsid w:val="00704C76"/>
    <w:rsid w:val="00704D40"/>
    <w:rsid w:val="00704E3A"/>
    <w:rsid w:val="00704EDA"/>
    <w:rsid w:val="00705116"/>
    <w:rsid w:val="0070513A"/>
    <w:rsid w:val="00705143"/>
    <w:rsid w:val="00705172"/>
    <w:rsid w:val="0070519E"/>
    <w:rsid w:val="00705253"/>
    <w:rsid w:val="00705301"/>
    <w:rsid w:val="00705336"/>
    <w:rsid w:val="00705368"/>
    <w:rsid w:val="007053B6"/>
    <w:rsid w:val="007053C1"/>
    <w:rsid w:val="007053C3"/>
    <w:rsid w:val="007053E7"/>
    <w:rsid w:val="0070552C"/>
    <w:rsid w:val="00705597"/>
    <w:rsid w:val="00705653"/>
    <w:rsid w:val="0070566F"/>
    <w:rsid w:val="00705706"/>
    <w:rsid w:val="0070579F"/>
    <w:rsid w:val="007057A2"/>
    <w:rsid w:val="007057F9"/>
    <w:rsid w:val="007058DC"/>
    <w:rsid w:val="007058E2"/>
    <w:rsid w:val="00705905"/>
    <w:rsid w:val="0070597F"/>
    <w:rsid w:val="00705BFE"/>
    <w:rsid w:val="00705D37"/>
    <w:rsid w:val="00705E88"/>
    <w:rsid w:val="00705EFD"/>
    <w:rsid w:val="00705F20"/>
    <w:rsid w:val="007060EC"/>
    <w:rsid w:val="007060F5"/>
    <w:rsid w:val="007061E2"/>
    <w:rsid w:val="0070621F"/>
    <w:rsid w:val="00706316"/>
    <w:rsid w:val="00706359"/>
    <w:rsid w:val="00706448"/>
    <w:rsid w:val="00706519"/>
    <w:rsid w:val="0070651C"/>
    <w:rsid w:val="007065C5"/>
    <w:rsid w:val="007066CA"/>
    <w:rsid w:val="00706918"/>
    <w:rsid w:val="00706960"/>
    <w:rsid w:val="00706B5D"/>
    <w:rsid w:val="00706C2D"/>
    <w:rsid w:val="00706C40"/>
    <w:rsid w:val="00706D88"/>
    <w:rsid w:val="00706E9F"/>
    <w:rsid w:val="00706EE3"/>
    <w:rsid w:val="00706F7C"/>
    <w:rsid w:val="0070718D"/>
    <w:rsid w:val="00707235"/>
    <w:rsid w:val="007072DC"/>
    <w:rsid w:val="007074A1"/>
    <w:rsid w:val="007078BF"/>
    <w:rsid w:val="007078C2"/>
    <w:rsid w:val="0070799B"/>
    <w:rsid w:val="007079CE"/>
    <w:rsid w:val="007079E6"/>
    <w:rsid w:val="00707A68"/>
    <w:rsid w:val="00707C45"/>
    <w:rsid w:val="00707C87"/>
    <w:rsid w:val="00707D5F"/>
    <w:rsid w:val="00707D6E"/>
    <w:rsid w:val="00707E15"/>
    <w:rsid w:val="00707E24"/>
    <w:rsid w:val="00707E48"/>
    <w:rsid w:val="00707F44"/>
    <w:rsid w:val="0070B55F"/>
    <w:rsid w:val="00710052"/>
    <w:rsid w:val="007100A4"/>
    <w:rsid w:val="0071012A"/>
    <w:rsid w:val="00710141"/>
    <w:rsid w:val="007101BE"/>
    <w:rsid w:val="0071025A"/>
    <w:rsid w:val="0071026C"/>
    <w:rsid w:val="00710298"/>
    <w:rsid w:val="007102AA"/>
    <w:rsid w:val="007102C6"/>
    <w:rsid w:val="00710326"/>
    <w:rsid w:val="007103D2"/>
    <w:rsid w:val="00710474"/>
    <w:rsid w:val="0071049F"/>
    <w:rsid w:val="0071060A"/>
    <w:rsid w:val="00710673"/>
    <w:rsid w:val="0071071E"/>
    <w:rsid w:val="00710735"/>
    <w:rsid w:val="00710786"/>
    <w:rsid w:val="00710955"/>
    <w:rsid w:val="00710A14"/>
    <w:rsid w:val="00710A78"/>
    <w:rsid w:val="00710AD5"/>
    <w:rsid w:val="00710BB7"/>
    <w:rsid w:val="00710C1D"/>
    <w:rsid w:val="00710ED4"/>
    <w:rsid w:val="00710FF6"/>
    <w:rsid w:val="0071102D"/>
    <w:rsid w:val="0071110F"/>
    <w:rsid w:val="00711112"/>
    <w:rsid w:val="007113E5"/>
    <w:rsid w:val="00711428"/>
    <w:rsid w:val="00711557"/>
    <w:rsid w:val="00711562"/>
    <w:rsid w:val="007115BD"/>
    <w:rsid w:val="007116AF"/>
    <w:rsid w:val="00711808"/>
    <w:rsid w:val="00711814"/>
    <w:rsid w:val="007118AE"/>
    <w:rsid w:val="007119A1"/>
    <w:rsid w:val="00711BE3"/>
    <w:rsid w:val="00711CF8"/>
    <w:rsid w:val="00711D63"/>
    <w:rsid w:val="00711D67"/>
    <w:rsid w:val="00711D75"/>
    <w:rsid w:val="00711D79"/>
    <w:rsid w:val="00711DF8"/>
    <w:rsid w:val="00711E61"/>
    <w:rsid w:val="00711E83"/>
    <w:rsid w:val="00712021"/>
    <w:rsid w:val="0071225D"/>
    <w:rsid w:val="007122DC"/>
    <w:rsid w:val="007123C0"/>
    <w:rsid w:val="007124DE"/>
    <w:rsid w:val="00712686"/>
    <w:rsid w:val="0071284A"/>
    <w:rsid w:val="00712A9A"/>
    <w:rsid w:val="00712AB2"/>
    <w:rsid w:val="00712B50"/>
    <w:rsid w:val="00712E67"/>
    <w:rsid w:val="00713073"/>
    <w:rsid w:val="007130ED"/>
    <w:rsid w:val="007130F0"/>
    <w:rsid w:val="00713172"/>
    <w:rsid w:val="007131E4"/>
    <w:rsid w:val="0071363A"/>
    <w:rsid w:val="00713725"/>
    <w:rsid w:val="0071381F"/>
    <w:rsid w:val="00713832"/>
    <w:rsid w:val="007138FC"/>
    <w:rsid w:val="00713925"/>
    <w:rsid w:val="007139B5"/>
    <w:rsid w:val="00713A11"/>
    <w:rsid w:val="00713A18"/>
    <w:rsid w:val="00713A4F"/>
    <w:rsid w:val="00713B4B"/>
    <w:rsid w:val="00713D25"/>
    <w:rsid w:val="00713E2A"/>
    <w:rsid w:val="00713EF3"/>
    <w:rsid w:val="00713F11"/>
    <w:rsid w:val="00713F5A"/>
    <w:rsid w:val="00714177"/>
    <w:rsid w:val="007141B9"/>
    <w:rsid w:val="0071433B"/>
    <w:rsid w:val="00714345"/>
    <w:rsid w:val="007143D2"/>
    <w:rsid w:val="0071440E"/>
    <w:rsid w:val="0071450B"/>
    <w:rsid w:val="007145F6"/>
    <w:rsid w:val="0071460F"/>
    <w:rsid w:val="007146F0"/>
    <w:rsid w:val="00714786"/>
    <w:rsid w:val="00714790"/>
    <w:rsid w:val="00714798"/>
    <w:rsid w:val="00714925"/>
    <w:rsid w:val="0071492D"/>
    <w:rsid w:val="0071493B"/>
    <w:rsid w:val="00714A85"/>
    <w:rsid w:val="00714ABC"/>
    <w:rsid w:val="00714C9F"/>
    <w:rsid w:val="00714D33"/>
    <w:rsid w:val="00714E2A"/>
    <w:rsid w:val="00714E5B"/>
    <w:rsid w:val="00714FAE"/>
    <w:rsid w:val="00714FC4"/>
    <w:rsid w:val="00715100"/>
    <w:rsid w:val="00715127"/>
    <w:rsid w:val="00715260"/>
    <w:rsid w:val="007153A2"/>
    <w:rsid w:val="0071541F"/>
    <w:rsid w:val="00715539"/>
    <w:rsid w:val="007155A3"/>
    <w:rsid w:val="00715604"/>
    <w:rsid w:val="0071563C"/>
    <w:rsid w:val="00715646"/>
    <w:rsid w:val="007156CD"/>
    <w:rsid w:val="0071571F"/>
    <w:rsid w:val="00715763"/>
    <w:rsid w:val="007157B2"/>
    <w:rsid w:val="007157D0"/>
    <w:rsid w:val="007157EB"/>
    <w:rsid w:val="00715881"/>
    <w:rsid w:val="007159DB"/>
    <w:rsid w:val="00715A65"/>
    <w:rsid w:val="00715AA2"/>
    <w:rsid w:val="00715B64"/>
    <w:rsid w:val="00715BA8"/>
    <w:rsid w:val="00715BB3"/>
    <w:rsid w:val="00715D16"/>
    <w:rsid w:val="00715DDC"/>
    <w:rsid w:val="00715E16"/>
    <w:rsid w:val="00715E79"/>
    <w:rsid w:val="00715EB1"/>
    <w:rsid w:val="00715FE4"/>
    <w:rsid w:val="00715FE6"/>
    <w:rsid w:val="0071600D"/>
    <w:rsid w:val="0071606A"/>
    <w:rsid w:val="007160A9"/>
    <w:rsid w:val="007160DB"/>
    <w:rsid w:val="0071610A"/>
    <w:rsid w:val="0071613C"/>
    <w:rsid w:val="007161ED"/>
    <w:rsid w:val="00716205"/>
    <w:rsid w:val="0071621E"/>
    <w:rsid w:val="00716227"/>
    <w:rsid w:val="007163C0"/>
    <w:rsid w:val="007163E8"/>
    <w:rsid w:val="0071641A"/>
    <w:rsid w:val="007164AD"/>
    <w:rsid w:val="0071658C"/>
    <w:rsid w:val="007166C5"/>
    <w:rsid w:val="00716950"/>
    <w:rsid w:val="00716A01"/>
    <w:rsid w:val="00716AEE"/>
    <w:rsid w:val="00716B53"/>
    <w:rsid w:val="00716D50"/>
    <w:rsid w:val="00716D6B"/>
    <w:rsid w:val="00716DC8"/>
    <w:rsid w:val="00716E26"/>
    <w:rsid w:val="00716E38"/>
    <w:rsid w:val="00716E70"/>
    <w:rsid w:val="00716F5A"/>
    <w:rsid w:val="00716F70"/>
    <w:rsid w:val="00716FE5"/>
    <w:rsid w:val="00717035"/>
    <w:rsid w:val="007172CB"/>
    <w:rsid w:val="007172DB"/>
    <w:rsid w:val="007173CA"/>
    <w:rsid w:val="0071743B"/>
    <w:rsid w:val="00717515"/>
    <w:rsid w:val="007175BE"/>
    <w:rsid w:val="0071764D"/>
    <w:rsid w:val="0071785D"/>
    <w:rsid w:val="007178A5"/>
    <w:rsid w:val="007179D0"/>
    <w:rsid w:val="007179DD"/>
    <w:rsid w:val="00717A84"/>
    <w:rsid w:val="00717AA2"/>
    <w:rsid w:val="00717ACC"/>
    <w:rsid w:val="00717B1A"/>
    <w:rsid w:val="00717B4A"/>
    <w:rsid w:val="00717C33"/>
    <w:rsid w:val="00717D07"/>
    <w:rsid w:val="00717D5D"/>
    <w:rsid w:val="00717E36"/>
    <w:rsid w:val="00717F1D"/>
    <w:rsid w:val="00720082"/>
    <w:rsid w:val="0072036B"/>
    <w:rsid w:val="007203F0"/>
    <w:rsid w:val="0072044C"/>
    <w:rsid w:val="007204E4"/>
    <w:rsid w:val="007205E5"/>
    <w:rsid w:val="00720625"/>
    <w:rsid w:val="00720699"/>
    <w:rsid w:val="007206F4"/>
    <w:rsid w:val="0072082E"/>
    <w:rsid w:val="00720A03"/>
    <w:rsid w:val="00720AE8"/>
    <w:rsid w:val="00720B37"/>
    <w:rsid w:val="00720D29"/>
    <w:rsid w:val="00720E17"/>
    <w:rsid w:val="00720E99"/>
    <w:rsid w:val="00720EA4"/>
    <w:rsid w:val="00720FB6"/>
    <w:rsid w:val="00720FC2"/>
    <w:rsid w:val="00720FE6"/>
    <w:rsid w:val="0072101A"/>
    <w:rsid w:val="00721069"/>
    <w:rsid w:val="0072108D"/>
    <w:rsid w:val="007212C3"/>
    <w:rsid w:val="00721304"/>
    <w:rsid w:val="007214F1"/>
    <w:rsid w:val="00721625"/>
    <w:rsid w:val="007216A4"/>
    <w:rsid w:val="007216B7"/>
    <w:rsid w:val="00721752"/>
    <w:rsid w:val="0072198D"/>
    <w:rsid w:val="007219F9"/>
    <w:rsid w:val="00721A2A"/>
    <w:rsid w:val="00721BAD"/>
    <w:rsid w:val="00721C3B"/>
    <w:rsid w:val="00721D97"/>
    <w:rsid w:val="007220F5"/>
    <w:rsid w:val="0072211F"/>
    <w:rsid w:val="0072215A"/>
    <w:rsid w:val="00722171"/>
    <w:rsid w:val="00722316"/>
    <w:rsid w:val="007224EE"/>
    <w:rsid w:val="00722589"/>
    <w:rsid w:val="007225BD"/>
    <w:rsid w:val="00722639"/>
    <w:rsid w:val="007226CE"/>
    <w:rsid w:val="00722793"/>
    <w:rsid w:val="007227E0"/>
    <w:rsid w:val="007228A1"/>
    <w:rsid w:val="007228A9"/>
    <w:rsid w:val="007229B7"/>
    <w:rsid w:val="007229CB"/>
    <w:rsid w:val="00722A18"/>
    <w:rsid w:val="00722A7C"/>
    <w:rsid w:val="00722B03"/>
    <w:rsid w:val="00722BE0"/>
    <w:rsid w:val="00722BE3"/>
    <w:rsid w:val="00722CBB"/>
    <w:rsid w:val="00722CC2"/>
    <w:rsid w:val="00722DC7"/>
    <w:rsid w:val="00722EDB"/>
    <w:rsid w:val="00722EE9"/>
    <w:rsid w:val="00722F1D"/>
    <w:rsid w:val="00722F85"/>
    <w:rsid w:val="0072319A"/>
    <w:rsid w:val="007232D1"/>
    <w:rsid w:val="007234CA"/>
    <w:rsid w:val="007235FB"/>
    <w:rsid w:val="007235FE"/>
    <w:rsid w:val="00723657"/>
    <w:rsid w:val="007239CF"/>
    <w:rsid w:val="007239DA"/>
    <w:rsid w:val="00723B01"/>
    <w:rsid w:val="00723BBC"/>
    <w:rsid w:val="00723BFC"/>
    <w:rsid w:val="00723C05"/>
    <w:rsid w:val="00723C87"/>
    <w:rsid w:val="00723CC6"/>
    <w:rsid w:val="00723D6E"/>
    <w:rsid w:val="00723DD6"/>
    <w:rsid w:val="00723E77"/>
    <w:rsid w:val="00723FBA"/>
    <w:rsid w:val="0072412D"/>
    <w:rsid w:val="007241E5"/>
    <w:rsid w:val="007242FE"/>
    <w:rsid w:val="0072438D"/>
    <w:rsid w:val="00724404"/>
    <w:rsid w:val="00724454"/>
    <w:rsid w:val="007244F3"/>
    <w:rsid w:val="0072464D"/>
    <w:rsid w:val="00724812"/>
    <w:rsid w:val="00724826"/>
    <w:rsid w:val="007248F4"/>
    <w:rsid w:val="007249BD"/>
    <w:rsid w:val="007249C9"/>
    <w:rsid w:val="00724A17"/>
    <w:rsid w:val="00724A99"/>
    <w:rsid w:val="00724B13"/>
    <w:rsid w:val="00724BE0"/>
    <w:rsid w:val="00724C1B"/>
    <w:rsid w:val="00724E32"/>
    <w:rsid w:val="00724E4C"/>
    <w:rsid w:val="00724E4D"/>
    <w:rsid w:val="00724EB1"/>
    <w:rsid w:val="00724EF6"/>
    <w:rsid w:val="00724F9D"/>
    <w:rsid w:val="007250FB"/>
    <w:rsid w:val="00725182"/>
    <w:rsid w:val="00725202"/>
    <w:rsid w:val="007253DB"/>
    <w:rsid w:val="007255B1"/>
    <w:rsid w:val="007256A5"/>
    <w:rsid w:val="00725944"/>
    <w:rsid w:val="00725953"/>
    <w:rsid w:val="00725956"/>
    <w:rsid w:val="00725B52"/>
    <w:rsid w:val="00725C78"/>
    <w:rsid w:val="00725C88"/>
    <w:rsid w:val="00725E29"/>
    <w:rsid w:val="00725EAD"/>
    <w:rsid w:val="00725EBA"/>
    <w:rsid w:val="00725EBE"/>
    <w:rsid w:val="00725FB4"/>
    <w:rsid w:val="00725FFE"/>
    <w:rsid w:val="0072601E"/>
    <w:rsid w:val="00726075"/>
    <w:rsid w:val="00726110"/>
    <w:rsid w:val="0072613C"/>
    <w:rsid w:val="00726198"/>
    <w:rsid w:val="00726234"/>
    <w:rsid w:val="00726310"/>
    <w:rsid w:val="0072631E"/>
    <w:rsid w:val="007263E6"/>
    <w:rsid w:val="007263FB"/>
    <w:rsid w:val="00726443"/>
    <w:rsid w:val="0072645E"/>
    <w:rsid w:val="007265BE"/>
    <w:rsid w:val="00726683"/>
    <w:rsid w:val="007266BD"/>
    <w:rsid w:val="007266FD"/>
    <w:rsid w:val="0072673F"/>
    <w:rsid w:val="00726A57"/>
    <w:rsid w:val="00726ACD"/>
    <w:rsid w:val="00726AF6"/>
    <w:rsid w:val="00726B2B"/>
    <w:rsid w:val="00726B53"/>
    <w:rsid w:val="00726C3A"/>
    <w:rsid w:val="00726D46"/>
    <w:rsid w:val="00726DFE"/>
    <w:rsid w:val="00726EF1"/>
    <w:rsid w:val="00726F05"/>
    <w:rsid w:val="00726F17"/>
    <w:rsid w:val="00726FE2"/>
    <w:rsid w:val="00727103"/>
    <w:rsid w:val="007271D2"/>
    <w:rsid w:val="007273E0"/>
    <w:rsid w:val="007274BE"/>
    <w:rsid w:val="007274D4"/>
    <w:rsid w:val="007276B3"/>
    <w:rsid w:val="00727700"/>
    <w:rsid w:val="007277D9"/>
    <w:rsid w:val="00727A8D"/>
    <w:rsid w:val="00727AA4"/>
    <w:rsid w:val="00727AC4"/>
    <w:rsid w:val="00727B1F"/>
    <w:rsid w:val="00727B64"/>
    <w:rsid w:val="00727CA1"/>
    <w:rsid w:val="00727CC8"/>
    <w:rsid w:val="00727D5F"/>
    <w:rsid w:val="00727DD4"/>
    <w:rsid w:val="00727F36"/>
    <w:rsid w:val="00730005"/>
    <w:rsid w:val="00730067"/>
    <w:rsid w:val="0073030E"/>
    <w:rsid w:val="0073038F"/>
    <w:rsid w:val="0073041E"/>
    <w:rsid w:val="0073049E"/>
    <w:rsid w:val="007304CC"/>
    <w:rsid w:val="007308C0"/>
    <w:rsid w:val="007308F5"/>
    <w:rsid w:val="00730ABD"/>
    <w:rsid w:val="00730B49"/>
    <w:rsid w:val="00730BE0"/>
    <w:rsid w:val="00730C06"/>
    <w:rsid w:val="00730D9E"/>
    <w:rsid w:val="00730E1C"/>
    <w:rsid w:val="00730E31"/>
    <w:rsid w:val="00731143"/>
    <w:rsid w:val="00731364"/>
    <w:rsid w:val="0073139D"/>
    <w:rsid w:val="007313BD"/>
    <w:rsid w:val="007313EC"/>
    <w:rsid w:val="007313FE"/>
    <w:rsid w:val="00731444"/>
    <w:rsid w:val="0073151B"/>
    <w:rsid w:val="0073165C"/>
    <w:rsid w:val="00731715"/>
    <w:rsid w:val="00731725"/>
    <w:rsid w:val="0073177E"/>
    <w:rsid w:val="007317C9"/>
    <w:rsid w:val="007317F8"/>
    <w:rsid w:val="00731823"/>
    <w:rsid w:val="00731914"/>
    <w:rsid w:val="0073194D"/>
    <w:rsid w:val="00731AC4"/>
    <w:rsid w:val="00731B53"/>
    <w:rsid w:val="00731C3F"/>
    <w:rsid w:val="00731D27"/>
    <w:rsid w:val="00731E42"/>
    <w:rsid w:val="00731F1B"/>
    <w:rsid w:val="00731F1F"/>
    <w:rsid w:val="00731FF5"/>
    <w:rsid w:val="00731FF6"/>
    <w:rsid w:val="00732080"/>
    <w:rsid w:val="0073215A"/>
    <w:rsid w:val="0073223A"/>
    <w:rsid w:val="007322F6"/>
    <w:rsid w:val="0073248B"/>
    <w:rsid w:val="007327A2"/>
    <w:rsid w:val="007327DC"/>
    <w:rsid w:val="0073292E"/>
    <w:rsid w:val="00732A2D"/>
    <w:rsid w:val="00732B2A"/>
    <w:rsid w:val="00732B3A"/>
    <w:rsid w:val="00732D46"/>
    <w:rsid w:val="00732F81"/>
    <w:rsid w:val="007331AC"/>
    <w:rsid w:val="00733282"/>
    <w:rsid w:val="007332B2"/>
    <w:rsid w:val="007332F8"/>
    <w:rsid w:val="00733350"/>
    <w:rsid w:val="00733564"/>
    <w:rsid w:val="007335F7"/>
    <w:rsid w:val="0073369B"/>
    <w:rsid w:val="007336FD"/>
    <w:rsid w:val="007337A5"/>
    <w:rsid w:val="007337DC"/>
    <w:rsid w:val="0073395F"/>
    <w:rsid w:val="00733A16"/>
    <w:rsid w:val="00733ABB"/>
    <w:rsid w:val="00733B35"/>
    <w:rsid w:val="00733B99"/>
    <w:rsid w:val="00733CEE"/>
    <w:rsid w:val="00733D17"/>
    <w:rsid w:val="00733DC0"/>
    <w:rsid w:val="00733F13"/>
    <w:rsid w:val="00734044"/>
    <w:rsid w:val="007340B3"/>
    <w:rsid w:val="00734213"/>
    <w:rsid w:val="00734337"/>
    <w:rsid w:val="007343C9"/>
    <w:rsid w:val="00734501"/>
    <w:rsid w:val="007345BF"/>
    <w:rsid w:val="00734617"/>
    <w:rsid w:val="0073476B"/>
    <w:rsid w:val="0073491E"/>
    <w:rsid w:val="00734987"/>
    <w:rsid w:val="00734A71"/>
    <w:rsid w:val="00734AC9"/>
    <w:rsid w:val="00734BFD"/>
    <w:rsid w:val="00734C2C"/>
    <w:rsid w:val="00734D89"/>
    <w:rsid w:val="00734DA9"/>
    <w:rsid w:val="00734E01"/>
    <w:rsid w:val="00734E16"/>
    <w:rsid w:val="00734EAA"/>
    <w:rsid w:val="0073501D"/>
    <w:rsid w:val="007351C7"/>
    <w:rsid w:val="007351D4"/>
    <w:rsid w:val="007353E8"/>
    <w:rsid w:val="00735519"/>
    <w:rsid w:val="0073553A"/>
    <w:rsid w:val="007355D4"/>
    <w:rsid w:val="00735695"/>
    <w:rsid w:val="00735721"/>
    <w:rsid w:val="00735731"/>
    <w:rsid w:val="00735759"/>
    <w:rsid w:val="00735796"/>
    <w:rsid w:val="0073579E"/>
    <w:rsid w:val="007357B4"/>
    <w:rsid w:val="00735966"/>
    <w:rsid w:val="00735983"/>
    <w:rsid w:val="00735AF2"/>
    <w:rsid w:val="00735BEB"/>
    <w:rsid w:val="00735D79"/>
    <w:rsid w:val="00735E30"/>
    <w:rsid w:val="00735F76"/>
    <w:rsid w:val="0073608D"/>
    <w:rsid w:val="00736171"/>
    <w:rsid w:val="007361A1"/>
    <w:rsid w:val="007361C8"/>
    <w:rsid w:val="00736342"/>
    <w:rsid w:val="00736389"/>
    <w:rsid w:val="0073642C"/>
    <w:rsid w:val="007364AB"/>
    <w:rsid w:val="007364EB"/>
    <w:rsid w:val="007365AF"/>
    <w:rsid w:val="0073665F"/>
    <w:rsid w:val="0073673C"/>
    <w:rsid w:val="0073676D"/>
    <w:rsid w:val="007368A9"/>
    <w:rsid w:val="007368B8"/>
    <w:rsid w:val="00736937"/>
    <w:rsid w:val="00736A7D"/>
    <w:rsid w:val="00736BD0"/>
    <w:rsid w:val="00736C03"/>
    <w:rsid w:val="00736C47"/>
    <w:rsid w:val="00736D99"/>
    <w:rsid w:val="00736DD5"/>
    <w:rsid w:val="00736EE9"/>
    <w:rsid w:val="00736F46"/>
    <w:rsid w:val="00736FA8"/>
    <w:rsid w:val="007370E7"/>
    <w:rsid w:val="00737220"/>
    <w:rsid w:val="00737281"/>
    <w:rsid w:val="0073730E"/>
    <w:rsid w:val="00737337"/>
    <w:rsid w:val="00737548"/>
    <w:rsid w:val="0073756D"/>
    <w:rsid w:val="007375BD"/>
    <w:rsid w:val="0073767F"/>
    <w:rsid w:val="007376FB"/>
    <w:rsid w:val="0073771A"/>
    <w:rsid w:val="007377E9"/>
    <w:rsid w:val="00737818"/>
    <w:rsid w:val="00737931"/>
    <w:rsid w:val="0073793E"/>
    <w:rsid w:val="00737986"/>
    <w:rsid w:val="00737AD4"/>
    <w:rsid w:val="00737CD9"/>
    <w:rsid w:val="00737D6A"/>
    <w:rsid w:val="00737EC9"/>
    <w:rsid w:val="00737EDD"/>
    <w:rsid w:val="007400B3"/>
    <w:rsid w:val="007400B4"/>
    <w:rsid w:val="00740169"/>
    <w:rsid w:val="00740170"/>
    <w:rsid w:val="007401FC"/>
    <w:rsid w:val="0074023B"/>
    <w:rsid w:val="00740304"/>
    <w:rsid w:val="007403BD"/>
    <w:rsid w:val="007404BD"/>
    <w:rsid w:val="007404F4"/>
    <w:rsid w:val="0074053E"/>
    <w:rsid w:val="0074056C"/>
    <w:rsid w:val="00740683"/>
    <w:rsid w:val="007408B9"/>
    <w:rsid w:val="007408D0"/>
    <w:rsid w:val="00740907"/>
    <w:rsid w:val="00740B23"/>
    <w:rsid w:val="00740B88"/>
    <w:rsid w:val="00740BD5"/>
    <w:rsid w:val="00740BF6"/>
    <w:rsid w:val="00740C6C"/>
    <w:rsid w:val="00740DED"/>
    <w:rsid w:val="00740E45"/>
    <w:rsid w:val="00740EC4"/>
    <w:rsid w:val="0074118D"/>
    <w:rsid w:val="007411DD"/>
    <w:rsid w:val="00741234"/>
    <w:rsid w:val="00741374"/>
    <w:rsid w:val="007414C5"/>
    <w:rsid w:val="0074153F"/>
    <w:rsid w:val="007417E4"/>
    <w:rsid w:val="007418A3"/>
    <w:rsid w:val="007418AE"/>
    <w:rsid w:val="007418D4"/>
    <w:rsid w:val="00741A4F"/>
    <w:rsid w:val="00741ADA"/>
    <w:rsid w:val="00741B17"/>
    <w:rsid w:val="00741BF4"/>
    <w:rsid w:val="00741E61"/>
    <w:rsid w:val="00741F4A"/>
    <w:rsid w:val="00741F5D"/>
    <w:rsid w:val="00741F68"/>
    <w:rsid w:val="00741F99"/>
    <w:rsid w:val="00741FF1"/>
    <w:rsid w:val="0074208D"/>
    <w:rsid w:val="007420C4"/>
    <w:rsid w:val="007421B1"/>
    <w:rsid w:val="00742206"/>
    <w:rsid w:val="00742426"/>
    <w:rsid w:val="007425E1"/>
    <w:rsid w:val="00742661"/>
    <w:rsid w:val="00742673"/>
    <w:rsid w:val="007428B0"/>
    <w:rsid w:val="00742992"/>
    <w:rsid w:val="007429FD"/>
    <w:rsid w:val="00742A25"/>
    <w:rsid w:val="00742B66"/>
    <w:rsid w:val="00742C41"/>
    <w:rsid w:val="00742CB3"/>
    <w:rsid w:val="00742CEB"/>
    <w:rsid w:val="00742E8B"/>
    <w:rsid w:val="00742E95"/>
    <w:rsid w:val="00742ECE"/>
    <w:rsid w:val="0074305C"/>
    <w:rsid w:val="00743121"/>
    <w:rsid w:val="007431D0"/>
    <w:rsid w:val="0074322F"/>
    <w:rsid w:val="007432AA"/>
    <w:rsid w:val="007432C1"/>
    <w:rsid w:val="00743300"/>
    <w:rsid w:val="007434AA"/>
    <w:rsid w:val="0074368F"/>
    <w:rsid w:val="007436E8"/>
    <w:rsid w:val="007437AA"/>
    <w:rsid w:val="00743897"/>
    <w:rsid w:val="0074389C"/>
    <w:rsid w:val="007438A8"/>
    <w:rsid w:val="007439DB"/>
    <w:rsid w:val="00743AC3"/>
    <w:rsid w:val="00743BB0"/>
    <w:rsid w:val="00743C24"/>
    <w:rsid w:val="00743C78"/>
    <w:rsid w:val="00743CA3"/>
    <w:rsid w:val="00743CDC"/>
    <w:rsid w:val="00743DDE"/>
    <w:rsid w:val="00743E99"/>
    <w:rsid w:val="00744006"/>
    <w:rsid w:val="00744083"/>
    <w:rsid w:val="007440DF"/>
    <w:rsid w:val="007441CD"/>
    <w:rsid w:val="007441D7"/>
    <w:rsid w:val="0074429D"/>
    <w:rsid w:val="0074431C"/>
    <w:rsid w:val="0074441D"/>
    <w:rsid w:val="00744573"/>
    <w:rsid w:val="007445D1"/>
    <w:rsid w:val="0074461A"/>
    <w:rsid w:val="00744699"/>
    <w:rsid w:val="007448B7"/>
    <w:rsid w:val="007448DE"/>
    <w:rsid w:val="00744B72"/>
    <w:rsid w:val="00744D5B"/>
    <w:rsid w:val="00745029"/>
    <w:rsid w:val="00745077"/>
    <w:rsid w:val="0074514B"/>
    <w:rsid w:val="0074519F"/>
    <w:rsid w:val="00745378"/>
    <w:rsid w:val="00745465"/>
    <w:rsid w:val="0074552F"/>
    <w:rsid w:val="00745544"/>
    <w:rsid w:val="007455F9"/>
    <w:rsid w:val="007456BE"/>
    <w:rsid w:val="007456CD"/>
    <w:rsid w:val="007456E6"/>
    <w:rsid w:val="007457FB"/>
    <w:rsid w:val="00745826"/>
    <w:rsid w:val="0074585C"/>
    <w:rsid w:val="007458CD"/>
    <w:rsid w:val="0074594F"/>
    <w:rsid w:val="00745AD7"/>
    <w:rsid w:val="00745BD2"/>
    <w:rsid w:val="00745CF1"/>
    <w:rsid w:val="00745D3F"/>
    <w:rsid w:val="00745D70"/>
    <w:rsid w:val="00745E32"/>
    <w:rsid w:val="00745EBA"/>
    <w:rsid w:val="007460D7"/>
    <w:rsid w:val="0074615F"/>
    <w:rsid w:val="00746193"/>
    <w:rsid w:val="00746341"/>
    <w:rsid w:val="0074638C"/>
    <w:rsid w:val="00746463"/>
    <w:rsid w:val="0074651F"/>
    <w:rsid w:val="007465B0"/>
    <w:rsid w:val="007467FF"/>
    <w:rsid w:val="007468EC"/>
    <w:rsid w:val="007469A4"/>
    <w:rsid w:val="00746C01"/>
    <w:rsid w:val="00746D13"/>
    <w:rsid w:val="00746F46"/>
    <w:rsid w:val="00746FA7"/>
    <w:rsid w:val="00746FE8"/>
    <w:rsid w:val="0074710C"/>
    <w:rsid w:val="007472FF"/>
    <w:rsid w:val="007474BC"/>
    <w:rsid w:val="007475F2"/>
    <w:rsid w:val="007476C3"/>
    <w:rsid w:val="0074771E"/>
    <w:rsid w:val="00747733"/>
    <w:rsid w:val="00747790"/>
    <w:rsid w:val="007478DA"/>
    <w:rsid w:val="00747A44"/>
    <w:rsid w:val="00747A52"/>
    <w:rsid w:val="00747A55"/>
    <w:rsid w:val="00747AA6"/>
    <w:rsid w:val="00747B64"/>
    <w:rsid w:val="00747BD1"/>
    <w:rsid w:val="00747C22"/>
    <w:rsid w:val="00747DD0"/>
    <w:rsid w:val="007501BD"/>
    <w:rsid w:val="007501D8"/>
    <w:rsid w:val="00750245"/>
    <w:rsid w:val="007502C3"/>
    <w:rsid w:val="0075037C"/>
    <w:rsid w:val="007503B7"/>
    <w:rsid w:val="0075040A"/>
    <w:rsid w:val="00750489"/>
    <w:rsid w:val="007504B2"/>
    <w:rsid w:val="007504E1"/>
    <w:rsid w:val="007504E5"/>
    <w:rsid w:val="00750633"/>
    <w:rsid w:val="00750750"/>
    <w:rsid w:val="007507E9"/>
    <w:rsid w:val="00750884"/>
    <w:rsid w:val="007509BD"/>
    <w:rsid w:val="00750BBA"/>
    <w:rsid w:val="00750E0A"/>
    <w:rsid w:val="00750ECE"/>
    <w:rsid w:val="00750FB1"/>
    <w:rsid w:val="00750FE3"/>
    <w:rsid w:val="0075102E"/>
    <w:rsid w:val="00751086"/>
    <w:rsid w:val="0075109E"/>
    <w:rsid w:val="0075117C"/>
    <w:rsid w:val="007511FA"/>
    <w:rsid w:val="00751354"/>
    <w:rsid w:val="0075137B"/>
    <w:rsid w:val="007513EE"/>
    <w:rsid w:val="00751406"/>
    <w:rsid w:val="00751661"/>
    <w:rsid w:val="007516B5"/>
    <w:rsid w:val="00751828"/>
    <w:rsid w:val="00751D46"/>
    <w:rsid w:val="00751DB7"/>
    <w:rsid w:val="00751E05"/>
    <w:rsid w:val="00752110"/>
    <w:rsid w:val="00752131"/>
    <w:rsid w:val="007521B2"/>
    <w:rsid w:val="007521D4"/>
    <w:rsid w:val="00752269"/>
    <w:rsid w:val="007522A8"/>
    <w:rsid w:val="0075235D"/>
    <w:rsid w:val="00752530"/>
    <w:rsid w:val="00752543"/>
    <w:rsid w:val="007525B9"/>
    <w:rsid w:val="00752629"/>
    <w:rsid w:val="00752857"/>
    <w:rsid w:val="007528A0"/>
    <w:rsid w:val="00752A70"/>
    <w:rsid w:val="00752AD9"/>
    <w:rsid w:val="00752AEE"/>
    <w:rsid w:val="00752C0B"/>
    <w:rsid w:val="00752CAA"/>
    <w:rsid w:val="00752CBB"/>
    <w:rsid w:val="00752D15"/>
    <w:rsid w:val="00752DF0"/>
    <w:rsid w:val="00752E3B"/>
    <w:rsid w:val="00752E54"/>
    <w:rsid w:val="00752F61"/>
    <w:rsid w:val="00752F86"/>
    <w:rsid w:val="00753005"/>
    <w:rsid w:val="007531A2"/>
    <w:rsid w:val="00753237"/>
    <w:rsid w:val="007532AC"/>
    <w:rsid w:val="00753419"/>
    <w:rsid w:val="007534A0"/>
    <w:rsid w:val="007534F0"/>
    <w:rsid w:val="00753587"/>
    <w:rsid w:val="0075359B"/>
    <w:rsid w:val="007535FF"/>
    <w:rsid w:val="00753690"/>
    <w:rsid w:val="007536FD"/>
    <w:rsid w:val="00753789"/>
    <w:rsid w:val="007537DD"/>
    <w:rsid w:val="00753899"/>
    <w:rsid w:val="007538E2"/>
    <w:rsid w:val="0075393C"/>
    <w:rsid w:val="00753979"/>
    <w:rsid w:val="007539BC"/>
    <w:rsid w:val="00753A38"/>
    <w:rsid w:val="00753A40"/>
    <w:rsid w:val="00753A7F"/>
    <w:rsid w:val="00753B49"/>
    <w:rsid w:val="00753B67"/>
    <w:rsid w:val="00753C6C"/>
    <w:rsid w:val="00753E3C"/>
    <w:rsid w:val="00753F43"/>
    <w:rsid w:val="00754091"/>
    <w:rsid w:val="007540D5"/>
    <w:rsid w:val="007541C3"/>
    <w:rsid w:val="007541D9"/>
    <w:rsid w:val="00754367"/>
    <w:rsid w:val="007544D0"/>
    <w:rsid w:val="0075450B"/>
    <w:rsid w:val="007545AB"/>
    <w:rsid w:val="007545E6"/>
    <w:rsid w:val="00754639"/>
    <w:rsid w:val="007546BC"/>
    <w:rsid w:val="007546C3"/>
    <w:rsid w:val="00754713"/>
    <w:rsid w:val="00754723"/>
    <w:rsid w:val="0075475D"/>
    <w:rsid w:val="007547DD"/>
    <w:rsid w:val="007547EF"/>
    <w:rsid w:val="007548A7"/>
    <w:rsid w:val="007548BD"/>
    <w:rsid w:val="007548FF"/>
    <w:rsid w:val="007549E1"/>
    <w:rsid w:val="00754A30"/>
    <w:rsid w:val="00754AB6"/>
    <w:rsid w:val="00754B21"/>
    <w:rsid w:val="00754C07"/>
    <w:rsid w:val="00754C9C"/>
    <w:rsid w:val="00754EA2"/>
    <w:rsid w:val="00754FCC"/>
    <w:rsid w:val="0075506C"/>
    <w:rsid w:val="007551AC"/>
    <w:rsid w:val="007551FD"/>
    <w:rsid w:val="00755232"/>
    <w:rsid w:val="00755249"/>
    <w:rsid w:val="00755277"/>
    <w:rsid w:val="00755313"/>
    <w:rsid w:val="0075532E"/>
    <w:rsid w:val="007555A2"/>
    <w:rsid w:val="0075561B"/>
    <w:rsid w:val="00755660"/>
    <w:rsid w:val="007558B8"/>
    <w:rsid w:val="00755A24"/>
    <w:rsid w:val="00755CA2"/>
    <w:rsid w:val="00755CF4"/>
    <w:rsid w:val="00755D23"/>
    <w:rsid w:val="00755D3B"/>
    <w:rsid w:val="00755D52"/>
    <w:rsid w:val="00755DBD"/>
    <w:rsid w:val="00755E06"/>
    <w:rsid w:val="00755EBE"/>
    <w:rsid w:val="00755FB2"/>
    <w:rsid w:val="00756064"/>
    <w:rsid w:val="007560E7"/>
    <w:rsid w:val="0075612E"/>
    <w:rsid w:val="0075620D"/>
    <w:rsid w:val="00756257"/>
    <w:rsid w:val="007562A7"/>
    <w:rsid w:val="007564C3"/>
    <w:rsid w:val="007564E0"/>
    <w:rsid w:val="0075658C"/>
    <w:rsid w:val="00756691"/>
    <w:rsid w:val="007566B7"/>
    <w:rsid w:val="007566D8"/>
    <w:rsid w:val="007567F6"/>
    <w:rsid w:val="00756825"/>
    <w:rsid w:val="0075688D"/>
    <w:rsid w:val="007568E0"/>
    <w:rsid w:val="00756A02"/>
    <w:rsid w:val="00756BA8"/>
    <w:rsid w:val="00756C07"/>
    <w:rsid w:val="00756C88"/>
    <w:rsid w:val="00756CBD"/>
    <w:rsid w:val="00756D72"/>
    <w:rsid w:val="00756DD8"/>
    <w:rsid w:val="00756DE5"/>
    <w:rsid w:val="00756E4C"/>
    <w:rsid w:val="00756F9A"/>
    <w:rsid w:val="007570FD"/>
    <w:rsid w:val="0075713E"/>
    <w:rsid w:val="00757360"/>
    <w:rsid w:val="00757379"/>
    <w:rsid w:val="00757724"/>
    <w:rsid w:val="00757785"/>
    <w:rsid w:val="007577BA"/>
    <w:rsid w:val="0075782E"/>
    <w:rsid w:val="00757897"/>
    <w:rsid w:val="00757B27"/>
    <w:rsid w:val="00757B8B"/>
    <w:rsid w:val="00757D7E"/>
    <w:rsid w:val="00757E60"/>
    <w:rsid w:val="00757FB2"/>
    <w:rsid w:val="00757FFE"/>
    <w:rsid w:val="0076007D"/>
    <w:rsid w:val="007600D7"/>
    <w:rsid w:val="007603DC"/>
    <w:rsid w:val="00760492"/>
    <w:rsid w:val="007604AE"/>
    <w:rsid w:val="0076055F"/>
    <w:rsid w:val="00760580"/>
    <w:rsid w:val="00760594"/>
    <w:rsid w:val="00760629"/>
    <w:rsid w:val="00760684"/>
    <w:rsid w:val="00760786"/>
    <w:rsid w:val="0076080F"/>
    <w:rsid w:val="0076081F"/>
    <w:rsid w:val="0076098A"/>
    <w:rsid w:val="007609CB"/>
    <w:rsid w:val="00760C76"/>
    <w:rsid w:val="00760C98"/>
    <w:rsid w:val="00760CE6"/>
    <w:rsid w:val="00760D4E"/>
    <w:rsid w:val="00760DF2"/>
    <w:rsid w:val="00760F0A"/>
    <w:rsid w:val="00760F82"/>
    <w:rsid w:val="0076102E"/>
    <w:rsid w:val="007610AC"/>
    <w:rsid w:val="007610C8"/>
    <w:rsid w:val="007611AA"/>
    <w:rsid w:val="007611FD"/>
    <w:rsid w:val="007613FB"/>
    <w:rsid w:val="0076143B"/>
    <w:rsid w:val="0076154F"/>
    <w:rsid w:val="007615FF"/>
    <w:rsid w:val="0076165E"/>
    <w:rsid w:val="007617CC"/>
    <w:rsid w:val="0076181C"/>
    <w:rsid w:val="007618EE"/>
    <w:rsid w:val="0076198F"/>
    <w:rsid w:val="00761A13"/>
    <w:rsid w:val="00761A7D"/>
    <w:rsid w:val="00761C2E"/>
    <w:rsid w:val="00761C7E"/>
    <w:rsid w:val="00761CA7"/>
    <w:rsid w:val="00761DD5"/>
    <w:rsid w:val="00761E09"/>
    <w:rsid w:val="00761E74"/>
    <w:rsid w:val="00761F1C"/>
    <w:rsid w:val="0076209B"/>
    <w:rsid w:val="007620D5"/>
    <w:rsid w:val="0076229B"/>
    <w:rsid w:val="00762316"/>
    <w:rsid w:val="007623A1"/>
    <w:rsid w:val="007623A2"/>
    <w:rsid w:val="0076244C"/>
    <w:rsid w:val="007625DD"/>
    <w:rsid w:val="007626B3"/>
    <w:rsid w:val="007626B5"/>
    <w:rsid w:val="00762716"/>
    <w:rsid w:val="00762773"/>
    <w:rsid w:val="007627A6"/>
    <w:rsid w:val="007627A8"/>
    <w:rsid w:val="00762813"/>
    <w:rsid w:val="007628DC"/>
    <w:rsid w:val="007628E6"/>
    <w:rsid w:val="00762980"/>
    <w:rsid w:val="00762DB8"/>
    <w:rsid w:val="00763037"/>
    <w:rsid w:val="00763144"/>
    <w:rsid w:val="00763166"/>
    <w:rsid w:val="00763218"/>
    <w:rsid w:val="007632C8"/>
    <w:rsid w:val="007633A0"/>
    <w:rsid w:val="007633D1"/>
    <w:rsid w:val="00763401"/>
    <w:rsid w:val="00763436"/>
    <w:rsid w:val="00763486"/>
    <w:rsid w:val="00763505"/>
    <w:rsid w:val="0076358B"/>
    <w:rsid w:val="007635CB"/>
    <w:rsid w:val="007635D4"/>
    <w:rsid w:val="00763617"/>
    <w:rsid w:val="0076364E"/>
    <w:rsid w:val="00763670"/>
    <w:rsid w:val="007636A8"/>
    <w:rsid w:val="007636AA"/>
    <w:rsid w:val="00763774"/>
    <w:rsid w:val="00763845"/>
    <w:rsid w:val="00763873"/>
    <w:rsid w:val="007638D7"/>
    <w:rsid w:val="0076394A"/>
    <w:rsid w:val="00763A92"/>
    <w:rsid w:val="00763B0D"/>
    <w:rsid w:val="00763B9E"/>
    <w:rsid w:val="00763C2D"/>
    <w:rsid w:val="00763C43"/>
    <w:rsid w:val="00763D32"/>
    <w:rsid w:val="00763DAC"/>
    <w:rsid w:val="00763DC3"/>
    <w:rsid w:val="00763F2E"/>
    <w:rsid w:val="0076404E"/>
    <w:rsid w:val="00764199"/>
    <w:rsid w:val="00764205"/>
    <w:rsid w:val="00764263"/>
    <w:rsid w:val="00764285"/>
    <w:rsid w:val="007645C9"/>
    <w:rsid w:val="0076484A"/>
    <w:rsid w:val="00764A4F"/>
    <w:rsid w:val="00764A75"/>
    <w:rsid w:val="00764AC2"/>
    <w:rsid w:val="00764B19"/>
    <w:rsid w:val="00764B42"/>
    <w:rsid w:val="00764C98"/>
    <w:rsid w:val="00764D1A"/>
    <w:rsid w:val="00764E2C"/>
    <w:rsid w:val="007650C5"/>
    <w:rsid w:val="00765145"/>
    <w:rsid w:val="0076518F"/>
    <w:rsid w:val="007652E1"/>
    <w:rsid w:val="00765389"/>
    <w:rsid w:val="00765494"/>
    <w:rsid w:val="00765570"/>
    <w:rsid w:val="0076559F"/>
    <w:rsid w:val="00765639"/>
    <w:rsid w:val="00765686"/>
    <w:rsid w:val="007656AA"/>
    <w:rsid w:val="007657C8"/>
    <w:rsid w:val="007659D9"/>
    <w:rsid w:val="00765C83"/>
    <w:rsid w:val="00765C93"/>
    <w:rsid w:val="00765E2A"/>
    <w:rsid w:val="00765FB4"/>
    <w:rsid w:val="00765FB6"/>
    <w:rsid w:val="00766117"/>
    <w:rsid w:val="00766152"/>
    <w:rsid w:val="00766168"/>
    <w:rsid w:val="007661C9"/>
    <w:rsid w:val="007661EE"/>
    <w:rsid w:val="007662F8"/>
    <w:rsid w:val="00766308"/>
    <w:rsid w:val="0076636C"/>
    <w:rsid w:val="007663A6"/>
    <w:rsid w:val="007663D0"/>
    <w:rsid w:val="00766427"/>
    <w:rsid w:val="0076654B"/>
    <w:rsid w:val="00766559"/>
    <w:rsid w:val="0076667D"/>
    <w:rsid w:val="00766927"/>
    <w:rsid w:val="00766A96"/>
    <w:rsid w:val="00766AEE"/>
    <w:rsid w:val="00766B16"/>
    <w:rsid w:val="00766CD1"/>
    <w:rsid w:val="00766EBB"/>
    <w:rsid w:val="00766EBC"/>
    <w:rsid w:val="00766F0E"/>
    <w:rsid w:val="00766FFB"/>
    <w:rsid w:val="00767051"/>
    <w:rsid w:val="007670C9"/>
    <w:rsid w:val="0076743D"/>
    <w:rsid w:val="00767775"/>
    <w:rsid w:val="00767826"/>
    <w:rsid w:val="007678DB"/>
    <w:rsid w:val="0076793E"/>
    <w:rsid w:val="007679A3"/>
    <w:rsid w:val="00767B22"/>
    <w:rsid w:val="00767B7E"/>
    <w:rsid w:val="00767B89"/>
    <w:rsid w:val="00767BF2"/>
    <w:rsid w:val="00767C31"/>
    <w:rsid w:val="00767C5B"/>
    <w:rsid w:val="00767CBE"/>
    <w:rsid w:val="00767D4C"/>
    <w:rsid w:val="00767DA1"/>
    <w:rsid w:val="00767F16"/>
    <w:rsid w:val="00767FF4"/>
    <w:rsid w:val="00770139"/>
    <w:rsid w:val="0077018C"/>
    <w:rsid w:val="0077018D"/>
    <w:rsid w:val="00770191"/>
    <w:rsid w:val="007701EC"/>
    <w:rsid w:val="0077021E"/>
    <w:rsid w:val="007703A7"/>
    <w:rsid w:val="00770515"/>
    <w:rsid w:val="007706C3"/>
    <w:rsid w:val="007706CC"/>
    <w:rsid w:val="0077087B"/>
    <w:rsid w:val="007708BE"/>
    <w:rsid w:val="0077097B"/>
    <w:rsid w:val="00770AF1"/>
    <w:rsid w:val="00770B6F"/>
    <w:rsid w:val="00770E07"/>
    <w:rsid w:val="00770E44"/>
    <w:rsid w:val="00770ED7"/>
    <w:rsid w:val="00770F8C"/>
    <w:rsid w:val="00770FA2"/>
    <w:rsid w:val="00771115"/>
    <w:rsid w:val="00771169"/>
    <w:rsid w:val="00771206"/>
    <w:rsid w:val="00771245"/>
    <w:rsid w:val="00771350"/>
    <w:rsid w:val="00771371"/>
    <w:rsid w:val="007713F7"/>
    <w:rsid w:val="00771446"/>
    <w:rsid w:val="00771464"/>
    <w:rsid w:val="007714CA"/>
    <w:rsid w:val="007714D4"/>
    <w:rsid w:val="00771511"/>
    <w:rsid w:val="0077159E"/>
    <w:rsid w:val="0077162C"/>
    <w:rsid w:val="00771747"/>
    <w:rsid w:val="0077180F"/>
    <w:rsid w:val="007719D5"/>
    <w:rsid w:val="00771BE6"/>
    <w:rsid w:val="00771D71"/>
    <w:rsid w:val="00771DA2"/>
    <w:rsid w:val="00771DE2"/>
    <w:rsid w:val="00771E07"/>
    <w:rsid w:val="00771E79"/>
    <w:rsid w:val="00771F5F"/>
    <w:rsid w:val="00772194"/>
    <w:rsid w:val="007721E2"/>
    <w:rsid w:val="007721E9"/>
    <w:rsid w:val="007722B6"/>
    <w:rsid w:val="00772425"/>
    <w:rsid w:val="0077249D"/>
    <w:rsid w:val="00772584"/>
    <w:rsid w:val="007725EA"/>
    <w:rsid w:val="00772634"/>
    <w:rsid w:val="007727D7"/>
    <w:rsid w:val="00772801"/>
    <w:rsid w:val="007728B6"/>
    <w:rsid w:val="00772B27"/>
    <w:rsid w:val="00772CBB"/>
    <w:rsid w:val="00772DB4"/>
    <w:rsid w:val="00772DF5"/>
    <w:rsid w:val="00772DF9"/>
    <w:rsid w:val="00773024"/>
    <w:rsid w:val="00773281"/>
    <w:rsid w:val="0077329C"/>
    <w:rsid w:val="0077339B"/>
    <w:rsid w:val="00773567"/>
    <w:rsid w:val="00773571"/>
    <w:rsid w:val="00773589"/>
    <w:rsid w:val="007735F6"/>
    <w:rsid w:val="00773615"/>
    <w:rsid w:val="0077361A"/>
    <w:rsid w:val="00773799"/>
    <w:rsid w:val="00773886"/>
    <w:rsid w:val="0077398D"/>
    <w:rsid w:val="00773A03"/>
    <w:rsid w:val="00773AFB"/>
    <w:rsid w:val="00773B78"/>
    <w:rsid w:val="00773C00"/>
    <w:rsid w:val="00773CFB"/>
    <w:rsid w:val="00773DDC"/>
    <w:rsid w:val="007743A2"/>
    <w:rsid w:val="00774737"/>
    <w:rsid w:val="00774779"/>
    <w:rsid w:val="00774A8A"/>
    <w:rsid w:val="00774AC7"/>
    <w:rsid w:val="00774CF5"/>
    <w:rsid w:val="00774D3C"/>
    <w:rsid w:val="00774E5A"/>
    <w:rsid w:val="00774EEC"/>
    <w:rsid w:val="00774F1F"/>
    <w:rsid w:val="0077504E"/>
    <w:rsid w:val="007750A5"/>
    <w:rsid w:val="00775128"/>
    <w:rsid w:val="00775131"/>
    <w:rsid w:val="007751F4"/>
    <w:rsid w:val="00775300"/>
    <w:rsid w:val="0077548A"/>
    <w:rsid w:val="00775569"/>
    <w:rsid w:val="00775712"/>
    <w:rsid w:val="007757D4"/>
    <w:rsid w:val="00775871"/>
    <w:rsid w:val="007759F3"/>
    <w:rsid w:val="00775A7F"/>
    <w:rsid w:val="00775CA4"/>
    <w:rsid w:val="00775CCA"/>
    <w:rsid w:val="00775CD0"/>
    <w:rsid w:val="00775D98"/>
    <w:rsid w:val="00775DD3"/>
    <w:rsid w:val="00775E17"/>
    <w:rsid w:val="00775E8D"/>
    <w:rsid w:val="00775F03"/>
    <w:rsid w:val="00775F62"/>
    <w:rsid w:val="0077603F"/>
    <w:rsid w:val="00776174"/>
    <w:rsid w:val="00776179"/>
    <w:rsid w:val="0077623E"/>
    <w:rsid w:val="00776434"/>
    <w:rsid w:val="007765B0"/>
    <w:rsid w:val="00776618"/>
    <w:rsid w:val="00776619"/>
    <w:rsid w:val="00776620"/>
    <w:rsid w:val="007766C5"/>
    <w:rsid w:val="0077670A"/>
    <w:rsid w:val="007768EE"/>
    <w:rsid w:val="0077693E"/>
    <w:rsid w:val="007769E8"/>
    <w:rsid w:val="00776A31"/>
    <w:rsid w:val="00776B1D"/>
    <w:rsid w:val="00776B20"/>
    <w:rsid w:val="00776B26"/>
    <w:rsid w:val="00776C9A"/>
    <w:rsid w:val="00776D01"/>
    <w:rsid w:val="00776D56"/>
    <w:rsid w:val="00776E22"/>
    <w:rsid w:val="00776EAC"/>
    <w:rsid w:val="00776F82"/>
    <w:rsid w:val="00777002"/>
    <w:rsid w:val="007773C4"/>
    <w:rsid w:val="00777402"/>
    <w:rsid w:val="00777500"/>
    <w:rsid w:val="00777670"/>
    <w:rsid w:val="007776A5"/>
    <w:rsid w:val="00777A13"/>
    <w:rsid w:val="00777BBC"/>
    <w:rsid w:val="00777BED"/>
    <w:rsid w:val="00777DDE"/>
    <w:rsid w:val="00777F9A"/>
    <w:rsid w:val="00777FB9"/>
    <w:rsid w:val="00780024"/>
    <w:rsid w:val="00780050"/>
    <w:rsid w:val="007800E5"/>
    <w:rsid w:val="007800E6"/>
    <w:rsid w:val="00780115"/>
    <w:rsid w:val="00780136"/>
    <w:rsid w:val="00780176"/>
    <w:rsid w:val="0078017D"/>
    <w:rsid w:val="007801A6"/>
    <w:rsid w:val="007801CF"/>
    <w:rsid w:val="00780210"/>
    <w:rsid w:val="007803D9"/>
    <w:rsid w:val="0078043B"/>
    <w:rsid w:val="0078054A"/>
    <w:rsid w:val="00780607"/>
    <w:rsid w:val="00780887"/>
    <w:rsid w:val="00780903"/>
    <w:rsid w:val="0078092C"/>
    <w:rsid w:val="00780AEB"/>
    <w:rsid w:val="00780B43"/>
    <w:rsid w:val="00780DBD"/>
    <w:rsid w:val="00780FED"/>
    <w:rsid w:val="0078103C"/>
    <w:rsid w:val="0078105E"/>
    <w:rsid w:val="007810F7"/>
    <w:rsid w:val="007811AF"/>
    <w:rsid w:val="007812AF"/>
    <w:rsid w:val="00781523"/>
    <w:rsid w:val="0078170E"/>
    <w:rsid w:val="00781753"/>
    <w:rsid w:val="007817C7"/>
    <w:rsid w:val="007817EF"/>
    <w:rsid w:val="00781927"/>
    <w:rsid w:val="0078197C"/>
    <w:rsid w:val="00781A3E"/>
    <w:rsid w:val="00781AF2"/>
    <w:rsid w:val="00781C29"/>
    <w:rsid w:val="00781C5D"/>
    <w:rsid w:val="00781C68"/>
    <w:rsid w:val="00781C71"/>
    <w:rsid w:val="00781C7B"/>
    <w:rsid w:val="00781CE2"/>
    <w:rsid w:val="00781D5B"/>
    <w:rsid w:val="00781D6D"/>
    <w:rsid w:val="00781DBF"/>
    <w:rsid w:val="00781DCF"/>
    <w:rsid w:val="00781DDE"/>
    <w:rsid w:val="00781F63"/>
    <w:rsid w:val="00782017"/>
    <w:rsid w:val="0078202B"/>
    <w:rsid w:val="00782031"/>
    <w:rsid w:val="007820D6"/>
    <w:rsid w:val="007820E2"/>
    <w:rsid w:val="0078223B"/>
    <w:rsid w:val="00782241"/>
    <w:rsid w:val="007822F5"/>
    <w:rsid w:val="0078236A"/>
    <w:rsid w:val="00782488"/>
    <w:rsid w:val="007824D2"/>
    <w:rsid w:val="007826B9"/>
    <w:rsid w:val="007827D1"/>
    <w:rsid w:val="007827E5"/>
    <w:rsid w:val="00782893"/>
    <w:rsid w:val="0078289D"/>
    <w:rsid w:val="00782923"/>
    <w:rsid w:val="00782ACA"/>
    <w:rsid w:val="00782B61"/>
    <w:rsid w:val="00782B96"/>
    <w:rsid w:val="00782BF0"/>
    <w:rsid w:val="00782C4E"/>
    <w:rsid w:val="00782E0B"/>
    <w:rsid w:val="00782E37"/>
    <w:rsid w:val="00782ECB"/>
    <w:rsid w:val="00782ECD"/>
    <w:rsid w:val="00782F9E"/>
    <w:rsid w:val="00782F9F"/>
    <w:rsid w:val="00783112"/>
    <w:rsid w:val="0078315A"/>
    <w:rsid w:val="0078319D"/>
    <w:rsid w:val="007831DF"/>
    <w:rsid w:val="007831E3"/>
    <w:rsid w:val="007832B2"/>
    <w:rsid w:val="0078330A"/>
    <w:rsid w:val="0078355F"/>
    <w:rsid w:val="00783583"/>
    <w:rsid w:val="007835F2"/>
    <w:rsid w:val="00783641"/>
    <w:rsid w:val="0078365E"/>
    <w:rsid w:val="007836D7"/>
    <w:rsid w:val="007836F6"/>
    <w:rsid w:val="00783C1D"/>
    <w:rsid w:val="00783CCB"/>
    <w:rsid w:val="00783E46"/>
    <w:rsid w:val="00783EA6"/>
    <w:rsid w:val="00783EDC"/>
    <w:rsid w:val="00783F39"/>
    <w:rsid w:val="00783FB4"/>
    <w:rsid w:val="00784003"/>
    <w:rsid w:val="00784039"/>
    <w:rsid w:val="0078405C"/>
    <w:rsid w:val="007841D6"/>
    <w:rsid w:val="0078464A"/>
    <w:rsid w:val="0078470C"/>
    <w:rsid w:val="00784724"/>
    <w:rsid w:val="00784755"/>
    <w:rsid w:val="00784790"/>
    <w:rsid w:val="007847EE"/>
    <w:rsid w:val="007848C2"/>
    <w:rsid w:val="00784B99"/>
    <w:rsid w:val="00784C95"/>
    <w:rsid w:val="00784CA6"/>
    <w:rsid w:val="00784CC3"/>
    <w:rsid w:val="00784D3F"/>
    <w:rsid w:val="00784D61"/>
    <w:rsid w:val="00784D83"/>
    <w:rsid w:val="00784D9F"/>
    <w:rsid w:val="00784E24"/>
    <w:rsid w:val="00784EE1"/>
    <w:rsid w:val="00784FD7"/>
    <w:rsid w:val="00784FEE"/>
    <w:rsid w:val="007850A1"/>
    <w:rsid w:val="007850BE"/>
    <w:rsid w:val="0078518D"/>
    <w:rsid w:val="00785358"/>
    <w:rsid w:val="007853CA"/>
    <w:rsid w:val="007853FA"/>
    <w:rsid w:val="007854A3"/>
    <w:rsid w:val="007854B4"/>
    <w:rsid w:val="0078556E"/>
    <w:rsid w:val="0078558A"/>
    <w:rsid w:val="007855FC"/>
    <w:rsid w:val="00785676"/>
    <w:rsid w:val="007856F1"/>
    <w:rsid w:val="00785836"/>
    <w:rsid w:val="00785BB3"/>
    <w:rsid w:val="00785C1A"/>
    <w:rsid w:val="00785C47"/>
    <w:rsid w:val="00785CE2"/>
    <w:rsid w:val="00785D79"/>
    <w:rsid w:val="00785D99"/>
    <w:rsid w:val="00785F54"/>
    <w:rsid w:val="00786095"/>
    <w:rsid w:val="007860B7"/>
    <w:rsid w:val="0078625F"/>
    <w:rsid w:val="00786272"/>
    <w:rsid w:val="00786379"/>
    <w:rsid w:val="00786526"/>
    <w:rsid w:val="0078659E"/>
    <w:rsid w:val="0078675B"/>
    <w:rsid w:val="007867F4"/>
    <w:rsid w:val="00786883"/>
    <w:rsid w:val="00786931"/>
    <w:rsid w:val="00786962"/>
    <w:rsid w:val="00786A32"/>
    <w:rsid w:val="00786C05"/>
    <w:rsid w:val="00786C48"/>
    <w:rsid w:val="00786C55"/>
    <w:rsid w:val="00786D61"/>
    <w:rsid w:val="00786E54"/>
    <w:rsid w:val="00786F1A"/>
    <w:rsid w:val="0078710B"/>
    <w:rsid w:val="00787170"/>
    <w:rsid w:val="007871B9"/>
    <w:rsid w:val="0078725B"/>
    <w:rsid w:val="00787343"/>
    <w:rsid w:val="00787405"/>
    <w:rsid w:val="007874C2"/>
    <w:rsid w:val="00787541"/>
    <w:rsid w:val="00787557"/>
    <w:rsid w:val="0078758F"/>
    <w:rsid w:val="007875D8"/>
    <w:rsid w:val="00787612"/>
    <w:rsid w:val="007876C8"/>
    <w:rsid w:val="007876D2"/>
    <w:rsid w:val="0078774A"/>
    <w:rsid w:val="007877AA"/>
    <w:rsid w:val="007879D4"/>
    <w:rsid w:val="00787A85"/>
    <w:rsid w:val="00787BE1"/>
    <w:rsid w:val="00787C29"/>
    <w:rsid w:val="00787C7C"/>
    <w:rsid w:val="00787CF7"/>
    <w:rsid w:val="00787D58"/>
    <w:rsid w:val="00787D93"/>
    <w:rsid w:val="00787E40"/>
    <w:rsid w:val="00787E89"/>
    <w:rsid w:val="00787ED1"/>
    <w:rsid w:val="00787F1C"/>
    <w:rsid w:val="00787F59"/>
    <w:rsid w:val="00790124"/>
    <w:rsid w:val="00790132"/>
    <w:rsid w:val="00790274"/>
    <w:rsid w:val="0079038A"/>
    <w:rsid w:val="00790390"/>
    <w:rsid w:val="007903B4"/>
    <w:rsid w:val="007904DC"/>
    <w:rsid w:val="00790525"/>
    <w:rsid w:val="00790533"/>
    <w:rsid w:val="00790648"/>
    <w:rsid w:val="00790771"/>
    <w:rsid w:val="00790817"/>
    <w:rsid w:val="00790828"/>
    <w:rsid w:val="00790840"/>
    <w:rsid w:val="0079097C"/>
    <w:rsid w:val="00790AAE"/>
    <w:rsid w:val="00790D7F"/>
    <w:rsid w:val="0079120C"/>
    <w:rsid w:val="0079129F"/>
    <w:rsid w:val="00791365"/>
    <w:rsid w:val="007913AB"/>
    <w:rsid w:val="007914DE"/>
    <w:rsid w:val="00791738"/>
    <w:rsid w:val="007917B5"/>
    <w:rsid w:val="00791841"/>
    <w:rsid w:val="007918BC"/>
    <w:rsid w:val="007918C4"/>
    <w:rsid w:val="0079196A"/>
    <w:rsid w:val="007919A2"/>
    <w:rsid w:val="007919DC"/>
    <w:rsid w:val="00791BCE"/>
    <w:rsid w:val="00791C50"/>
    <w:rsid w:val="00791CD0"/>
    <w:rsid w:val="00791DC5"/>
    <w:rsid w:val="00791E4B"/>
    <w:rsid w:val="00791FD1"/>
    <w:rsid w:val="00792068"/>
    <w:rsid w:val="00792095"/>
    <w:rsid w:val="00792215"/>
    <w:rsid w:val="0079222B"/>
    <w:rsid w:val="007922CF"/>
    <w:rsid w:val="0079230F"/>
    <w:rsid w:val="007924A1"/>
    <w:rsid w:val="007924EE"/>
    <w:rsid w:val="007925CA"/>
    <w:rsid w:val="00792736"/>
    <w:rsid w:val="0079277F"/>
    <w:rsid w:val="00792912"/>
    <w:rsid w:val="00792B86"/>
    <w:rsid w:val="00792C64"/>
    <w:rsid w:val="00792D12"/>
    <w:rsid w:val="00792E21"/>
    <w:rsid w:val="00792E91"/>
    <w:rsid w:val="00792EEE"/>
    <w:rsid w:val="00792F5D"/>
    <w:rsid w:val="00792FA4"/>
    <w:rsid w:val="00792FF7"/>
    <w:rsid w:val="00793251"/>
    <w:rsid w:val="00793258"/>
    <w:rsid w:val="00793317"/>
    <w:rsid w:val="00793356"/>
    <w:rsid w:val="0079337B"/>
    <w:rsid w:val="00793388"/>
    <w:rsid w:val="00793396"/>
    <w:rsid w:val="007934A7"/>
    <w:rsid w:val="007934C9"/>
    <w:rsid w:val="00793632"/>
    <w:rsid w:val="0079363B"/>
    <w:rsid w:val="00793655"/>
    <w:rsid w:val="00793786"/>
    <w:rsid w:val="00793814"/>
    <w:rsid w:val="007939E3"/>
    <w:rsid w:val="00793BF0"/>
    <w:rsid w:val="00793C03"/>
    <w:rsid w:val="00793C2B"/>
    <w:rsid w:val="00793CF2"/>
    <w:rsid w:val="00793D67"/>
    <w:rsid w:val="00794094"/>
    <w:rsid w:val="00794098"/>
    <w:rsid w:val="007940BA"/>
    <w:rsid w:val="007940BB"/>
    <w:rsid w:val="0079412C"/>
    <w:rsid w:val="007941E5"/>
    <w:rsid w:val="007941ED"/>
    <w:rsid w:val="0079426E"/>
    <w:rsid w:val="007942DD"/>
    <w:rsid w:val="007944CD"/>
    <w:rsid w:val="007944DE"/>
    <w:rsid w:val="00794575"/>
    <w:rsid w:val="00794717"/>
    <w:rsid w:val="00794773"/>
    <w:rsid w:val="007947FB"/>
    <w:rsid w:val="00794927"/>
    <w:rsid w:val="00794A4E"/>
    <w:rsid w:val="00794AA4"/>
    <w:rsid w:val="00794B1E"/>
    <w:rsid w:val="00794C46"/>
    <w:rsid w:val="00794C48"/>
    <w:rsid w:val="00794CB8"/>
    <w:rsid w:val="00794E6B"/>
    <w:rsid w:val="00794F7C"/>
    <w:rsid w:val="00795148"/>
    <w:rsid w:val="007952C8"/>
    <w:rsid w:val="00795301"/>
    <w:rsid w:val="00795347"/>
    <w:rsid w:val="007953EF"/>
    <w:rsid w:val="0079558C"/>
    <w:rsid w:val="00795610"/>
    <w:rsid w:val="007958BE"/>
    <w:rsid w:val="00795930"/>
    <w:rsid w:val="00795B22"/>
    <w:rsid w:val="00795CA4"/>
    <w:rsid w:val="00795D7C"/>
    <w:rsid w:val="00795EA7"/>
    <w:rsid w:val="00795F84"/>
    <w:rsid w:val="007961E1"/>
    <w:rsid w:val="007962BA"/>
    <w:rsid w:val="00796352"/>
    <w:rsid w:val="007963BE"/>
    <w:rsid w:val="0079641B"/>
    <w:rsid w:val="0079642D"/>
    <w:rsid w:val="0079643C"/>
    <w:rsid w:val="00796450"/>
    <w:rsid w:val="0079657D"/>
    <w:rsid w:val="00796582"/>
    <w:rsid w:val="00796649"/>
    <w:rsid w:val="007966B9"/>
    <w:rsid w:val="007968DC"/>
    <w:rsid w:val="00796947"/>
    <w:rsid w:val="00796AE0"/>
    <w:rsid w:val="00796D00"/>
    <w:rsid w:val="00796D4D"/>
    <w:rsid w:val="00796E0E"/>
    <w:rsid w:val="00796F79"/>
    <w:rsid w:val="00796FC6"/>
    <w:rsid w:val="007970C7"/>
    <w:rsid w:val="007971A9"/>
    <w:rsid w:val="007972EE"/>
    <w:rsid w:val="00797301"/>
    <w:rsid w:val="00797314"/>
    <w:rsid w:val="0079762C"/>
    <w:rsid w:val="0079766B"/>
    <w:rsid w:val="00797704"/>
    <w:rsid w:val="0079771B"/>
    <w:rsid w:val="0079773C"/>
    <w:rsid w:val="007978C4"/>
    <w:rsid w:val="0079796F"/>
    <w:rsid w:val="007979A0"/>
    <w:rsid w:val="00797C46"/>
    <w:rsid w:val="00797D9E"/>
    <w:rsid w:val="00797DCF"/>
    <w:rsid w:val="00797DF7"/>
    <w:rsid w:val="00797E46"/>
    <w:rsid w:val="00797E84"/>
    <w:rsid w:val="00797FF2"/>
    <w:rsid w:val="007A00D8"/>
    <w:rsid w:val="007A014F"/>
    <w:rsid w:val="007A038F"/>
    <w:rsid w:val="007A0469"/>
    <w:rsid w:val="007A0521"/>
    <w:rsid w:val="007A05EC"/>
    <w:rsid w:val="007A075A"/>
    <w:rsid w:val="007A0882"/>
    <w:rsid w:val="007A0891"/>
    <w:rsid w:val="007A0BD0"/>
    <w:rsid w:val="007A0D84"/>
    <w:rsid w:val="007A0E2B"/>
    <w:rsid w:val="007A0E43"/>
    <w:rsid w:val="007A0F85"/>
    <w:rsid w:val="007A0F91"/>
    <w:rsid w:val="007A1086"/>
    <w:rsid w:val="007A10AB"/>
    <w:rsid w:val="007A113A"/>
    <w:rsid w:val="007A1153"/>
    <w:rsid w:val="007A11E3"/>
    <w:rsid w:val="007A1292"/>
    <w:rsid w:val="007A1440"/>
    <w:rsid w:val="007A1476"/>
    <w:rsid w:val="007A15BE"/>
    <w:rsid w:val="007A15C9"/>
    <w:rsid w:val="007A171D"/>
    <w:rsid w:val="007A180C"/>
    <w:rsid w:val="007A1938"/>
    <w:rsid w:val="007A1A8E"/>
    <w:rsid w:val="007A1AE6"/>
    <w:rsid w:val="007A1B8D"/>
    <w:rsid w:val="007A1C4D"/>
    <w:rsid w:val="007A1DA5"/>
    <w:rsid w:val="007A1E58"/>
    <w:rsid w:val="007A1F17"/>
    <w:rsid w:val="007A2002"/>
    <w:rsid w:val="007A2046"/>
    <w:rsid w:val="007A234C"/>
    <w:rsid w:val="007A24D5"/>
    <w:rsid w:val="007A24F3"/>
    <w:rsid w:val="007A259A"/>
    <w:rsid w:val="007A25D3"/>
    <w:rsid w:val="007A2673"/>
    <w:rsid w:val="007A2760"/>
    <w:rsid w:val="007A28E8"/>
    <w:rsid w:val="007A29E0"/>
    <w:rsid w:val="007A2AA1"/>
    <w:rsid w:val="007A2AC1"/>
    <w:rsid w:val="007A2AE7"/>
    <w:rsid w:val="007A2B43"/>
    <w:rsid w:val="007A2B9A"/>
    <w:rsid w:val="007A2C71"/>
    <w:rsid w:val="007A2C9A"/>
    <w:rsid w:val="007A2DB1"/>
    <w:rsid w:val="007A2EC7"/>
    <w:rsid w:val="007A2FB5"/>
    <w:rsid w:val="007A3076"/>
    <w:rsid w:val="007A31A3"/>
    <w:rsid w:val="007A31AE"/>
    <w:rsid w:val="007A3220"/>
    <w:rsid w:val="007A344F"/>
    <w:rsid w:val="007A34D6"/>
    <w:rsid w:val="007A34E3"/>
    <w:rsid w:val="007A35FA"/>
    <w:rsid w:val="007A37F5"/>
    <w:rsid w:val="007A3849"/>
    <w:rsid w:val="007A3877"/>
    <w:rsid w:val="007A38DE"/>
    <w:rsid w:val="007A3977"/>
    <w:rsid w:val="007A3A75"/>
    <w:rsid w:val="007A3AB7"/>
    <w:rsid w:val="007A3BAB"/>
    <w:rsid w:val="007A3C7C"/>
    <w:rsid w:val="007A3D1B"/>
    <w:rsid w:val="007A3D1E"/>
    <w:rsid w:val="007A3D28"/>
    <w:rsid w:val="007A3DA9"/>
    <w:rsid w:val="007A3E01"/>
    <w:rsid w:val="007A3E3E"/>
    <w:rsid w:val="007A3E4D"/>
    <w:rsid w:val="007A3EC6"/>
    <w:rsid w:val="007A3F19"/>
    <w:rsid w:val="007A3F52"/>
    <w:rsid w:val="007A3FE4"/>
    <w:rsid w:val="007A4033"/>
    <w:rsid w:val="007A40DE"/>
    <w:rsid w:val="007A4338"/>
    <w:rsid w:val="007A435B"/>
    <w:rsid w:val="007A4374"/>
    <w:rsid w:val="007A43CF"/>
    <w:rsid w:val="007A44C9"/>
    <w:rsid w:val="007A4503"/>
    <w:rsid w:val="007A451A"/>
    <w:rsid w:val="007A45FB"/>
    <w:rsid w:val="007A467F"/>
    <w:rsid w:val="007A46F4"/>
    <w:rsid w:val="007A4878"/>
    <w:rsid w:val="007A497F"/>
    <w:rsid w:val="007A4A09"/>
    <w:rsid w:val="007A4BBF"/>
    <w:rsid w:val="007A4CA0"/>
    <w:rsid w:val="007A4D1D"/>
    <w:rsid w:val="007A4E02"/>
    <w:rsid w:val="007A4EA1"/>
    <w:rsid w:val="007A5048"/>
    <w:rsid w:val="007A51FA"/>
    <w:rsid w:val="007A52AF"/>
    <w:rsid w:val="007A52DC"/>
    <w:rsid w:val="007A5553"/>
    <w:rsid w:val="007A576A"/>
    <w:rsid w:val="007A578B"/>
    <w:rsid w:val="007A5854"/>
    <w:rsid w:val="007A59D6"/>
    <w:rsid w:val="007A5A4D"/>
    <w:rsid w:val="007A5A55"/>
    <w:rsid w:val="007A5A92"/>
    <w:rsid w:val="007A5ACD"/>
    <w:rsid w:val="007A5C5E"/>
    <w:rsid w:val="007A5D1A"/>
    <w:rsid w:val="007A5D43"/>
    <w:rsid w:val="007A5D9D"/>
    <w:rsid w:val="007A5DDC"/>
    <w:rsid w:val="007A5E3D"/>
    <w:rsid w:val="007A5E6F"/>
    <w:rsid w:val="007A5EFC"/>
    <w:rsid w:val="007A6075"/>
    <w:rsid w:val="007A60F7"/>
    <w:rsid w:val="007A616D"/>
    <w:rsid w:val="007A61A9"/>
    <w:rsid w:val="007A6236"/>
    <w:rsid w:val="007A63B1"/>
    <w:rsid w:val="007A6630"/>
    <w:rsid w:val="007A6845"/>
    <w:rsid w:val="007A68E2"/>
    <w:rsid w:val="007A69CE"/>
    <w:rsid w:val="007A6A13"/>
    <w:rsid w:val="007A6A56"/>
    <w:rsid w:val="007A6A64"/>
    <w:rsid w:val="007A6AAC"/>
    <w:rsid w:val="007A6B43"/>
    <w:rsid w:val="007A6B8D"/>
    <w:rsid w:val="007A6CC9"/>
    <w:rsid w:val="007A6DB2"/>
    <w:rsid w:val="007A6E44"/>
    <w:rsid w:val="007A6E4D"/>
    <w:rsid w:val="007A6EA0"/>
    <w:rsid w:val="007A6F22"/>
    <w:rsid w:val="007A7081"/>
    <w:rsid w:val="007A71F1"/>
    <w:rsid w:val="007A72AB"/>
    <w:rsid w:val="007A731B"/>
    <w:rsid w:val="007A733A"/>
    <w:rsid w:val="007A75F2"/>
    <w:rsid w:val="007A75F6"/>
    <w:rsid w:val="007A7689"/>
    <w:rsid w:val="007A7744"/>
    <w:rsid w:val="007A7751"/>
    <w:rsid w:val="007A78C6"/>
    <w:rsid w:val="007A7A35"/>
    <w:rsid w:val="007A7A60"/>
    <w:rsid w:val="007A7B3C"/>
    <w:rsid w:val="007A7C5A"/>
    <w:rsid w:val="007A7DAC"/>
    <w:rsid w:val="007A7EBA"/>
    <w:rsid w:val="007A7F26"/>
    <w:rsid w:val="007A7F52"/>
    <w:rsid w:val="007B01B5"/>
    <w:rsid w:val="007B01C4"/>
    <w:rsid w:val="007B0383"/>
    <w:rsid w:val="007B0403"/>
    <w:rsid w:val="007B0422"/>
    <w:rsid w:val="007B0448"/>
    <w:rsid w:val="007B067E"/>
    <w:rsid w:val="007B072D"/>
    <w:rsid w:val="007B07CD"/>
    <w:rsid w:val="007B080C"/>
    <w:rsid w:val="007B0965"/>
    <w:rsid w:val="007B0AB9"/>
    <w:rsid w:val="007B0B28"/>
    <w:rsid w:val="007B0B41"/>
    <w:rsid w:val="007B0D18"/>
    <w:rsid w:val="007B0D54"/>
    <w:rsid w:val="007B0D9A"/>
    <w:rsid w:val="007B0F07"/>
    <w:rsid w:val="007B0FB3"/>
    <w:rsid w:val="007B106A"/>
    <w:rsid w:val="007B1094"/>
    <w:rsid w:val="007B1185"/>
    <w:rsid w:val="007B1340"/>
    <w:rsid w:val="007B136F"/>
    <w:rsid w:val="007B13B0"/>
    <w:rsid w:val="007B14A9"/>
    <w:rsid w:val="007B16AD"/>
    <w:rsid w:val="007B16BB"/>
    <w:rsid w:val="007B1782"/>
    <w:rsid w:val="007B1811"/>
    <w:rsid w:val="007B1873"/>
    <w:rsid w:val="007B1987"/>
    <w:rsid w:val="007B198D"/>
    <w:rsid w:val="007B1A65"/>
    <w:rsid w:val="007B1AC6"/>
    <w:rsid w:val="007B1B85"/>
    <w:rsid w:val="007B1D9B"/>
    <w:rsid w:val="007B1E06"/>
    <w:rsid w:val="007B1E6D"/>
    <w:rsid w:val="007B1F0B"/>
    <w:rsid w:val="007B1F45"/>
    <w:rsid w:val="007B1FB9"/>
    <w:rsid w:val="007B205F"/>
    <w:rsid w:val="007B2085"/>
    <w:rsid w:val="007B2087"/>
    <w:rsid w:val="007B2120"/>
    <w:rsid w:val="007B2172"/>
    <w:rsid w:val="007B219F"/>
    <w:rsid w:val="007B21EA"/>
    <w:rsid w:val="007B2251"/>
    <w:rsid w:val="007B2257"/>
    <w:rsid w:val="007B2262"/>
    <w:rsid w:val="007B23B8"/>
    <w:rsid w:val="007B23DF"/>
    <w:rsid w:val="007B2422"/>
    <w:rsid w:val="007B2483"/>
    <w:rsid w:val="007B24DF"/>
    <w:rsid w:val="007B25A2"/>
    <w:rsid w:val="007B25A3"/>
    <w:rsid w:val="007B2627"/>
    <w:rsid w:val="007B26AC"/>
    <w:rsid w:val="007B26EE"/>
    <w:rsid w:val="007B2722"/>
    <w:rsid w:val="007B2796"/>
    <w:rsid w:val="007B27BB"/>
    <w:rsid w:val="007B27E6"/>
    <w:rsid w:val="007B28C2"/>
    <w:rsid w:val="007B2906"/>
    <w:rsid w:val="007B290B"/>
    <w:rsid w:val="007B294E"/>
    <w:rsid w:val="007B29A5"/>
    <w:rsid w:val="007B2BA5"/>
    <w:rsid w:val="007B2BCE"/>
    <w:rsid w:val="007B2D9F"/>
    <w:rsid w:val="007B2E64"/>
    <w:rsid w:val="007B2F80"/>
    <w:rsid w:val="007B3008"/>
    <w:rsid w:val="007B30A0"/>
    <w:rsid w:val="007B32E3"/>
    <w:rsid w:val="007B3343"/>
    <w:rsid w:val="007B3390"/>
    <w:rsid w:val="007B3420"/>
    <w:rsid w:val="007B346C"/>
    <w:rsid w:val="007B3476"/>
    <w:rsid w:val="007B35B4"/>
    <w:rsid w:val="007B35E2"/>
    <w:rsid w:val="007B3671"/>
    <w:rsid w:val="007B367C"/>
    <w:rsid w:val="007B38B3"/>
    <w:rsid w:val="007B397D"/>
    <w:rsid w:val="007B39C0"/>
    <w:rsid w:val="007B3A1F"/>
    <w:rsid w:val="007B3B87"/>
    <w:rsid w:val="007B3BD8"/>
    <w:rsid w:val="007B3C63"/>
    <w:rsid w:val="007B3E06"/>
    <w:rsid w:val="007B3E47"/>
    <w:rsid w:val="007B3EDA"/>
    <w:rsid w:val="007B3F8A"/>
    <w:rsid w:val="007B4058"/>
    <w:rsid w:val="007B408B"/>
    <w:rsid w:val="007B40AE"/>
    <w:rsid w:val="007B42F1"/>
    <w:rsid w:val="007B43A9"/>
    <w:rsid w:val="007B440B"/>
    <w:rsid w:val="007B45B6"/>
    <w:rsid w:val="007B4705"/>
    <w:rsid w:val="007B49B8"/>
    <w:rsid w:val="007B49F5"/>
    <w:rsid w:val="007B4A10"/>
    <w:rsid w:val="007B4A6F"/>
    <w:rsid w:val="007B4A77"/>
    <w:rsid w:val="007B4D14"/>
    <w:rsid w:val="007B4E49"/>
    <w:rsid w:val="007B500C"/>
    <w:rsid w:val="007B5030"/>
    <w:rsid w:val="007B5047"/>
    <w:rsid w:val="007B5062"/>
    <w:rsid w:val="007B5108"/>
    <w:rsid w:val="007B5289"/>
    <w:rsid w:val="007B52F1"/>
    <w:rsid w:val="007B5418"/>
    <w:rsid w:val="007B545F"/>
    <w:rsid w:val="007B5463"/>
    <w:rsid w:val="007B5497"/>
    <w:rsid w:val="007B5512"/>
    <w:rsid w:val="007B5551"/>
    <w:rsid w:val="007B5570"/>
    <w:rsid w:val="007B5646"/>
    <w:rsid w:val="007B5746"/>
    <w:rsid w:val="007B583E"/>
    <w:rsid w:val="007B589A"/>
    <w:rsid w:val="007B5BB4"/>
    <w:rsid w:val="007B5BD4"/>
    <w:rsid w:val="007B5CB8"/>
    <w:rsid w:val="007B5CBF"/>
    <w:rsid w:val="007B5CD9"/>
    <w:rsid w:val="007B5DBB"/>
    <w:rsid w:val="007B5F10"/>
    <w:rsid w:val="007B5F89"/>
    <w:rsid w:val="007B61FC"/>
    <w:rsid w:val="007B6317"/>
    <w:rsid w:val="007B636B"/>
    <w:rsid w:val="007B6386"/>
    <w:rsid w:val="007B6445"/>
    <w:rsid w:val="007B64BC"/>
    <w:rsid w:val="007B6702"/>
    <w:rsid w:val="007B677B"/>
    <w:rsid w:val="007B67B0"/>
    <w:rsid w:val="007B67CB"/>
    <w:rsid w:val="007B684C"/>
    <w:rsid w:val="007B68BB"/>
    <w:rsid w:val="007B68BE"/>
    <w:rsid w:val="007B6930"/>
    <w:rsid w:val="007B6B0D"/>
    <w:rsid w:val="007B6C14"/>
    <w:rsid w:val="007B6CA9"/>
    <w:rsid w:val="007B6E53"/>
    <w:rsid w:val="007B6E64"/>
    <w:rsid w:val="007B6F24"/>
    <w:rsid w:val="007B6F2D"/>
    <w:rsid w:val="007B6F83"/>
    <w:rsid w:val="007B711A"/>
    <w:rsid w:val="007B716B"/>
    <w:rsid w:val="007B71A5"/>
    <w:rsid w:val="007B7231"/>
    <w:rsid w:val="007B7322"/>
    <w:rsid w:val="007B7408"/>
    <w:rsid w:val="007B7461"/>
    <w:rsid w:val="007B746E"/>
    <w:rsid w:val="007B746F"/>
    <w:rsid w:val="007B7498"/>
    <w:rsid w:val="007B74E6"/>
    <w:rsid w:val="007B763A"/>
    <w:rsid w:val="007B768D"/>
    <w:rsid w:val="007B7735"/>
    <w:rsid w:val="007B77D6"/>
    <w:rsid w:val="007B7850"/>
    <w:rsid w:val="007B7853"/>
    <w:rsid w:val="007B78E6"/>
    <w:rsid w:val="007B79FB"/>
    <w:rsid w:val="007B7A29"/>
    <w:rsid w:val="007B7AD5"/>
    <w:rsid w:val="007B7B49"/>
    <w:rsid w:val="007B7B69"/>
    <w:rsid w:val="007B7B6F"/>
    <w:rsid w:val="007B7BF6"/>
    <w:rsid w:val="007B7C11"/>
    <w:rsid w:val="007B7CD5"/>
    <w:rsid w:val="007B7FB5"/>
    <w:rsid w:val="007C0145"/>
    <w:rsid w:val="007C0171"/>
    <w:rsid w:val="007C01F7"/>
    <w:rsid w:val="007C022B"/>
    <w:rsid w:val="007C050F"/>
    <w:rsid w:val="007C0770"/>
    <w:rsid w:val="007C0779"/>
    <w:rsid w:val="007C07A1"/>
    <w:rsid w:val="007C07DE"/>
    <w:rsid w:val="007C084D"/>
    <w:rsid w:val="007C09F7"/>
    <w:rsid w:val="007C0AE2"/>
    <w:rsid w:val="007C0CC8"/>
    <w:rsid w:val="007C0E2F"/>
    <w:rsid w:val="007C0EA0"/>
    <w:rsid w:val="007C0EA9"/>
    <w:rsid w:val="007C0F82"/>
    <w:rsid w:val="007C109C"/>
    <w:rsid w:val="007C11A6"/>
    <w:rsid w:val="007C126E"/>
    <w:rsid w:val="007C12F3"/>
    <w:rsid w:val="007C13A7"/>
    <w:rsid w:val="007C13CE"/>
    <w:rsid w:val="007C14B3"/>
    <w:rsid w:val="007C14CE"/>
    <w:rsid w:val="007C14EB"/>
    <w:rsid w:val="007C156E"/>
    <w:rsid w:val="007C15A6"/>
    <w:rsid w:val="007C15AD"/>
    <w:rsid w:val="007C15B3"/>
    <w:rsid w:val="007C1649"/>
    <w:rsid w:val="007C1696"/>
    <w:rsid w:val="007C1799"/>
    <w:rsid w:val="007C17DC"/>
    <w:rsid w:val="007C17FB"/>
    <w:rsid w:val="007C18CD"/>
    <w:rsid w:val="007C1B76"/>
    <w:rsid w:val="007C1CEA"/>
    <w:rsid w:val="007C1D34"/>
    <w:rsid w:val="007C1D51"/>
    <w:rsid w:val="007C1DB1"/>
    <w:rsid w:val="007C1DBD"/>
    <w:rsid w:val="007C1E18"/>
    <w:rsid w:val="007C1E78"/>
    <w:rsid w:val="007C1EFA"/>
    <w:rsid w:val="007C1F03"/>
    <w:rsid w:val="007C1FE1"/>
    <w:rsid w:val="007C1FEF"/>
    <w:rsid w:val="007C20AD"/>
    <w:rsid w:val="007C2163"/>
    <w:rsid w:val="007C21A3"/>
    <w:rsid w:val="007C21ED"/>
    <w:rsid w:val="007C233F"/>
    <w:rsid w:val="007C2561"/>
    <w:rsid w:val="007C25AD"/>
    <w:rsid w:val="007C25FA"/>
    <w:rsid w:val="007C2620"/>
    <w:rsid w:val="007C269A"/>
    <w:rsid w:val="007C27EC"/>
    <w:rsid w:val="007C2815"/>
    <w:rsid w:val="007C290E"/>
    <w:rsid w:val="007C2C1C"/>
    <w:rsid w:val="007C2CBA"/>
    <w:rsid w:val="007C2CC6"/>
    <w:rsid w:val="007C2DF1"/>
    <w:rsid w:val="007C2F9C"/>
    <w:rsid w:val="007C303C"/>
    <w:rsid w:val="007C30F5"/>
    <w:rsid w:val="007C30FD"/>
    <w:rsid w:val="007C312A"/>
    <w:rsid w:val="007C32DA"/>
    <w:rsid w:val="007C33FA"/>
    <w:rsid w:val="007C357D"/>
    <w:rsid w:val="007C35E6"/>
    <w:rsid w:val="007C3716"/>
    <w:rsid w:val="007C37A6"/>
    <w:rsid w:val="007C3812"/>
    <w:rsid w:val="007C383B"/>
    <w:rsid w:val="007C38F1"/>
    <w:rsid w:val="007C3A19"/>
    <w:rsid w:val="007C3A3B"/>
    <w:rsid w:val="007C3AB1"/>
    <w:rsid w:val="007C3AEE"/>
    <w:rsid w:val="007C3C0A"/>
    <w:rsid w:val="007C3F61"/>
    <w:rsid w:val="007C3F6E"/>
    <w:rsid w:val="007C3FFA"/>
    <w:rsid w:val="007C405F"/>
    <w:rsid w:val="007C40BD"/>
    <w:rsid w:val="007C40D0"/>
    <w:rsid w:val="007C41D0"/>
    <w:rsid w:val="007C41D2"/>
    <w:rsid w:val="007C41E2"/>
    <w:rsid w:val="007C41F7"/>
    <w:rsid w:val="007C432B"/>
    <w:rsid w:val="007C4368"/>
    <w:rsid w:val="007C4400"/>
    <w:rsid w:val="007C4498"/>
    <w:rsid w:val="007C4548"/>
    <w:rsid w:val="007C466E"/>
    <w:rsid w:val="007C46B7"/>
    <w:rsid w:val="007C4771"/>
    <w:rsid w:val="007C48F9"/>
    <w:rsid w:val="007C4A16"/>
    <w:rsid w:val="007C4A7E"/>
    <w:rsid w:val="007C4A80"/>
    <w:rsid w:val="007C4B44"/>
    <w:rsid w:val="007C4BBA"/>
    <w:rsid w:val="007C4BC5"/>
    <w:rsid w:val="007C4DAB"/>
    <w:rsid w:val="007C4E22"/>
    <w:rsid w:val="007C4FF3"/>
    <w:rsid w:val="007C510F"/>
    <w:rsid w:val="007C51DD"/>
    <w:rsid w:val="007C5358"/>
    <w:rsid w:val="007C54A4"/>
    <w:rsid w:val="007C550D"/>
    <w:rsid w:val="007C55FC"/>
    <w:rsid w:val="007C560E"/>
    <w:rsid w:val="007C5800"/>
    <w:rsid w:val="007C581F"/>
    <w:rsid w:val="007C58F4"/>
    <w:rsid w:val="007C58FD"/>
    <w:rsid w:val="007C5B20"/>
    <w:rsid w:val="007C5BB6"/>
    <w:rsid w:val="007C5BD9"/>
    <w:rsid w:val="007C5C1D"/>
    <w:rsid w:val="007C5CC3"/>
    <w:rsid w:val="007C5E90"/>
    <w:rsid w:val="007C5E92"/>
    <w:rsid w:val="007C5EDD"/>
    <w:rsid w:val="007C5F31"/>
    <w:rsid w:val="007C5F61"/>
    <w:rsid w:val="007C5F73"/>
    <w:rsid w:val="007C5F91"/>
    <w:rsid w:val="007C6067"/>
    <w:rsid w:val="007C60B2"/>
    <w:rsid w:val="007C615B"/>
    <w:rsid w:val="007C62D7"/>
    <w:rsid w:val="007C6333"/>
    <w:rsid w:val="007C6345"/>
    <w:rsid w:val="007C636F"/>
    <w:rsid w:val="007C6433"/>
    <w:rsid w:val="007C64B4"/>
    <w:rsid w:val="007C6502"/>
    <w:rsid w:val="007C663E"/>
    <w:rsid w:val="007C6769"/>
    <w:rsid w:val="007C6784"/>
    <w:rsid w:val="007C67B0"/>
    <w:rsid w:val="007C6809"/>
    <w:rsid w:val="007C6FBF"/>
    <w:rsid w:val="007C701D"/>
    <w:rsid w:val="007C7220"/>
    <w:rsid w:val="007C7249"/>
    <w:rsid w:val="007C72E6"/>
    <w:rsid w:val="007C7348"/>
    <w:rsid w:val="007C73BC"/>
    <w:rsid w:val="007C73C2"/>
    <w:rsid w:val="007C73EC"/>
    <w:rsid w:val="007C7466"/>
    <w:rsid w:val="007C747A"/>
    <w:rsid w:val="007C750D"/>
    <w:rsid w:val="007C764D"/>
    <w:rsid w:val="007C7824"/>
    <w:rsid w:val="007C78E0"/>
    <w:rsid w:val="007C7A5F"/>
    <w:rsid w:val="007C7AAC"/>
    <w:rsid w:val="007C7CCB"/>
    <w:rsid w:val="007C7D14"/>
    <w:rsid w:val="007C7EBB"/>
    <w:rsid w:val="007C7FA9"/>
    <w:rsid w:val="007C7FAB"/>
    <w:rsid w:val="007D0045"/>
    <w:rsid w:val="007D012E"/>
    <w:rsid w:val="007D01A2"/>
    <w:rsid w:val="007D01C1"/>
    <w:rsid w:val="007D02B7"/>
    <w:rsid w:val="007D02FC"/>
    <w:rsid w:val="007D036F"/>
    <w:rsid w:val="007D03FB"/>
    <w:rsid w:val="007D044C"/>
    <w:rsid w:val="007D0495"/>
    <w:rsid w:val="007D0512"/>
    <w:rsid w:val="007D062B"/>
    <w:rsid w:val="007D0666"/>
    <w:rsid w:val="007D06EA"/>
    <w:rsid w:val="007D0744"/>
    <w:rsid w:val="007D07D0"/>
    <w:rsid w:val="007D0838"/>
    <w:rsid w:val="007D08AF"/>
    <w:rsid w:val="007D0A6F"/>
    <w:rsid w:val="007D0A9F"/>
    <w:rsid w:val="007D0C89"/>
    <w:rsid w:val="007D0D2A"/>
    <w:rsid w:val="007D0DEC"/>
    <w:rsid w:val="007D1073"/>
    <w:rsid w:val="007D1163"/>
    <w:rsid w:val="007D122C"/>
    <w:rsid w:val="007D128D"/>
    <w:rsid w:val="007D1313"/>
    <w:rsid w:val="007D1315"/>
    <w:rsid w:val="007D1675"/>
    <w:rsid w:val="007D1959"/>
    <w:rsid w:val="007D1A8C"/>
    <w:rsid w:val="007D1B54"/>
    <w:rsid w:val="007D1BF9"/>
    <w:rsid w:val="007D1C2E"/>
    <w:rsid w:val="007D1C3B"/>
    <w:rsid w:val="007D1CE1"/>
    <w:rsid w:val="007D1D9F"/>
    <w:rsid w:val="007D1E1C"/>
    <w:rsid w:val="007D1EE8"/>
    <w:rsid w:val="007D1FF1"/>
    <w:rsid w:val="007D20BB"/>
    <w:rsid w:val="007D2110"/>
    <w:rsid w:val="007D213F"/>
    <w:rsid w:val="007D214B"/>
    <w:rsid w:val="007D21EE"/>
    <w:rsid w:val="007D2268"/>
    <w:rsid w:val="007D23BE"/>
    <w:rsid w:val="007D23E8"/>
    <w:rsid w:val="007D24AC"/>
    <w:rsid w:val="007D24DF"/>
    <w:rsid w:val="007D2698"/>
    <w:rsid w:val="007D2803"/>
    <w:rsid w:val="007D2887"/>
    <w:rsid w:val="007D2940"/>
    <w:rsid w:val="007D2977"/>
    <w:rsid w:val="007D2AB0"/>
    <w:rsid w:val="007D2ACD"/>
    <w:rsid w:val="007D2BDA"/>
    <w:rsid w:val="007D2BE9"/>
    <w:rsid w:val="007D2C0F"/>
    <w:rsid w:val="007D2D61"/>
    <w:rsid w:val="007D2D79"/>
    <w:rsid w:val="007D2D9B"/>
    <w:rsid w:val="007D2DA7"/>
    <w:rsid w:val="007D2DC3"/>
    <w:rsid w:val="007D2EC7"/>
    <w:rsid w:val="007D2F36"/>
    <w:rsid w:val="007D2F45"/>
    <w:rsid w:val="007D2F63"/>
    <w:rsid w:val="007D2F9A"/>
    <w:rsid w:val="007D30A7"/>
    <w:rsid w:val="007D30DD"/>
    <w:rsid w:val="007D3126"/>
    <w:rsid w:val="007D3363"/>
    <w:rsid w:val="007D33A9"/>
    <w:rsid w:val="007D33F7"/>
    <w:rsid w:val="007D35CC"/>
    <w:rsid w:val="007D3678"/>
    <w:rsid w:val="007D374F"/>
    <w:rsid w:val="007D391C"/>
    <w:rsid w:val="007D3A56"/>
    <w:rsid w:val="007D3AC9"/>
    <w:rsid w:val="007D3B23"/>
    <w:rsid w:val="007D3B88"/>
    <w:rsid w:val="007D3BB6"/>
    <w:rsid w:val="007D3C88"/>
    <w:rsid w:val="007D3D97"/>
    <w:rsid w:val="007D3E68"/>
    <w:rsid w:val="007D3EAA"/>
    <w:rsid w:val="007D3EFD"/>
    <w:rsid w:val="007D3FE4"/>
    <w:rsid w:val="007D40A1"/>
    <w:rsid w:val="007D4122"/>
    <w:rsid w:val="007D4162"/>
    <w:rsid w:val="007D4175"/>
    <w:rsid w:val="007D41E5"/>
    <w:rsid w:val="007D4343"/>
    <w:rsid w:val="007D4608"/>
    <w:rsid w:val="007D47EC"/>
    <w:rsid w:val="007D4941"/>
    <w:rsid w:val="007D495C"/>
    <w:rsid w:val="007D4B3F"/>
    <w:rsid w:val="007D4BCE"/>
    <w:rsid w:val="007D4CEB"/>
    <w:rsid w:val="007D4D57"/>
    <w:rsid w:val="007D4EB7"/>
    <w:rsid w:val="007D4EDF"/>
    <w:rsid w:val="007D4FB5"/>
    <w:rsid w:val="007D51F1"/>
    <w:rsid w:val="007D5321"/>
    <w:rsid w:val="007D5411"/>
    <w:rsid w:val="007D5460"/>
    <w:rsid w:val="007D54C8"/>
    <w:rsid w:val="007D56E0"/>
    <w:rsid w:val="007D57EF"/>
    <w:rsid w:val="007D5843"/>
    <w:rsid w:val="007D584D"/>
    <w:rsid w:val="007D58AF"/>
    <w:rsid w:val="007D5971"/>
    <w:rsid w:val="007D59E4"/>
    <w:rsid w:val="007D5ABB"/>
    <w:rsid w:val="007D5BBE"/>
    <w:rsid w:val="007D5C74"/>
    <w:rsid w:val="007D5ED1"/>
    <w:rsid w:val="007D5F27"/>
    <w:rsid w:val="007D60C1"/>
    <w:rsid w:val="007D6178"/>
    <w:rsid w:val="007D622B"/>
    <w:rsid w:val="007D62EC"/>
    <w:rsid w:val="007D6432"/>
    <w:rsid w:val="007D6568"/>
    <w:rsid w:val="007D656B"/>
    <w:rsid w:val="007D658A"/>
    <w:rsid w:val="007D65AB"/>
    <w:rsid w:val="007D65F0"/>
    <w:rsid w:val="007D661A"/>
    <w:rsid w:val="007D6622"/>
    <w:rsid w:val="007D6691"/>
    <w:rsid w:val="007D676D"/>
    <w:rsid w:val="007D691E"/>
    <w:rsid w:val="007D6AD2"/>
    <w:rsid w:val="007D6C9B"/>
    <w:rsid w:val="007D6D30"/>
    <w:rsid w:val="007D6D8A"/>
    <w:rsid w:val="007D6DED"/>
    <w:rsid w:val="007D6DF3"/>
    <w:rsid w:val="007D6F1F"/>
    <w:rsid w:val="007D6F64"/>
    <w:rsid w:val="007D6F6D"/>
    <w:rsid w:val="007D706F"/>
    <w:rsid w:val="007D711B"/>
    <w:rsid w:val="007D71A7"/>
    <w:rsid w:val="007D72CD"/>
    <w:rsid w:val="007D7406"/>
    <w:rsid w:val="007D767F"/>
    <w:rsid w:val="007D770B"/>
    <w:rsid w:val="007D7757"/>
    <w:rsid w:val="007D77AA"/>
    <w:rsid w:val="007D7924"/>
    <w:rsid w:val="007D79CB"/>
    <w:rsid w:val="007D7A25"/>
    <w:rsid w:val="007D7A4B"/>
    <w:rsid w:val="007D7BEF"/>
    <w:rsid w:val="007D7C65"/>
    <w:rsid w:val="007D7C8C"/>
    <w:rsid w:val="007D7D56"/>
    <w:rsid w:val="007D7D84"/>
    <w:rsid w:val="007D7E18"/>
    <w:rsid w:val="007D7EE1"/>
    <w:rsid w:val="007D7F6D"/>
    <w:rsid w:val="007D7FFC"/>
    <w:rsid w:val="007E00CE"/>
    <w:rsid w:val="007E00E3"/>
    <w:rsid w:val="007E00F7"/>
    <w:rsid w:val="007E0231"/>
    <w:rsid w:val="007E0534"/>
    <w:rsid w:val="007E0629"/>
    <w:rsid w:val="007E084E"/>
    <w:rsid w:val="007E0929"/>
    <w:rsid w:val="007E0A4C"/>
    <w:rsid w:val="007E0B37"/>
    <w:rsid w:val="007E0C55"/>
    <w:rsid w:val="007E0C61"/>
    <w:rsid w:val="007E0CB3"/>
    <w:rsid w:val="007E0CD9"/>
    <w:rsid w:val="007E0D16"/>
    <w:rsid w:val="007E0E03"/>
    <w:rsid w:val="007E0EAB"/>
    <w:rsid w:val="007E12A3"/>
    <w:rsid w:val="007E131D"/>
    <w:rsid w:val="007E1352"/>
    <w:rsid w:val="007E1444"/>
    <w:rsid w:val="007E158F"/>
    <w:rsid w:val="007E1715"/>
    <w:rsid w:val="007E17D6"/>
    <w:rsid w:val="007E1910"/>
    <w:rsid w:val="007E19D3"/>
    <w:rsid w:val="007E1A4C"/>
    <w:rsid w:val="007E1A73"/>
    <w:rsid w:val="007E1AA5"/>
    <w:rsid w:val="007E1B3C"/>
    <w:rsid w:val="007E1B66"/>
    <w:rsid w:val="007E1BFF"/>
    <w:rsid w:val="007E1CBA"/>
    <w:rsid w:val="007E1E4C"/>
    <w:rsid w:val="007E1E61"/>
    <w:rsid w:val="007E1FF8"/>
    <w:rsid w:val="007E203C"/>
    <w:rsid w:val="007E20BE"/>
    <w:rsid w:val="007E20F5"/>
    <w:rsid w:val="007E2278"/>
    <w:rsid w:val="007E22E9"/>
    <w:rsid w:val="007E2340"/>
    <w:rsid w:val="007E23B3"/>
    <w:rsid w:val="007E2617"/>
    <w:rsid w:val="007E264C"/>
    <w:rsid w:val="007E2725"/>
    <w:rsid w:val="007E2968"/>
    <w:rsid w:val="007E2AE4"/>
    <w:rsid w:val="007E2E0C"/>
    <w:rsid w:val="007E2ECF"/>
    <w:rsid w:val="007E2FF6"/>
    <w:rsid w:val="007E31B6"/>
    <w:rsid w:val="007E3357"/>
    <w:rsid w:val="007E3679"/>
    <w:rsid w:val="007E36F1"/>
    <w:rsid w:val="007E3704"/>
    <w:rsid w:val="007E3706"/>
    <w:rsid w:val="007E3A84"/>
    <w:rsid w:val="007E3AFA"/>
    <w:rsid w:val="007E3CE5"/>
    <w:rsid w:val="007E3DB8"/>
    <w:rsid w:val="007E3E15"/>
    <w:rsid w:val="007E3E32"/>
    <w:rsid w:val="007E3E54"/>
    <w:rsid w:val="007E3E64"/>
    <w:rsid w:val="007E4115"/>
    <w:rsid w:val="007E4185"/>
    <w:rsid w:val="007E41D4"/>
    <w:rsid w:val="007E41DA"/>
    <w:rsid w:val="007E44CD"/>
    <w:rsid w:val="007E44CE"/>
    <w:rsid w:val="007E46C5"/>
    <w:rsid w:val="007E471D"/>
    <w:rsid w:val="007E4753"/>
    <w:rsid w:val="007E4782"/>
    <w:rsid w:val="007E4825"/>
    <w:rsid w:val="007E488D"/>
    <w:rsid w:val="007E48DE"/>
    <w:rsid w:val="007E4915"/>
    <w:rsid w:val="007E4A13"/>
    <w:rsid w:val="007E4A4A"/>
    <w:rsid w:val="007E4A8B"/>
    <w:rsid w:val="007E4AC5"/>
    <w:rsid w:val="007E4B2B"/>
    <w:rsid w:val="007E4DAB"/>
    <w:rsid w:val="007E4E03"/>
    <w:rsid w:val="007E4FEA"/>
    <w:rsid w:val="007E5072"/>
    <w:rsid w:val="007E51A2"/>
    <w:rsid w:val="007E5327"/>
    <w:rsid w:val="007E536D"/>
    <w:rsid w:val="007E542B"/>
    <w:rsid w:val="007E54C7"/>
    <w:rsid w:val="007E56DD"/>
    <w:rsid w:val="007E5749"/>
    <w:rsid w:val="007E57F0"/>
    <w:rsid w:val="007E58B0"/>
    <w:rsid w:val="007E58B3"/>
    <w:rsid w:val="007E5BAB"/>
    <w:rsid w:val="007E5F97"/>
    <w:rsid w:val="007E5F9B"/>
    <w:rsid w:val="007E6019"/>
    <w:rsid w:val="007E61D8"/>
    <w:rsid w:val="007E6212"/>
    <w:rsid w:val="007E63B9"/>
    <w:rsid w:val="007E63D1"/>
    <w:rsid w:val="007E65E4"/>
    <w:rsid w:val="007E6692"/>
    <w:rsid w:val="007E676A"/>
    <w:rsid w:val="007E677C"/>
    <w:rsid w:val="007E69FA"/>
    <w:rsid w:val="007E6A5E"/>
    <w:rsid w:val="007E6BD3"/>
    <w:rsid w:val="007E6BFB"/>
    <w:rsid w:val="007E6C0C"/>
    <w:rsid w:val="007E6C8D"/>
    <w:rsid w:val="007E6DBF"/>
    <w:rsid w:val="007E6EFE"/>
    <w:rsid w:val="007E6F41"/>
    <w:rsid w:val="007E7105"/>
    <w:rsid w:val="007E71FF"/>
    <w:rsid w:val="007E732A"/>
    <w:rsid w:val="007E7493"/>
    <w:rsid w:val="007E74FF"/>
    <w:rsid w:val="007E75EB"/>
    <w:rsid w:val="007E770C"/>
    <w:rsid w:val="007E7722"/>
    <w:rsid w:val="007E77FC"/>
    <w:rsid w:val="007E7803"/>
    <w:rsid w:val="007E787A"/>
    <w:rsid w:val="007E7969"/>
    <w:rsid w:val="007E7B52"/>
    <w:rsid w:val="007E7B7F"/>
    <w:rsid w:val="007E7C0C"/>
    <w:rsid w:val="007E7C22"/>
    <w:rsid w:val="007E7F89"/>
    <w:rsid w:val="007E7FA3"/>
    <w:rsid w:val="007E7FDF"/>
    <w:rsid w:val="007F00E6"/>
    <w:rsid w:val="007F00EC"/>
    <w:rsid w:val="007F01C5"/>
    <w:rsid w:val="007F0292"/>
    <w:rsid w:val="007F034B"/>
    <w:rsid w:val="007F03A6"/>
    <w:rsid w:val="007F03A8"/>
    <w:rsid w:val="007F03BE"/>
    <w:rsid w:val="007F049F"/>
    <w:rsid w:val="007F0635"/>
    <w:rsid w:val="007F0838"/>
    <w:rsid w:val="007F089B"/>
    <w:rsid w:val="007F0943"/>
    <w:rsid w:val="007F09F5"/>
    <w:rsid w:val="007F0A70"/>
    <w:rsid w:val="007F0CA4"/>
    <w:rsid w:val="007F0CDB"/>
    <w:rsid w:val="007F0E19"/>
    <w:rsid w:val="007F0E47"/>
    <w:rsid w:val="007F0E86"/>
    <w:rsid w:val="007F10AB"/>
    <w:rsid w:val="007F1173"/>
    <w:rsid w:val="007F117B"/>
    <w:rsid w:val="007F1240"/>
    <w:rsid w:val="007F1280"/>
    <w:rsid w:val="007F12C6"/>
    <w:rsid w:val="007F131B"/>
    <w:rsid w:val="007F1407"/>
    <w:rsid w:val="007F1491"/>
    <w:rsid w:val="007F1558"/>
    <w:rsid w:val="007F166F"/>
    <w:rsid w:val="007F1672"/>
    <w:rsid w:val="007F16F3"/>
    <w:rsid w:val="007F1891"/>
    <w:rsid w:val="007F18A4"/>
    <w:rsid w:val="007F1A48"/>
    <w:rsid w:val="007F1AE0"/>
    <w:rsid w:val="007F1D7A"/>
    <w:rsid w:val="007F1DFE"/>
    <w:rsid w:val="007F2001"/>
    <w:rsid w:val="007F21FB"/>
    <w:rsid w:val="007F2295"/>
    <w:rsid w:val="007F2397"/>
    <w:rsid w:val="007F2441"/>
    <w:rsid w:val="007F2476"/>
    <w:rsid w:val="007F2492"/>
    <w:rsid w:val="007F2594"/>
    <w:rsid w:val="007F25BE"/>
    <w:rsid w:val="007F25C0"/>
    <w:rsid w:val="007F25C6"/>
    <w:rsid w:val="007F25D8"/>
    <w:rsid w:val="007F261B"/>
    <w:rsid w:val="007F26D8"/>
    <w:rsid w:val="007F26EB"/>
    <w:rsid w:val="007F2705"/>
    <w:rsid w:val="007F27A7"/>
    <w:rsid w:val="007F27AB"/>
    <w:rsid w:val="007F27EA"/>
    <w:rsid w:val="007F286E"/>
    <w:rsid w:val="007F2A0B"/>
    <w:rsid w:val="007F2A75"/>
    <w:rsid w:val="007F2AAB"/>
    <w:rsid w:val="007F2ACD"/>
    <w:rsid w:val="007F2AED"/>
    <w:rsid w:val="007F2B09"/>
    <w:rsid w:val="007F2B0A"/>
    <w:rsid w:val="007F2BEE"/>
    <w:rsid w:val="007F2C7E"/>
    <w:rsid w:val="007F2C8D"/>
    <w:rsid w:val="007F2CF2"/>
    <w:rsid w:val="007F2D1E"/>
    <w:rsid w:val="007F2D3B"/>
    <w:rsid w:val="007F2DB3"/>
    <w:rsid w:val="007F2DCE"/>
    <w:rsid w:val="007F2ED1"/>
    <w:rsid w:val="007F2EED"/>
    <w:rsid w:val="007F2EF2"/>
    <w:rsid w:val="007F3004"/>
    <w:rsid w:val="007F3058"/>
    <w:rsid w:val="007F3201"/>
    <w:rsid w:val="007F34E9"/>
    <w:rsid w:val="007F3553"/>
    <w:rsid w:val="007F3654"/>
    <w:rsid w:val="007F383D"/>
    <w:rsid w:val="007F3877"/>
    <w:rsid w:val="007F3A11"/>
    <w:rsid w:val="007F3A6D"/>
    <w:rsid w:val="007F3AA0"/>
    <w:rsid w:val="007F3BD8"/>
    <w:rsid w:val="007F3C25"/>
    <w:rsid w:val="007F3CC2"/>
    <w:rsid w:val="007F3D1D"/>
    <w:rsid w:val="007F3F9C"/>
    <w:rsid w:val="007F408A"/>
    <w:rsid w:val="007F4264"/>
    <w:rsid w:val="007F42A4"/>
    <w:rsid w:val="007F432F"/>
    <w:rsid w:val="007F433A"/>
    <w:rsid w:val="007F43DC"/>
    <w:rsid w:val="007F4490"/>
    <w:rsid w:val="007F4565"/>
    <w:rsid w:val="007F463D"/>
    <w:rsid w:val="007F4926"/>
    <w:rsid w:val="007F49B2"/>
    <w:rsid w:val="007F4A53"/>
    <w:rsid w:val="007F4A60"/>
    <w:rsid w:val="007F4AB5"/>
    <w:rsid w:val="007F4AD2"/>
    <w:rsid w:val="007F4AE4"/>
    <w:rsid w:val="007F4B6A"/>
    <w:rsid w:val="007F4C9F"/>
    <w:rsid w:val="007F4D9C"/>
    <w:rsid w:val="007F4F4E"/>
    <w:rsid w:val="007F51C3"/>
    <w:rsid w:val="007F542C"/>
    <w:rsid w:val="007F546E"/>
    <w:rsid w:val="007F54B1"/>
    <w:rsid w:val="007F55B3"/>
    <w:rsid w:val="007F5610"/>
    <w:rsid w:val="007F566F"/>
    <w:rsid w:val="007F579E"/>
    <w:rsid w:val="007F5947"/>
    <w:rsid w:val="007F5A62"/>
    <w:rsid w:val="007F5AA6"/>
    <w:rsid w:val="007F5C04"/>
    <w:rsid w:val="007F5FAE"/>
    <w:rsid w:val="007F60D8"/>
    <w:rsid w:val="007F61EB"/>
    <w:rsid w:val="007F622F"/>
    <w:rsid w:val="007F6267"/>
    <w:rsid w:val="007F6504"/>
    <w:rsid w:val="007F674E"/>
    <w:rsid w:val="007F6785"/>
    <w:rsid w:val="007F67C8"/>
    <w:rsid w:val="007F6809"/>
    <w:rsid w:val="007F681C"/>
    <w:rsid w:val="007F684F"/>
    <w:rsid w:val="007F6855"/>
    <w:rsid w:val="007F68C8"/>
    <w:rsid w:val="007F693E"/>
    <w:rsid w:val="007F6AD9"/>
    <w:rsid w:val="007F6B92"/>
    <w:rsid w:val="007F6C06"/>
    <w:rsid w:val="007F6CAE"/>
    <w:rsid w:val="007F6E2B"/>
    <w:rsid w:val="007F6E81"/>
    <w:rsid w:val="007F71B0"/>
    <w:rsid w:val="007F7248"/>
    <w:rsid w:val="007F7283"/>
    <w:rsid w:val="007F730F"/>
    <w:rsid w:val="007F7342"/>
    <w:rsid w:val="007F737A"/>
    <w:rsid w:val="007F7383"/>
    <w:rsid w:val="007F73CA"/>
    <w:rsid w:val="007F7484"/>
    <w:rsid w:val="007F78D6"/>
    <w:rsid w:val="007F7913"/>
    <w:rsid w:val="007F7942"/>
    <w:rsid w:val="007F7A03"/>
    <w:rsid w:val="007F7A51"/>
    <w:rsid w:val="007F7A69"/>
    <w:rsid w:val="007F7AB6"/>
    <w:rsid w:val="007F7AD0"/>
    <w:rsid w:val="007F7B59"/>
    <w:rsid w:val="007F7BD5"/>
    <w:rsid w:val="007F7CBE"/>
    <w:rsid w:val="007F7D25"/>
    <w:rsid w:val="007F7DE5"/>
    <w:rsid w:val="007F7E62"/>
    <w:rsid w:val="007F7F5F"/>
    <w:rsid w:val="007F7FE8"/>
    <w:rsid w:val="00800034"/>
    <w:rsid w:val="00800097"/>
    <w:rsid w:val="008000CC"/>
    <w:rsid w:val="008000EA"/>
    <w:rsid w:val="00800115"/>
    <w:rsid w:val="00800199"/>
    <w:rsid w:val="0080020E"/>
    <w:rsid w:val="00800246"/>
    <w:rsid w:val="00800254"/>
    <w:rsid w:val="0080043B"/>
    <w:rsid w:val="0080045A"/>
    <w:rsid w:val="00800462"/>
    <w:rsid w:val="008004F2"/>
    <w:rsid w:val="008005FE"/>
    <w:rsid w:val="0080061A"/>
    <w:rsid w:val="00800727"/>
    <w:rsid w:val="008008BE"/>
    <w:rsid w:val="008009BD"/>
    <w:rsid w:val="008009FB"/>
    <w:rsid w:val="00800A86"/>
    <w:rsid w:val="00800ACD"/>
    <w:rsid w:val="00800B88"/>
    <w:rsid w:val="00800BA8"/>
    <w:rsid w:val="00800BC0"/>
    <w:rsid w:val="00800C1D"/>
    <w:rsid w:val="00800C62"/>
    <w:rsid w:val="00800DA5"/>
    <w:rsid w:val="00800E31"/>
    <w:rsid w:val="00800F0B"/>
    <w:rsid w:val="00801084"/>
    <w:rsid w:val="0080128F"/>
    <w:rsid w:val="008014B0"/>
    <w:rsid w:val="0080157F"/>
    <w:rsid w:val="008015F8"/>
    <w:rsid w:val="0080163F"/>
    <w:rsid w:val="00801A41"/>
    <w:rsid w:val="00801A82"/>
    <w:rsid w:val="00801A9A"/>
    <w:rsid w:val="00801B05"/>
    <w:rsid w:val="00801BBC"/>
    <w:rsid w:val="00801BE4"/>
    <w:rsid w:val="00801DCF"/>
    <w:rsid w:val="00801E33"/>
    <w:rsid w:val="00801EC3"/>
    <w:rsid w:val="00801EFC"/>
    <w:rsid w:val="00801F34"/>
    <w:rsid w:val="00802081"/>
    <w:rsid w:val="008020D1"/>
    <w:rsid w:val="0080223B"/>
    <w:rsid w:val="008022A0"/>
    <w:rsid w:val="008022EC"/>
    <w:rsid w:val="0080232E"/>
    <w:rsid w:val="00802350"/>
    <w:rsid w:val="0080258E"/>
    <w:rsid w:val="0080259F"/>
    <w:rsid w:val="008025BC"/>
    <w:rsid w:val="00802621"/>
    <w:rsid w:val="008027D1"/>
    <w:rsid w:val="008027D6"/>
    <w:rsid w:val="008028B8"/>
    <w:rsid w:val="008028D1"/>
    <w:rsid w:val="00802935"/>
    <w:rsid w:val="00802994"/>
    <w:rsid w:val="00802996"/>
    <w:rsid w:val="008029FB"/>
    <w:rsid w:val="00802A5B"/>
    <w:rsid w:val="00802A6F"/>
    <w:rsid w:val="00802ACC"/>
    <w:rsid w:val="00802AF0"/>
    <w:rsid w:val="00802AF5"/>
    <w:rsid w:val="00802B51"/>
    <w:rsid w:val="00802DB4"/>
    <w:rsid w:val="00802DBF"/>
    <w:rsid w:val="00802DDF"/>
    <w:rsid w:val="00802E54"/>
    <w:rsid w:val="00802EA1"/>
    <w:rsid w:val="00802F7C"/>
    <w:rsid w:val="00802FC9"/>
    <w:rsid w:val="00802FD2"/>
    <w:rsid w:val="0080315F"/>
    <w:rsid w:val="0080317A"/>
    <w:rsid w:val="008032FF"/>
    <w:rsid w:val="0080333C"/>
    <w:rsid w:val="00803385"/>
    <w:rsid w:val="008033BF"/>
    <w:rsid w:val="0080342E"/>
    <w:rsid w:val="0080362B"/>
    <w:rsid w:val="00803685"/>
    <w:rsid w:val="008036FF"/>
    <w:rsid w:val="00803795"/>
    <w:rsid w:val="008037B3"/>
    <w:rsid w:val="00803863"/>
    <w:rsid w:val="00803896"/>
    <w:rsid w:val="00803997"/>
    <w:rsid w:val="00803BF3"/>
    <w:rsid w:val="00803DEF"/>
    <w:rsid w:val="00803EAA"/>
    <w:rsid w:val="00803F49"/>
    <w:rsid w:val="00803F74"/>
    <w:rsid w:val="00803FF1"/>
    <w:rsid w:val="008041A2"/>
    <w:rsid w:val="00804238"/>
    <w:rsid w:val="0080424E"/>
    <w:rsid w:val="008046C8"/>
    <w:rsid w:val="008047FE"/>
    <w:rsid w:val="00804819"/>
    <w:rsid w:val="00804884"/>
    <w:rsid w:val="008049C7"/>
    <w:rsid w:val="00804B29"/>
    <w:rsid w:val="00804B2B"/>
    <w:rsid w:val="00804D38"/>
    <w:rsid w:val="00804D4C"/>
    <w:rsid w:val="00804F07"/>
    <w:rsid w:val="00804F4D"/>
    <w:rsid w:val="00804FC0"/>
    <w:rsid w:val="00805020"/>
    <w:rsid w:val="0080510B"/>
    <w:rsid w:val="00805112"/>
    <w:rsid w:val="00805215"/>
    <w:rsid w:val="0080523A"/>
    <w:rsid w:val="00805450"/>
    <w:rsid w:val="00805599"/>
    <w:rsid w:val="008056AF"/>
    <w:rsid w:val="00805751"/>
    <w:rsid w:val="008057EC"/>
    <w:rsid w:val="008057FE"/>
    <w:rsid w:val="008059C3"/>
    <w:rsid w:val="00805BBF"/>
    <w:rsid w:val="00805D61"/>
    <w:rsid w:val="00805F08"/>
    <w:rsid w:val="00805FB9"/>
    <w:rsid w:val="00805FD5"/>
    <w:rsid w:val="0080604F"/>
    <w:rsid w:val="00806161"/>
    <w:rsid w:val="0080628B"/>
    <w:rsid w:val="00806397"/>
    <w:rsid w:val="008063CB"/>
    <w:rsid w:val="008063F9"/>
    <w:rsid w:val="008065AF"/>
    <w:rsid w:val="008066AC"/>
    <w:rsid w:val="008066F6"/>
    <w:rsid w:val="008066F8"/>
    <w:rsid w:val="0080674E"/>
    <w:rsid w:val="00806936"/>
    <w:rsid w:val="00806A31"/>
    <w:rsid w:val="00806AD2"/>
    <w:rsid w:val="00806BBB"/>
    <w:rsid w:val="00806C80"/>
    <w:rsid w:val="00806D32"/>
    <w:rsid w:val="00806F5A"/>
    <w:rsid w:val="00806FE2"/>
    <w:rsid w:val="00806FE4"/>
    <w:rsid w:val="00807270"/>
    <w:rsid w:val="008073FA"/>
    <w:rsid w:val="00807571"/>
    <w:rsid w:val="008075EE"/>
    <w:rsid w:val="008076E1"/>
    <w:rsid w:val="00807933"/>
    <w:rsid w:val="00807ABE"/>
    <w:rsid w:val="00807BE0"/>
    <w:rsid w:val="00807C09"/>
    <w:rsid w:val="00807D0D"/>
    <w:rsid w:val="00807E3D"/>
    <w:rsid w:val="00807FA9"/>
    <w:rsid w:val="00809B14"/>
    <w:rsid w:val="008102A0"/>
    <w:rsid w:val="008102C8"/>
    <w:rsid w:val="00810469"/>
    <w:rsid w:val="0081047A"/>
    <w:rsid w:val="00810550"/>
    <w:rsid w:val="00810667"/>
    <w:rsid w:val="0081077C"/>
    <w:rsid w:val="0081080A"/>
    <w:rsid w:val="0081083D"/>
    <w:rsid w:val="0081087D"/>
    <w:rsid w:val="00810894"/>
    <w:rsid w:val="00810897"/>
    <w:rsid w:val="0081091A"/>
    <w:rsid w:val="00810A25"/>
    <w:rsid w:val="00810A3E"/>
    <w:rsid w:val="00810B09"/>
    <w:rsid w:val="00810B60"/>
    <w:rsid w:val="00810B6E"/>
    <w:rsid w:val="00810C56"/>
    <w:rsid w:val="00810C71"/>
    <w:rsid w:val="00810E16"/>
    <w:rsid w:val="00810E8B"/>
    <w:rsid w:val="00810EB9"/>
    <w:rsid w:val="00810F3A"/>
    <w:rsid w:val="00810FB3"/>
    <w:rsid w:val="00810FEA"/>
    <w:rsid w:val="008110A0"/>
    <w:rsid w:val="0081117D"/>
    <w:rsid w:val="0081125B"/>
    <w:rsid w:val="0081142B"/>
    <w:rsid w:val="0081152C"/>
    <w:rsid w:val="0081174B"/>
    <w:rsid w:val="00811807"/>
    <w:rsid w:val="00811955"/>
    <w:rsid w:val="00811A2D"/>
    <w:rsid w:val="00811A8C"/>
    <w:rsid w:val="00811AE8"/>
    <w:rsid w:val="00811B2F"/>
    <w:rsid w:val="00811B71"/>
    <w:rsid w:val="00811B8E"/>
    <w:rsid w:val="00811C49"/>
    <w:rsid w:val="00811D39"/>
    <w:rsid w:val="00811DB4"/>
    <w:rsid w:val="00811DDB"/>
    <w:rsid w:val="0081201A"/>
    <w:rsid w:val="00812021"/>
    <w:rsid w:val="0081213D"/>
    <w:rsid w:val="008121AC"/>
    <w:rsid w:val="008121F6"/>
    <w:rsid w:val="0081228B"/>
    <w:rsid w:val="008123FC"/>
    <w:rsid w:val="00812567"/>
    <w:rsid w:val="008125DD"/>
    <w:rsid w:val="0081272E"/>
    <w:rsid w:val="00812739"/>
    <w:rsid w:val="008127F0"/>
    <w:rsid w:val="0081285C"/>
    <w:rsid w:val="008129DF"/>
    <w:rsid w:val="008129F2"/>
    <w:rsid w:val="00812A1E"/>
    <w:rsid w:val="00812B26"/>
    <w:rsid w:val="00812B2A"/>
    <w:rsid w:val="00812DDB"/>
    <w:rsid w:val="00812E83"/>
    <w:rsid w:val="00812EE6"/>
    <w:rsid w:val="00813303"/>
    <w:rsid w:val="00813399"/>
    <w:rsid w:val="008133A8"/>
    <w:rsid w:val="00813481"/>
    <w:rsid w:val="008134C5"/>
    <w:rsid w:val="00813646"/>
    <w:rsid w:val="008137F1"/>
    <w:rsid w:val="0081390E"/>
    <w:rsid w:val="0081394F"/>
    <w:rsid w:val="00813B9D"/>
    <w:rsid w:val="00813BF4"/>
    <w:rsid w:val="00813CEA"/>
    <w:rsid w:val="00813D36"/>
    <w:rsid w:val="00813DF1"/>
    <w:rsid w:val="00813EBE"/>
    <w:rsid w:val="00813F20"/>
    <w:rsid w:val="00813F38"/>
    <w:rsid w:val="00813F94"/>
    <w:rsid w:val="00813FE8"/>
    <w:rsid w:val="008140AB"/>
    <w:rsid w:val="00814210"/>
    <w:rsid w:val="008142EE"/>
    <w:rsid w:val="0081432D"/>
    <w:rsid w:val="0081437F"/>
    <w:rsid w:val="00814565"/>
    <w:rsid w:val="008145E8"/>
    <w:rsid w:val="0081464A"/>
    <w:rsid w:val="008146FC"/>
    <w:rsid w:val="008147B4"/>
    <w:rsid w:val="008149AF"/>
    <w:rsid w:val="008149CF"/>
    <w:rsid w:val="00814B70"/>
    <w:rsid w:val="00814C1C"/>
    <w:rsid w:val="00814C3B"/>
    <w:rsid w:val="00814C41"/>
    <w:rsid w:val="00814CA1"/>
    <w:rsid w:val="00814CF8"/>
    <w:rsid w:val="00814F72"/>
    <w:rsid w:val="00814FBE"/>
    <w:rsid w:val="00814FFA"/>
    <w:rsid w:val="00815088"/>
    <w:rsid w:val="008150F7"/>
    <w:rsid w:val="0081527E"/>
    <w:rsid w:val="008152B4"/>
    <w:rsid w:val="008152E9"/>
    <w:rsid w:val="00815365"/>
    <w:rsid w:val="00815381"/>
    <w:rsid w:val="008154C1"/>
    <w:rsid w:val="00815532"/>
    <w:rsid w:val="008156C7"/>
    <w:rsid w:val="008157D6"/>
    <w:rsid w:val="00815A64"/>
    <w:rsid w:val="00815AA2"/>
    <w:rsid w:val="00815B9E"/>
    <w:rsid w:val="00815BB8"/>
    <w:rsid w:val="00815C4B"/>
    <w:rsid w:val="00815CA3"/>
    <w:rsid w:val="00815D02"/>
    <w:rsid w:val="00815F84"/>
    <w:rsid w:val="008161A4"/>
    <w:rsid w:val="008162EF"/>
    <w:rsid w:val="008162F1"/>
    <w:rsid w:val="00816334"/>
    <w:rsid w:val="0081638E"/>
    <w:rsid w:val="008163CB"/>
    <w:rsid w:val="00816406"/>
    <w:rsid w:val="00816441"/>
    <w:rsid w:val="00816454"/>
    <w:rsid w:val="008164DD"/>
    <w:rsid w:val="00816548"/>
    <w:rsid w:val="00816614"/>
    <w:rsid w:val="00816725"/>
    <w:rsid w:val="00816799"/>
    <w:rsid w:val="008167E4"/>
    <w:rsid w:val="0081680F"/>
    <w:rsid w:val="0081685D"/>
    <w:rsid w:val="00816918"/>
    <w:rsid w:val="00816938"/>
    <w:rsid w:val="00816A69"/>
    <w:rsid w:val="00816AE1"/>
    <w:rsid w:val="00816B65"/>
    <w:rsid w:val="00816B67"/>
    <w:rsid w:val="00816D19"/>
    <w:rsid w:val="00816D65"/>
    <w:rsid w:val="00816D6D"/>
    <w:rsid w:val="00816F09"/>
    <w:rsid w:val="00816F22"/>
    <w:rsid w:val="00816F69"/>
    <w:rsid w:val="00817121"/>
    <w:rsid w:val="00817166"/>
    <w:rsid w:val="00817171"/>
    <w:rsid w:val="008171F9"/>
    <w:rsid w:val="0081730E"/>
    <w:rsid w:val="0081738F"/>
    <w:rsid w:val="00817396"/>
    <w:rsid w:val="008173D8"/>
    <w:rsid w:val="00817465"/>
    <w:rsid w:val="00817525"/>
    <w:rsid w:val="008178CD"/>
    <w:rsid w:val="008179C4"/>
    <w:rsid w:val="00817AD8"/>
    <w:rsid w:val="00817D05"/>
    <w:rsid w:val="00817D64"/>
    <w:rsid w:val="00817DE0"/>
    <w:rsid w:val="00817FB9"/>
    <w:rsid w:val="00820057"/>
    <w:rsid w:val="008200D8"/>
    <w:rsid w:val="00820350"/>
    <w:rsid w:val="00820386"/>
    <w:rsid w:val="008203A3"/>
    <w:rsid w:val="008203AA"/>
    <w:rsid w:val="00820735"/>
    <w:rsid w:val="00820892"/>
    <w:rsid w:val="008208F4"/>
    <w:rsid w:val="008208F9"/>
    <w:rsid w:val="00820948"/>
    <w:rsid w:val="00820A52"/>
    <w:rsid w:val="00820AF5"/>
    <w:rsid w:val="00820B52"/>
    <w:rsid w:val="00820CE6"/>
    <w:rsid w:val="00820F63"/>
    <w:rsid w:val="00820FF7"/>
    <w:rsid w:val="008210F6"/>
    <w:rsid w:val="008211C7"/>
    <w:rsid w:val="008213DB"/>
    <w:rsid w:val="008213F8"/>
    <w:rsid w:val="008214F7"/>
    <w:rsid w:val="008216C4"/>
    <w:rsid w:val="0082186A"/>
    <w:rsid w:val="0082199E"/>
    <w:rsid w:val="00821BC3"/>
    <w:rsid w:val="00821C7E"/>
    <w:rsid w:val="00821DAD"/>
    <w:rsid w:val="00821E66"/>
    <w:rsid w:val="00821EE1"/>
    <w:rsid w:val="00821F68"/>
    <w:rsid w:val="00821FC4"/>
    <w:rsid w:val="00822084"/>
    <w:rsid w:val="008220F3"/>
    <w:rsid w:val="00822128"/>
    <w:rsid w:val="00822151"/>
    <w:rsid w:val="008223C0"/>
    <w:rsid w:val="00822430"/>
    <w:rsid w:val="00822470"/>
    <w:rsid w:val="008224FA"/>
    <w:rsid w:val="00822592"/>
    <w:rsid w:val="0082289F"/>
    <w:rsid w:val="00822920"/>
    <w:rsid w:val="00822AB4"/>
    <w:rsid w:val="00822ADF"/>
    <w:rsid w:val="00822B03"/>
    <w:rsid w:val="00822B14"/>
    <w:rsid w:val="00822B24"/>
    <w:rsid w:val="00822BE8"/>
    <w:rsid w:val="00822BFE"/>
    <w:rsid w:val="00822E03"/>
    <w:rsid w:val="00822E0E"/>
    <w:rsid w:val="008232F1"/>
    <w:rsid w:val="008233E6"/>
    <w:rsid w:val="008234BD"/>
    <w:rsid w:val="008236F3"/>
    <w:rsid w:val="00823847"/>
    <w:rsid w:val="00823A1F"/>
    <w:rsid w:val="00823B05"/>
    <w:rsid w:val="00823F00"/>
    <w:rsid w:val="00823FDB"/>
    <w:rsid w:val="00823FF4"/>
    <w:rsid w:val="00823FF7"/>
    <w:rsid w:val="00824032"/>
    <w:rsid w:val="008240B2"/>
    <w:rsid w:val="00824160"/>
    <w:rsid w:val="00824197"/>
    <w:rsid w:val="0082423A"/>
    <w:rsid w:val="0082425B"/>
    <w:rsid w:val="0082428B"/>
    <w:rsid w:val="00824330"/>
    <w:rsid w:val="0082441F"/>
    <w:rsid w:val="008244BA"/>
    <w:rsid w:val="00824533"/>
    <w:rsid w:val="008245F9"/>
    <w:rsid w:val="008246E2"/>
    <w:rsid w:val="00824816"/>
    <w:rsid w:val="00824832"/>
    <w:rsid w:val="0082498E"/>
    <w:rsid w:val="00824A45"/>
    <w:rsid w:val="00824AB1"/>
    <w:rsid w:val="00824B3C"/>
    <w:rsid w:val="00824B8A"/>
    <w:rsid w:val="00824BA0"/>
    <w:rsid w:val="00824C72"/>
    <w:rsid w:val="00824C96"/>
    <w:rsid w:val="00824CC2"/>
    <w:rsid w:val="00824D42"/>
    <w:rsid w:val="00824E61"/>
    <w:rsid w:val="00824EA8"/>
    <w:rsid w:val="00825001"/>
    <w:rsid w:val="00825063"/>
    <w:rsid w:val="00825086"/>
    <w:rsid w:val="008250FA"/>
    <w:rsid w:val="0082527B"/>
    <w:rsid w:val="0082528E"/>
    <w:rsid w:val="00825328"/>
    <w:rsid w:val="008253ED"/>
    <w:rsid w:val="00825517"/>
    <w:rsid w:val="0082568E"/>
    <w:rsid w:val="008256E3"/>
    <w:rsid w:val="00825984"/>
    <w:rsid w:val="00825C36"/>
    <w:rsid w:val="00825C6C"/>
    <w:rsid w:val="00825C74"/>
    <w:rsid w:val="00825D50"/>
    <w:rsid w:val="00825DC2"/>
    <w:rsid w:val="00825E63"/>
    <w:rsid w:val="00825E87"/>
    <w:rsid w:val="00825ED6"/>
    <w:rsid w:val="00825ED8"/>
    <w:rsid w:val="00825F0E"/>
    <w:rsid w:val="00825F8D"/>
    <w:rsid w:val="00825FA6"/>
    <w:rsid w:val="00826042"/>
    <w:rsid w:val="00826058"/>
    <w:rsid w:val="0082618A"/>
    <w:rsid w:val="008261FD"/>
    <w:rsid w:val="0082629A"/>
    <w:rsid w:val="008262B2"/>
    <w:rsid w:val="00826456"/>
    <w:rsid w:val="0082645D"/>
    <w:rsid w:val="00826501"/>
    <w:rsid w:val="00826546"/>
    <w:rsid w:val="008265A4"/>
    <w:rsid w:val="00826731"/>
    <w:rsid w:val="00826739"/>
    <w:rsid w:val="008269B4"/>
    <w:rsid w:val="008269FD"/>
    <w:rsid w:val="00826A35"/>
    <w:rsid w:val="00826CD9"/>
    <w:rsid w:val="00826D08"/>
    <w:rsid w:val="00826E35"/>
    <w:rsid w:val="00826F55"/>
    <w:rsid w:val="00827247"/>
    <w:rsid w:val="008272FA"/>
    <w:rsid w:val="00827318"/>
    <w:rsid w:val="0082736C"/>
    <w:rsid w:val="008273E0"/>
    <w:rsid w:val="00827534"/>
    <w:rsid w:val="00827663"/>
    <w:rsid w:val="0082766B"/>
    <w:rsid w:val="00827682"/>
    <w:rsid w:val="00827750"/>
    <w:rsid w:val="008277D1"/>
    <w:rsid w:val="00827861"/>
    <w:rsid w:val="00827877"/>
    <w:rsid w:val="00827C63"/>
    <w:rsid w:val="00827DD3"/>
    <w:rsid w:val="00827EF7"/>
    <w:rsid w:val="00827F5B"/>
    <w:rsid w:val="00827F69"/>
    <w:rsid w:val="00827FE9"/>
    <w:rsid w:val="00830161"/>
    <w:rsid w:val="0083038A"/>
    <w:rsid w:val="008303F5"/>
    <w:rsid w:val="008304F8"/>
    <w:rsid w:val="00830504"/>
    <w:rsid w:val="0083059F"/>
    <w:rsid w:val="008305B3"/>
    <w:rsid w:val="00830629"/>
    <w:rsid w:val="0083073A"/>
    <w:rsid w:val="00830919"/>
    <w:rsid w:val="00830936"/>
    <w:rsid w:val="00830952"/>
    <w:rsid w:val="00830A5E"/>
    <w:rsid w:val="00830BB0"/>
    <w:rsid w:val="00830BE6"/>
    <w:rsid w:val="00830C0B"/>
    <w:rsid w:val="00830C37"/>
    <w:rsid w:val="00830C81"/>
    <w:rsid w:val="00830C90"/>
    <w:rsid w:val="00830CFB"/>
    <w:rsid w:val="00830CFF"/>
    <w:rsid w:val="00830D7E"/>
    <w:rsid w:val="00830DB1"/>
    <w:rsid w:val="00830DC5"/>
    <w:rsid w:val="00830E72"/>
    <w:rsid w:val="00830FAB"/>
    <w:rsid w:val="00830FF6"/>
    <w:rsid w:val="00831014"/>
    <w:rsid w:val="00831094"/>
    <w:rsid w:val="008310AB"/>
    <w:rsid w:val="00831125"/>
    <w:rsid w:val="008312A9"/>
    <w:rsid w:val="00831356"/>
    <w:rsid w:val="008313F9"/>
    <w:rsid w:val="0083143F"/>
    <w:rsid w:val="0083153A"/>
    <w:rsid w:val="008315B0"/>
    <w:rsid w:val="0083160A"/>
    <w:rsid w:val="008316A1"/>
    <w:rsid w:val="008316E5"/>
    <w:rsid w:val="00831731"/>
    <w:rsid w:val="0083177C"/>
    <w:rsid w:val="00831889"/>
    <w:rsid w:val="0083199A"/>
    <w:rsid w:val="00831AC3"/>
    <w:rsid w:val="00831BC2"/>
    <w:rsid w:val="00831BF3"/>
    <w:rsid w:val="00831CAA"/>
    <w:rsid w:val="00831D1F"/>
    <w:rsid w:val="00831D24"/>
    <w:rsid w:val="00831D7F"/>
    <w:rsid w:val="00831F5D"/>
    <w:rsid w:val="00832060"/>
    <w:rsid w:val="008320A6"/>
    <w:rsid w:val="0083216E"/>
    <w:rsid w:val="00832578"/>
    <w:rsid w:val="008325A6"/>
    <w:rsid w:val="008326ED"/>
    <w:rsid w:val="00832883"/>
    <w:rsid w:val="008328B0"/>
    <w:rsid w:val="00832938"/>
    <w:rsid w:val="008329CE"/>
    <w:rsid w:val="00832A67"/>
    <w:rsid w:val="00832ABB"/>
    <w:rsid w:val="00832BEE"/>
    <w:rsid w:val="00832C61"/>
    <w:rsid w:val="00832C97"/>
    <w:rsid w:val="00832C9A"/>
    <w:rsid w:val="00832DD4"/>
    <w:rsid w:val="00832F70"/>
    <w:rsid w:val="00832FEB"/>
    <w:rsid w:val="00833001"/>
    <w:rsid w:val="00833002"/>
    <w:rsid w:val="008330B4"/>
    <w:rsid w:val="00833261"/>
    <w:rsid w:val="00833332"/>
    <w:rsid w:val="008333BC"/>
    <w:rsid w:val="0083344F"/>
    <w:rsid w:val="00833624"/>
    <w:rsid w:val="008336C6"/>
    <w:rsid w:val="008337D8"/>
    <w:rsid w:val="008338DF"/>
    <w:rsid w:val="00833A5A"/>
    <w:rsid w:val="00833B1C"/>
    <w:rsid w:val="00833B96"/>
    <w:rsid w:val="00833C39"/>
    <w:rsid w:val="00833E20"/>
    <w:rsid w:val="00833ECF"/>
    <w:rsid w:val="00833FCC"/>
    <w:rsid w:val="00834206"/>
    <w:rsid w:val="0083442F"/>
    <w:rsid w:val="0083449C"/>
    <w:rsid w:val="008344A8"/>
    <w:rsid w:val="0083462F"/>
    <w:rsid w:val="008347A9"/>
    <w:rsid w:val="008347AF"/>
    <w:rsid w:val="008347BC"/>
    <w:rsid w:val="00834A6F"/>
    <w:rsid w:val="00834ADD"/>
    <w:rsid w:val="00834E96"/>
    <w:rsid w:val="00834FB0"/>
    <w:rsid w:val="00835079"/>
    <w:rsid w:val="008350F9"/>
    <w:rsid w:val="00835257"/>
    <w:rsid w:val="00835290"/>
    <w:rsid w:val="008352E0"/>
    <w:rsid w:val="0083545C"/>
    <w:rsid w:val="00835515"/>
    <w:rsid w:val="0083576B"/>
    <w:rsid w:val="00835790"/>
    <w:rsid w:val="008358A1"/>
    <w:rsid w:val="00835905"/>
    <w:rsid w:val="0083590B"/>
    <w:rsid w:val="0083599E"/>
    <w:rsid w:val="008359B2"/>
    <w:rsid w:val="00835AA4"/>
    <w:rsid w:val="00835AC3"/>
    <w:rsid w:val="00835AC8"/>
    <w:rsid w:val="00835DAF"/>
    <w:rsid w:val="00835E8A"/>
    <w:rsid w:val="0083607C"/>
    <w:rsid w:val="0083609E"/>
    <w:rsid w:val="00836235"/>
    <w:rsid w:val="0083629D"/>
    <w:rsid w:val="008362C5"/>
    <w:rsid w:val="00836305"/>
    <w:rsid w:val="00836316"/>
    <w:rsid w:val="008364DA"/>
    <w:rsid w:val="0083650B"/>
    <w:rsid w:val="00836666"/>
    <w:rsid w:val="008366D3"/>
    <w:rsid w:val="008366F2"/>
    <w:rsid w:val="00836744"/>
    <w:rsid w:val="008367E7"/>
    <w:rsid w:val="00836863"/>
    <w:rsid w:val="00836945"/>
    <w:rsid w:val="00836955"/>
    <w:rsid w:val="00836C9A"/>
    <w:rsid w:val="00836CAD"/>
    <w:rsid w:val="00836E53"/>
    <w:rsid w:val="00836EE9"/>
    <w:rsid w:val="00836F6B"/>
    <w:rsid w:val="00836F8F"/>
    <w:rsid w:val="00836FF6"/>
    <w:rsid w:val="008370C6"/>
    <w:rsid w:val="00837409"/>
    <w:rsid w:val="0083741F"/>
    <w:rsid w:val="008374CD"/>
    <w:rsid w:val="0083750A"/>
    <w:rsid w:val="00837603"/>
    <w:rsid w:val="008376E1"/>
    <w:rsid w:val="008378DA"/>
    <w:rsid w:val="00837904"/>
    <w:rsid w:val="008379BB"/>
    <w:rsid w:val="00837B52"/>
    <w:rsid w:val="00837B95"/>
    <w:rsid w:val="00837BE5"/>
    <w:rsid w:val="00837C83"/>
    <w:rsid w:val="00837DFC"/>
    <w:rsid w:val="00837F51"/>
    <w:rsid w:val="00840006"/>
    <w:rsid w:val="0084008E"/>
    <w:rsid w:val="008403E3"/>
    <w:rsid w:val="00840487"/>
    <w:rsid w:val="00840501"/>
    <w:rsid w:val="00840517"/>
    <w:rsid w:val="0084064D"/>
    <w:rsid w:val="00840689"/>
    <w:rsid w:val="0084070F"/>
    <w:rsid w:val="008408A8"/>
    <w:rsid w:val="0084091F"/>
    <w:rsid w:val="00840921"/>
    <w:rsid w:val="00840954"/>
    <w:rsid w:val="00840A05"/>
    <w:rsid w:val="00840A37"/>
    <w:rsid w:val="00840A82"/>
    <w:rsid w:val="00840C62"/>
    <w:rsid w:val="00840D78"/>
    <w:rsid w:val="00840DC4"/>
    <w:rsid w:val="00840EBB"/>
    <w:rsid w:val="00840F59"/>
    <w:rsid w:val="0084115C"/>
    <w:rsid w:val="0084116D"/>
    <w:rsid w:val="00841177"/>
    <w:rsid w:val="0084122D"/>
    <w:rsid w:val="0084144C"/>
    <w:rsid w:val="00841521"/>
    <w:rsid w:val="008415E7"/>
    <w:rsid w:val="00841687"/>
    <w:rsid w:val="008416A5"/>
    <w:rsid w:val="00841720"/>
    <w:rsid w:val="008417CF"/>
    <w:rsid w:val="00841873"/>
    <w:rsid w:val="008418AE"/>
    <w:rsid w:val="00841915"/>
    <w:rsid w:val="00841B81"/>
    <w:rsid w:val="00841CDB"/>
    <w:rsid w:val="00841D29"/>
    <w:rsid w:val="00841D55"/>
    <w:rsid w:val="00841F4E"/>
    <w:rsid w:val="00842053"/>
    <w:rsid w:val="00842110"/>
    <w:rsid w:val="0084215F"/>
    <w:rsid w:val="00842170"/>
    <w:rsid w:val="008421DF"/>
    <w:rsid w:val="008422DF"/>
    <w:rsid w:val="00842349"/>
    <w:rsid w:val="00842367"/>
    <w:rsid w:val="0084236E"/>
    <w:rsid w:val="0084239E"/>
    <w:rsid w:val="008423E7"/>
    <w:rsid w:val="00842486"/>
    <w:rsid w:val="00842492"/>
    <w:rsid w:val="00842593"/>
    <w:rsid w:val="00842661"/>
    <w:rsid w:val="0084266E"/>
    <w:rsid w:val="008426A0"/>
    <w:rsid w:val="008427A3"/>
    <w:rsid w:val="008427D5"/>
    <w:rsid w:val="008429EA"/>
    <w:rsid w:val="00842A23"/>
    <w:rsid w:val="00842AB2"/>
    <w:rsid w:val="00842BCC"/>
    <w:rsid w:val="00842BF2"/>
    <w:rsid w:val="00842C2E"/>
    <w:rsid w:val="00842D38"/>
    <w:rsid w:val="00842D60"/>
    <w:rsid w:val="00842E5D"/>
    <w:rsid w:val="00842F36"/>
    <w:rsid w:val="0084310D"/>
    <w:rsid w:val="008432B4"/>
    <w:rsid w:val="00843343"/>
    <w:rsid w:val="00843351"/>
    <w:rsid w:val="0084349F"/>
    <w:rsid w:val="0084356D"/>
    <w:rsid w:val="00843991"/>
    <w:rsid w:val="008439A9"/>
    <w:rsid w:val="008439ED"/>
    <w:rsid w:val="00843B82"/>
    <w:rsid w:val="00843BAF"/>
    <w:rsid w:val="00843CD8"/>
    <w:rsid w:val="00843D86"/>
    <w:rsid w:val="00843DBB"/>
    <w:rsid w:val="00843E5D"/>
    <w:rsid w:val="00843F01"/>
    <w:rsid w:val="00843FC7"/>
    <w:rsid w:val="008442A9"/>
    <w:rsid w:val="0084432C"/>
    <w:rsid w:val="008443C7"/>
    <w:rsid w:val="0084440D"/>
    <w:rsid w:val="00844453"/>
    <w:rsid w:val="00844574"/>
    <w:rsid w:val="008445B2"/>
    <w:rsid w:val="00844608"/>
    <w:rsid w:val="0084461F"/>
    <w:rsid w:val="00844885"/>
    <w:rsid w:val="00844892"/>
    <w:rsid w:val="0084495E"/>
    <w:rsid w:val="00844A49"/>
    <w:rsid w:val="00844B3A"/>
    <w:rsid w:val="00844BA2"/>
    <w:rsid w:val="00844C14"/>
    <w:rsid w:val="00844C21"/>
    <w:rsid w:val="00844E75"/>
    <w:rsid w:val="00845284"/>
    <w:rsid w:val="008452A5"/>
    <w:rsid w:val="0084536C"/>
    <w:rsid w:val="0084538C"/>
    <w:rsid w:val="008453F4"/>
    <w:rsid w:val="008453FE"/>
    <w:rsid w:val="00845414"/>
    <w:rsid w:val="00845535"/>
    <w:rsid w:val="00845572"/>
    <w:rsid w:val="008455B2"/>
    <w:rsid w:val="00845616"/>
    <w:rsid w:val="00845696"/>
    <w:rsid w:val="00845B2E"/>
    <w:rsid w:val="00845CAF"/>
    <w:rsid w:val="00845DFF"/>
    <w:rsid w:val="00845E29"/>
    <w:rsid w:val="00845E39"/>
    <w:rsid w:val="00845F19"/>
    <w:rsid w:val="00845F7E"/>
    <w:rsid w:val="00845F8F"/>
    <w:rsid w:val="00845FF7"/>
    <w:rsid w:val="00846003"/>
    <w:rsid w:val="008460BE"/>
    <w:rsid w:val="008460ED"/>
    <w:rsid w:val="00846146"/>
    <w:rsid w:val="008461DD"/>
    <w:rsid w:val="00846284"/>
    <w:rsid w:val="00846323"/>
    <w:rsid w:val="008463C3"/>
    <w:rsid w:val="00846420"/>
    <w:rsid w:val="0084655D"/>
    <w:rsid w:val="0084658A"/>
    <w:rsid w:val="008465BB"/>
    <w:rsid w:val="0084667F"/>
    <w:rsid w:val="0084676A"/>
    <w:rsid w:val="00846803"/>
    <w:rsid w:val="0084680B"/>
    <w:rsid w:val="008468E3"/>
    <w:rsid w:val="0084695E"/>
    <w:rsid w:val="00846ABB"/>
    <w:rsid w:val="00846D2B"/>
    <w:rsid w:val="00846D72"/>
    <w:rsid w:val="00846F46"/>
    <w:rsid w:val="00846F6F"/>
    <w:rsid w:val="00846F7C"/>
    <w:rsid w:val="0084734B"/>
    <w:rsid w:val="008473FE"/>
    <w:rsid w:val="00847483"/>
    <w:rsid w:val="0084749C"/>
    <w:rsid w:val="008474E4"/>
    <w:rsid w:val="00847597"/>
    <w:rsid w:val="008475B0"/>
    <w:rsid w:val="008475BE"/>
    <w:rsid w:val="00847634"/>
    <w:rsid w:val="00847655"/>
    <w:rsid w:val="008476D7"/>
    <w:rsid w:val="0084794E"/>
    <w:rsid w:val="00847974"/>
    <w:rsid w:val="00847993"/>
    <w:rsid w:val="008479D6"/>
    <w:rsid w:val="00847A6D"/>
    <w:rsid w:val="00847A8B"/>
    <w:rsid w:val="00847ADB"/>
    <w:rsid w:val="00847C45"/>
    <w:rsid w:val="00847C92"/>
    <w:rsid w:val="00850097"/>
    <w:rsid w:val="008501C3"/>
    <w:rsid w:val="00850244"/>
    <w:rsid w:val="00850393"/>
    <w:rsid w:val="00850397"/>
    <w:rsid w:val="008503AE"/>
    <w:rsid w:val="008503FC"/>
    <w:rsid w:val="008504B8"/>
    <w:rsid w:val="008504DA"/>
    <w:rsid w:val="008505A3"/>
    <w:rsid w:val="008505BA"/>
    <w:rsid w:val="00850694"/>
    <w:rsid w:val="008507B3"/>
    <w:rsid w:val="008507B8"/>
    <w:rsid w:val="0085081C"/>
    <w:rsid w:val="00850841"/>
    <w:rsid w:val="008508BF"/>
    <w:rsid w:val="00850963"/>
    <w:rsid w:val="00850A55"/>
    <w:rsid w:val="00850A6D"/>
    <w:rsid w:val="00850BA0"/>
    <w:rsid w:val="00850BA1"/>
    <w:rsid w:val="00850C91"/>
    <w:rsid w:val="00850CA8"/>
    <w:rsid w:val="00850E5B"/>
    <w:rsid w:val="00850EC9"/>
    <w:rsid w:val="00850EF6"/>
    <w:rsid w:val="0085100C"/>
    <w:rsid w:val="008511E6"/>
    <w:rsid w:val="00851381"/>
    <w:rsid w:val="008513BF"/>
    <w:rsid w:val="00851470"/>
    <w:rsid w:val="00851555"/>
    <w:rsid w:val="0085158F"/>
    <w:rsid w:val="008515BB"/>
    <w:rsid w:val="0085160C"/>
    <w:rsid w:val="0085161B"/>
    <w:rsid w:val="00851621"/>
    <w:rsid w:val="00851697"/>
    <w:rsid w:val="008516B0"/>
    <w:rsid w:val="008516B3"/>
    <w:rsid w:val="008516C1"/>
    <w:rsid w:val="00851702"/>
    <w:rsid w:val="0085177B"/>
    <w:rsid w:val="008517E8"/>
    <w:rsid w:val="008517F2"/>
    <w:rsid w:val="008517F9"/>
    <w:rsid w:val="00851895"/>
    <w:rsid w:val="008518D2"/>
    <w:rsid w:val="008519B3"/>
    <w:rsid w:val="00851A18"/>
    <w:rsid w:val="00851C8F"/>
    <w:rsid w:val="00851CEF"/>
    <w:rsid w:val="00851D0B"/>
    <w:rsid w:val="00851D51"/>
    <w:rsid w:val="00851DCB"/>
    <w:rsid w:val="00851E64"/>
    <w:rsid w:val="00851F94"/>
    <w:rsid w:val="00851FFA"/>
    <w:rsid w:val="00852187"/>
    <w:rsid w:val="00852229"/>
    <w:rsid w:val="00852345"/>
    <w:rsid w:val="0085238C"/>
    <w:rsid w:val="00852524"/>
    <w:rsid w:val="0085256F"/>
    <w:rsid w:val="008525ED"/>
    <w:rsid w:val="0085298E"/>
    <w:rsid w:val="00852AC0"/>
    <w:rsid w:val="00852B6C"/>
    <w:rsid w:val="00852BD9"/>
    <w:rsid w:val="00852C39"/>
    <w:rsid w:val="00852D57"/>
    <w:rsid w:val="00852DB2"/>
    <w:rsid w:val="00852DBE"/>
    <w:rsid w:val="00852DFA"/>
    <w:rsid w:val="00852F1A"/>
    <w:rsid w:val="00853014"/>
    <w:rsid w:val="008530F0"/>
    <w:rsid w:val="0085330E"/>
    <w:rsid w:val="00853462"/>
    <w:rsid w:val="00853473"/>
    <w:rsid w:val="00853489"/>
    <w:rsid w:val="0085356A"/>
    <w:rsid w:val="00853594"/>
    <w:rsid w:val="00853628"/>
    <w:rsid w:val="00853664"/>
    <w:rsid w:val="00853769"/>
    <w:rsid w:val="0085379C"/>
    <w:rsid w:val="008537BD"/>
    <w:rsid w:val="008537C6"/>
    <w:rsid w:val="008537E1"/>
    <w:rsid w:val="00853836"/>
    <w:rsid w:val="00853962"/>
    <w:rsid w:val="00853984"/>
    <w:rsid w:val="008539E1"/>
    <w:rsid w:val="00853A0F"/>
    <w:rsid w:val="00853A2C"/>
    <w:rsid w:val="00853A44"/>
    <w:rsid w:val="00853AF1"/>
    <w:rsid w:val="00853AF7"/>
    <w:rsid w:val="00853B08"/>
    <w:rsid w:val="00853B39"/>
    <w:rsid w:val="00853C37"/>
    <w:rsid w:val="00853C7C"/>
    <w:rsid w:val="00853CAC"/>
    <w:rsid w:val="00853E04"/>
    <w:rsid w:val="00853EDD"/>
    <w:rsid w:val="00853EEE"/>
    <w:rsid w:val="00853F59"/>
    <w:rsid w:val="00853F95"/>
    <w:rsid w:val="00853FDE"/>
    <w:rsid w:val="0085407D"/>
    <w:rsid w:val="008540AE"/>
    <w:rsid w:val="008541B1"/>
    <w:rsid w:val="008542D8"/>
    <w:rsid w:val="008543A5"/>
    <w:rsid w:val="008543AF"/>
    <w:rsid w:val="00854823"/>
    <w:rsid w:val="0085484F"/>
    <w:rsid w:val="00854914"/>
    <w:rsid w:val="00854947"/>
    <w:rsid w:val="00854CA1"/>
    <w:rsid w:val="00854CB6"/>
    <w:rsid w:val="00854ED4"/>
    <w:rsid w:val="00854EDF"/>
    <w:rsid w:val="00854F01"/>
    <w:rsid w:val="00854FAA"/>
    <w:rsid w:val="00855010"/>
    <w:rsid w:val="00855165"/>
    <w:rsid w:val="0085528F"/>
    <w:rsid w:val="008552E2"/>
    <w:rsid w:val="008553BB"/>
    <w:rsid w:val="0085545B"/>
    <w:rsid w:val="0085547A"/>
    <w:rsid w:val="008555B7"/>
    <w:rsid w:val="00855684"/>
    <w:rsid w:val="0085576C"/>
    <w:rsid w:val="00855805"/>
    <w:rsid w:val="0085582C"/>
    <w:rsid w:val="00855A05"/>
    <w:rsid w:val="00855C47"/>
    <w:rsid w:val="00855C86"/>
    <w:rsid w:val="00855D44"/>
    <w:rsid w:val="00855D55"/>
    <w:rsid w:val="00855DC5"/>
    <w:rsid w:val="00855FC8"/>
    <w:rsid w:val="00855FF0"/>
    <w:rsid w:val="0085600E"/>
    <w:rsid w:val="00856040"/>
    <w:rsid w:val="0085606E"/>
    <w:rsid w:val="008561E1"/>
    <w:rsid w:val="008562E2"/>
    <w:rsid w:val="0085639C"/>
    <w:rsid w:val="008564D2"/>
    <w:rsid w:val="0085652B"/>
    <w:rsid w:val="0085657B"/>
    <w:rsid w:val="008565B4"/>
    <w:rsid w:val="0085660F"/>
    <w:rsid w:val="00856720"/>
    <w:rsid w:val="0085674A"/>
    <w:rsid w:val="008567E2"/>
    <w:rsid w:val="00856861"/>
    <w:rsid w:val="00856939"/>
    <w:rsid w:val="008569FF"/>
    <w:rsid w:val="00856B03"/>
    <w:rsid w:val="00856B76"/>
    <w:rsid w:val="00856D6E"/>
    <w:rsid w:val="00856E6A"/>
    <w:rsid w:val="00856EA5"/>
    <w:rsid w:val="00856F9A"/>
    <w:rsid w:val="00857003"/>
    <w:rsid w:val="0085704F"/>
    <w:rsid w:val="008570BC"/>
    <w:rsid w:val="00857139"/>
    <w:rsid w:val="008571E4"/>
    <w:rsid w:val="008572C7"/>
    <w:rsid w:val="00857310"/>
    <w:rsid w:val="008573EE"/>
    <w:rsid w:val="00857445"/>
    <w:rsid w:val="008574B9"/>
    <w:rsid w:val="0085753D"/>
    <w:rsid w:val="00857610"/>
    <w:rsid w:val="0085769B"/>
    <w:rsid w:val="008576B2"/>
    <w:rsid w:val="00857941"/>
    <w:rsid w:val="00857942"/>
    <w:rsid w:val="00857975"/>
    <w:rsid w:val="00857A5C"/>
    <w:rsid w:val="00857C04"/>
    <w:rsid w:val="00857CAD"/>
    <w:rsid w:val="00857DA7"/>
    <w:rsid w:val="00857E4E"/>
    <w:rsid w:val="00857E7B"/>
    <w:rsid w:val="00857F4B"/>
    <w:rsid w:val="00860066"/>
    <w:rsid w:val="008600B7"/>
    <w:rsid w:val="008601A5"/>
    <w:rsid w:val="00860259"/>
    <w:rsid w:val="00860260"/>
    <w:rsid w:val="0086026E"/>
    <w:rsid w:val="0086027B"/>
    <w:rsid w:val="0086037B"/>
    <w:rsid w:val="008603D2"/>
    <w:rsid w:val="00860509"/>
    <w:rsid w:val="008605F7"/>
    <w:rsid w:val="00860618"/>
    <w:rsid w:val="00860645"/>
    <w:rsid w:val="0086068E"/>
    <w:rsid w:val="008606C0"/>
    <w:rsid w:val="00860700"/>
    <w:rsid w:val="008607DB"/>
    <w:rsid w:val="0086091F"/>
    <w:rsid w:val="00860A59"/>
    <w:rsid w:val="00860ADE"/>
    <w:rsid w:val="00860B84"/>
    <w:rsid w:val="00860C2A"/>
    <w:rsid w:val="00860C57"/>
    <w:rsid w:val="00860DEF"/>
    <w:rsid w:val="00860E33"/>
    <w:rsid w:val="00860E74"/>
    <w:rsid w:val="00860F3A"/>
    <w:rsid w:val="00861170"/>
    <w:rsid w:val="00861188"/>
    <w:rsid w:val="008611D6"/>
    <w:rsid w:val="0086136A"/>
    <w:rsid w:val="0086138D"/>
    <w:rsid w:val="008613BD"/>
    <w:rsid w:val="008613DC"/>
    <w:rsid w:val="0086143A"/>
    <w:rsid w:val="00861460"/>
    <w:rsid w:val="00861494"/>
    <w:rsid w:val="008614D2"/>
    <w:rsid w:val="008615CB"/>
    <w:rsid w:val="0086173D"/>
    <w:rsid w:val="00861798"/>
    <w:rsid w:val="008617B3"/>
    <w:rsid w:val="0086183B"/>
    <w:rsid w:val="00861879"/>
    <w:rsid w:val="00861977"/>
    <w:rsid w:val="00861A1D"/>
    <w:rsid w:val="00861B0E"/>
    <w:rsid w:val="00861B8C"/>
    <w:rsid w:val="00861BD3"/>
    <w:rsid w:val="00861C51"/>
    <w:rsid w:val="00861C6A"/>
    <w:rsid w:val="00861C6D"/>
    <w:rsid w:val="00861CD0"/>
    <w:rsid w:val="00861F0A"/>
    <w:rsid w:val="00861FDF"/>
    <w:rsid w:val="00862009"/>
    <w:rsid w:val="0086211B"/>
    <w:rsid w:val="0086214A"/>
    <w:rsid w:val="00862502"/>
    <w:rsid w:val="00862588"/>
    <w:rsid w:val="00862682"/>
    <w:rsid w:val="00862687"/>
    <w:rsid w:val="0086269D"/>
    <w:rsid w:val="008626A8"/>
    <w:rsid w:val="008627AD"/>
    <w:rsid w:val="00862849"/>
    <w:rsid w:val="00862863"/>
    <w:rsid w:val="008629D3"/>
    <w:rsid w:val="008629F2"/>
    <w:rsid w:val="008629FE"/>
    <w:rsid w:val="00862A60"/>
    <w:rsid w:val="00862B50"/>
    <w:rsid w:val="00862BC3"/>
    <w:rsid w:val="00862E1A"/>
    <w:rsid w:val="00862F15"/>
    <w:rsid w:val="00862FC8"/>
    <w:rsid w:val="00862FFF"/>
    <w:rsid w:val="00863037"/>
    <w:rsid w:val="00863217"/>
    <w:rsid w:val="00863244"/>
    <w:rsid w:val="008632B8"/>
    <w:rsid w:val="008632CE"/>
    <w:rsid w:val="0086340D"/>
    <w:rsid w:val="0086358C"/>
    <w:rsid w:val="00863601"/>
    <w:rsid w:val="0086369B"/>
    <w:rsid w:val="008636E9"/>
    <w:rsid w:val="008639DC"/>
    <w:rsid w:val="00863A1D"/>
    <w:rsid w:val="00863ABC"/>
    <w:rsid w:val="00863AD2"/>
    <w:rsid w:val="00863AE9"/>
    <w:rsid w:val="00863B7F"/>
    <w:rsid w:val="00863BCA"/>
    <w:rsid w:val="00863C64"/>
    <w:rsid w:val="00863D1D"/>
    <w:rsid w:val="00863D38"/>
    <w:rsid w:val="00863EC8"/>
    <w:rsid w:val="00863FCA"/>
    <w:rsid w:val="00864002"/>
    <w:rsid w:val="008640F8"/>
    <w:rsid w:val="008641D8"/>
    <w:rsid w:val="008641F5"/>
    <w:rsid w:val="00864255"/>
    <w:rsid w:val="008642F1"/>
    <w:rsid w:val="008643AC"/>
    <w:rsid w:val="00864548"/>
    <w:rsid w:val="0086456C"/>
    <w:rsid w:val="00864653"/>
    <w:rsid w:val="008646D9"/>
    <w:rsid w:val="008647DD"/>
    <w:rsid w:val="0086483E"/>
    <w:rsid w:val="008648FF"/>
    <w:rsid w:val="0086492A"/>
    <w:rsid w:val="00864A0A"/>
    <w:rsid w:val="00864AFB"/>
    <w:rsid w:val="00864B3C"/>
    <w:rsid w:val="00864BD5"/>
    <w:rsid w:val="00864C8A"/>
    <w:rsid w:val="00864F0D"/>
    <w:rsid w:val="00864F5F"/>
    <w:rsid w:val="00865033"/>
    <w:rsid w:val="008650FC"/>
    <w:rsid w:val="008651F9"/>
    <w:rsid w:val="00865272"/>
    <w:rsid w:val="008652EC"/>
    <w:rsid w:val="00865422"/>
    <w:rsid w:val="00865485"/>
    <w:rsid w:val="008655A8"/>
    <w:rsid w:val="008655BB"/>
    <w:rsid w:val="0086562F"/>
    <w:rsid w:val="00865752"/>
    <w:rsid w:val="008658C1"/>
    <w:rsid w:val="008658C2"/>
    <w:rsid w:val="008659A5"/>
    <w:rsid w:val="00865A6B"/>
    <w:rsid w:val="00865B02"/>
    <w:rsid w:val="00865E80"/>
    <w:rsid w:val="00865F57"/>
    <w:rsid w:val="00865F66"/>
    <w:rsid w:val="008660E2"/>
    <w:rsid w:val="00866158"/>
    <w:rsid w:val="008661AC"/>
    <w:rsid w:val="00866298"/>
    <w:rsid w:val="00866406"/>
    <w:rsid w:val="00866421"/>
    <w:rsid w:val="00866462"/>
    <w:rsid w:val="00866549"/>
    <w:rsid w:val="0086668E"/>
    <w:rsid w:val="00866714"/>
    <w:rsid w:val="00866795"/>
    <w:rsid w:val="0086684B"/>
    <w:rsid w:val="0086696C"/>
    <w:rsid w:val="008669DD"/>
    <w:rsid w:val="00866B7E"/>
    <w:rsid w:val="00866BB1"/>
    <w:rsid w:val="00866C7A"/>
    <w:rsid w:val="00866D80"/>
    <w:rsid w:val="00866D9D"/>
    <w:rsid w:val="00866FD1"/>
    <w:rsid w:val="0086720D"/>
    <w:rsid w:val="0086731F"/>
    <w:rsid w:val="0086757B"/>
    <w:rsid w:val="00867660"/>
    <w:rsid w:val="008676A1"/>
    <w:rsid w:val="008676F6"/>
    <w:rsid w:val="008677DB"/>
    <w:rsid w:val="00867855"/>
    <w:rsid w:val="0086791E"/>
    <w:rsid w:val="008679B5"/>
    <w:rsid w:val="00867A0C"/>
    <w:rsid w:val="00867B3C"/>
    <w:rsid w:val="00867BB2"/>
    <w:rsid w:val="00867CC3"/>
    <w:rsid w:val="00867D30"/>
    <w:rsid w:val="00867D62"/>
    <w:rsid w:val="00867E9D"/>
    <w:rsid w:val="00867EC6"/>
    <w:rsid w:val="00867F11"/>
    <w:rsid w:val="00867F4A"/>
    <w:rsid w:val="00870088"/>
    <w:rsid w:val="008700A9"/>
    <w:rsid w:val="008700B5"/>
    <w:rsid w:val="00870119"/>
    <w:rsid w:val="0087034D"/>
    <w:rsid w:val="00870408"/>
    <w:rsid w:val="00870475"/>
    <w:rsid w:val="008704BE"/>
    <w:rsid w:val="008704D6"/>
    <w:rsid w:val="00870598"/>
    <w:rsid w:val="008705DD"/>
    <w:rsid w:val="00870737"/>
    <w:rsid w:val="0087092F"/>
    <w:rsid w:val="00870949"/>
    <w:rsid w:val="0087095E"/>
    <w:rsid w:val="00870989"/>
    <w:rsid w:val="00870A30"/>
    <w:rsid w:val="00870B63"/>
    <w:rsid w:val="00870BC2"/>
    <w:rsid w:val="00870C2D"/>
    <w:rsid w:val="00870CA5"/>
    <w:rsid w:val="00870D38"/>
    <w:rsid w:val="00870D6C"/>
    <w:rsid w:val="00870F8B"/>
    <w:rsid w:val="00871011"/>
    <w:rsid w:val="00871062"/>
    <w:rsid w:val="0087121E"/>
    <w:rsid w:val="0087134C"/>
    <w:rsid w:val="008713BD"/>
    <w:rsid w:val="008713C6"/>
    <w:rsid w:val="008713FE"/>
    <w:rsid w:val="0087143E"/>
    <w:rsid w:val="00871441"/>
    <w:rsid w:val="00871527"/>
    <w:rsid w:val="00871547"/>
    <w:rsid w:val="00871555"/>
    <w:rsid w:val="008715C6"/>
    <w:rsid w:val="008715D2"/>
    <w:rsid w:val="00871910"/>
    <w:rsid w:val="00871952"/>
    <w:rsid w:val="00871AAA"/>
    <w:rsid w:val="00871B1E"/>
    <w:rsid w:val="00871BFB"/>
    <w:rsid w:val="00871C0D"/>
    <w:rsid w:val="00871C48"/>
    <w:rsid w:val="00871C4B"/>
    <w:rsid w:val="00871DF6"/>
    <w:rsid w:val="00871E99"/>
    <w:rsid w:val="00872072"/>
    <w:rsid w:val="0087208E"/>
    <w:rsid w:val="00872110"/>
    <w:rsid w:val="00872257"/>
    <w:rsid w:val="00872285"/>
    <w:rsid w:val="00872331"/>
    <w:rsid w:val="00872522"/>
    <w:rsid w:val="00872535"/>
    <w:rsid w:val="00872574"/>
    <w:rsid w:val="00872600"/>
    <w:rsid w:val="0087262C"/>
    <w:rsid w:val="00872654"/>
    <w:rsid w:val="008726C3"/>
    <w:rsid w:val="008726CC"/>
    <w:rsid w:val="00872867"/>
    <w:rsid w:val="00872913"/>
    <w:rsid w:val="00872915"/>
    <w:rsid w:val="008729F8"/>
    <w:rsid w:val="00872A59"/>
    <w:rsid w:val="00872AB6"/>
    <w:rsid w:val="00872B3D"/>
    <w:rsid w:val="00872B4D"/>
    <w:rsid w:val="00872BB8"/>
    <w:rsid w:val="00872C20"/>
    <w:rsid w:val="00872C78"/>
    <w:rsid w:val="00872CCB"/>
    <w:rsid w:val="00872E59"/>
    <w:rsid w:val="00872F13"/>
    <w:rsid w:val="00872FD2"/>
    <w:rsid w:val="0087317F"/>
    <w:rsid w:val="008732FE"/>
    <w:rsid w:val="00873387"/>
    <w:rsid w:val="008733CE"/>
    <w:rsid w:val="00873433"/>
    <w:rsid w:val="008734BB"/>
    <w:rsid w:val="00873545"/>
    <w:rsid w:val="00873636"/>
    <w:rsid w:val="00873646"/>
    <w:rsid w:val="00873709"/>
    <w:rsid w:val="00873725"/>
    <w:rsid w:val="00873799"/>
    <w:rsid w:val="008737B0"/>
    <w:rsid w:val="00873A6B"/>
    <w:rsid w:val="00873B5A"/>
    <w:rsid w:val="00873C50"/>
    <w:rsid w:val="00873CEC"/>
    <w:rsid w:val="00873F4F"/>
    <w:rsid w:val="00873FB9"/>
    <w:rsid w:val="008741BE"/>
    <w:rsid w:val="008741C2"/>
    <w:rsid w:val="008741C5"/>
    <w:rsid w:val="0087424E"/>
    <w:rsid w:val="008743BA"/>
    <w:rsid w:val="008743E0"/>
    <w:rsid w:val="00874433"/>
    <w:rsid w:val="008744B2"/>
    <w:rsid w:val="00874824"/>
    <w:rsid w:val="00874B27"/>
    <w:rsid w:val="00874B31"/>
    <w:rsid w:val="00874CD8"/>
    <w:rsid w:val="00874D1B"/>
    <w:rsid w:val="00874D3E"/>
    <w:rsid w:val="00874DDE"/>
    <w:rsid w:val="00874EAF"/>
    <w:rsid w:val="00874F28"/>
    <w:rsid w:val="00874F7D"/>
    <w:rsid w:val="00874FA7"/>
    <w:rsid w:val="00875083"/>
    <w:rsid w:val="0087508E"/>
    <w:rsid w:val="00875285"/>
    <w:rsid w:val="008752EB"/>
    <w:rsid w:val="00875352"/>
    <w:rsid w:val="008754D1"/>
    <w:rsid w:val="00875516"/>
    <w:rsid w:val="008756D6"/>
    <w:rsid w:val="008756F2"/>
    <w:rsid w:val="008759EF"/>
    <w:rsid w:val="00875A01"/>
    <w:rsid w:val="00875A51"/>
    <w:rsid w:val="00875A72"/>
    <w:rsid w:val="00875B93"/>
    <w:rsid w:val="00875BE4"/>
    <w:rsid w:val="00875CE6"/>
    <w:rsid w:val="00875DC2"/>
    <w:rsid w:val="0087607C"/>
    <w:rsid w:val="00876144"/>
    <w:rsid w:val="0087614B"/>
    <w:rsid w:val="008761A9"/>
    <w:rsid w:val="0087623C"/>
    <w:rsid w:val="008763EF"/>
    <w:rsid w:val="00876441"/>
    <w:rsid w:val="008764B4"/>
    <w:rsid w:val="00876523"/>
    <w:rsid w:val="008765D8"/>
    <w:rsid w:val="00876612"/>
    <w:rsid w:val="0087663C"/>
    <w:rsid w:val="00876667"/>
    <w:rsid w:val="008766C4"/>
    <w:rsid w:val="0087674D"/>
    <w:rsid w:val="008767AB"/>
    <w:rsid w:val="008767FE"/>
    <w:rsid w:val="00876866"/>
    <w:rsid w:val="00876921"/>
    <w:rsid w:val="00876ADA"/>
    <w:rsid w:val="00876B1C"/>
    <w:rsid w:val="00876BAF"/>
    <w:rsid w:val="00876D28"/>
    <w:rsid w:val="00876D66"/>
    <w:rsid w:val="00876D82"/>
    <w:rsid w:val="008770F5"/>
    <w:rsid w:val="00877103"/>
    <w:rsid w:val="00877184"/>
    <w:rsid w:val="008771B2"/>
    <w:rsid w:val="008771DC"/>
    <w:rsid w:val="00877261"/>
    <w:rsid w:val="00877373"/>
    <w:rsid w:val="008773D9"/>
    <w:rsid w:val="00877411"/>
    <w:rsid w:val="0087744B"/>
    <w:rsid w:val="00877536"/>
    <w:rsid w:val="00877576"/>
    <w:rsid w:val="008775E8"/>
    <w:rsid w:val="008776B6"/>
    <w:rsid w:val="008776C5"/>
    <w:rsid w:val="008776D8"/>
    <w:rsid w:val="0087794C"/>
    <w:rsid w:val="0087796B"/>
    <w:rsid w:val="0087797F"/>
    <w:rsid w:val="00877A74"/>
    <w:rsid w:val="00877AEB"/>
    <w:rsid w:val="00877B91"/>
    <w:rsid w:val="00877B9D"/>
    <w:rsid w:val="00877D1D"/>
    <w:rsid w:val="00877D53"/>
    <w:rsid w:val="008800EF"/>
    <w:rsid w:val="0088016D"/>
    <w:rsid w:val="008801AB"/>
    <w:rsid w:val="00880298"/>
    <w:rsid w:val="008802D0"/>
    <w:rsid w:val="008803ED"/>
    <w:rsid w:val="00880580"/>
    <w:rsid w:val="008805A6"/>
    <w:rsid w:val="008805E9"/>
    <w:rsid w:val="0088061C"/>
    <w:rsid w:val="0088068B"/>
    <w:rsid w:val="008806AF"/>
    <w:rsid w:val="00880765"/>
    <w:rsid w:val="00880792"/>
    <w:rsid w:val="00880829"/>
    <w:rsid w:val="00880846"/>
    <w:rsid w:val="008808C7"/>
    <w:rsid w:val="00880B2F"/>
    <w:rsid w:val="00880B7A"/>
    <w:rsid w:val="00880BF0"/>
    <w:rsid w:val="00880C1E"/>
    <w:rsid w:val="00880C48"/>
    <w:rsid w:val="00880CB6"/>
    <w:rsid w:val="00880CC8"/>
    <w:rsid w:val="00880D58"/>
    <w:rsid w:val="00880E06"/>
    <w:rsid w:val="00880EF3"/>
    <w:rsid w:val="00880F27"/>
    <w:rsid w:val="00880F88"/>
    <w:rsid w:val="008810D9"/>
    <w:rsid w:val="008812B3"/>
    <w:rsid w:val="00881414"/>
    <w:rsid w:val="00881443"/>
    <w:rsid w:val="0088145E"/>
    <w:rsid w:val="0088151C"/>
    <w:rsid w:val="00881647"/>
    <w:rsid w:val="008816D0"/>
    <w:rsid w:val="008818D2"/>
    <w:rsid w:val="008819A7"/>
    <w:rsid w:val="00881A2F"/>
    <w:rsid w:val="00881BF4"/>
    <w:rsid w:val="00881C05"/>
    <w:rsid w:val="00881C99"/>
    <w:rsid w:val="00881E61"/>
    <w:rsid w:val="00881F09"/>
    <w:rsid w:val="00881F4B"/>
    <w:rsid w:val="00882039"/>
    <w:rsid w:val="00882269"/>
    <w:rsid w:val="008822D2"/>
    <w:rsid w:val="008823DA"/>
    <w:rsid w:val="008823EC"/>
    <w:rsid w:val="00882514"/>
    <w:rsid w:val="0088270C"/>
    <w:rsid w:val="0088272B"/>
    <w:rsid w:val="008827F2"/>
    <w:rsid w:val="00882897"/>
    <w:rsid w:val="008828B5"/>
    <w:rsid w:val="00882A3A"/>
    <w:rsid w:val="00882B53"/>
    <w:rsid w:val="00882CC6"/>
    <w:rsid w:val="00882CEE"/>
    <w:rsid w:val="00882DC5"/>
    <w:rsid w:val="00882E7B"/>
    <w:rsid w:val="0088308D"/>
    <w:rsid w:val="008830AD"/>
    <w:rsid w:val="008831DC"/>
    <w:rsid w:val="0088324B"/>
    <w:rsid w:val="0088333F"/>
    <w:rsid w:val="00883359"/>
    <w:rsid w:val="008833BA"/>
    <w:rsid w:val="0088351A"/>
    <w:rsid w:val="008836CC"/>
    <w:rsid w:val="0088387C"/>
    <w:rsid w:val="00883915"/>
    <w:rsid w:val="008839C1"/>
    <w:rsid w:val="008839EB"/>
    <w:rsid w:val="00883A58"/>
    <w:rsid w:val="00883B7A"/>
    <w:rsid w:val="00883C0F"/>
    <w:rsid w:val="00883D01"/>
    <w:rsid w:val="00883DB7"/>
    <w:rsid w:val="00883DDC"/>
    <w:rsid w:val="00883EC5"/>
    <w:rsid w:val="0088432C"/>
    <w:rsid w:val="008845AE"/>
    <w:rsid w:val="008846EE"/>
    <w:rsid w:val="00884756"/>
    <w:rsid w:val="00884784"/>
    <w:rsid w:val="00884896"/>
    <w:rsid w:val="008849A2"/>
    <w:rsid w:val="008849CD"/>
    <w:rsid w:val="00884B9F"/>
    <w:rsid w:val="00884BAD"/>
    <w:rsid w:val="00884C30"/>
    <w:rsid w:val="00884D1B"/>
    <w:rsid w:val="00884D29"/>
    <w:rsid w:val="00884D57"/>
    <w:rsid w:val="00884D7E"/>
    <w:rsid w:val="00884DAC"/>
    <w:rsid w:val="00884DCE"/>
    <w:rsid w:val="00884F05"/>
    <w:rsid w:val="00884F0E"/>
    <w:rsid w:val="00885146"/>
    <w:rsid w:val="00885175"/>
    <w:rsid w:val="008853D5"/>
    <w:rsid w:val="00885404"/>
    <w:rsid w:val="0088543E"/>
    <w:rsid w:val="00885516"/>
    <w:rsid w:val="00885518"/>
    <w:rsid w:val="008856B8"/>
    <w:rsid w:val="00885793"/>
    <w:rsid w:val="008857E8"/>
    <w:rsid w:val="008857E9"/>
    <w:rsid w:val="008859FC"/>
    <w:rsid w:val="00885A02"/>
    <w:rsid w:val="00885AA1"/>
    <w:rsid w:val="00885BAA"/>
    <w:rsid w:val="00885CB8"/>
    <w:rsid w:val="00885EBC"/>
    <w:rsid w:val="00885EC0"/>
    <w:rsid w:val="00885EEA"/>
    <w:rsid w:val="00885F11"/>
    <w:rsid w:val="00885FC4"/>
    <w:rsid w:val="008860AD"/>
    <w:rsid w:val="008860E1"/>
    <w:rsid w:val="00886166"/>
    <w:rsid w:val="008861EF"/>
    <w:rsid w:val="008861F5"/>
    <w:rsid w:val="00886353"/>
    <w:rsid w:val="008863DE"/>
    <w:rsid w:val="0088641B"/>
    <w:rsid w:val="00886465"/>
    <w:rsid w:val="008864C2"/>
    <w:rsid w:val="008864E1"/>
    <w:rsid w:val="008864FD"/>
    <w:rsid w:val="0088651E"/>
    <w:rsid w:val="008865A6"/>
    <w:rsid w:val="00886755"/>
    <w:rsid w:val="008868C1"/>
    <w:rsid w:val="008868D8"/>
    <w:rsid w:val="00886AD0"/>
    <w:rsid w:val="00886B29"/>
    <w:rsid w:val="00886B6E"/>
    <w:rsid w:val="00886CFD"/>
    <w:rsid w:val="00886E44"/>
    <w:rsid w:val="00886F65"/>
    <w:rsid w:val="0088701B"/>
    <w:rsid w:val="00887029"/>
    <w:rsid w:val="0088704A"/>
    <w:rsid w:val="00887187"/>
    <w:rsid w:val="008871A5"/>
    <w:rsid w:val="0088720D"/>
    <w:rsid w:val="00887283"/>
    <w:rsid w:val="00887347"/>
    <w:rsid w:val="00887359"/>
    <w:rsid w:val="0088745E"/>
    <w:rsid w:val="00887559"/>
    <w:rsid w:val="00887563"/>
    <w:rsid w:val="008875BF"/>
    <w:rsid w:val="00887BC0"/>
    <w:rsid w:val="00887E05"/>
    <w:rsid w:val="008900F2"/>
    <w:rsid w:val="008901A8"/>
    <w:rsid w:val="008902D1"/>
    <w:rsid w:val="00890446"/>
    <w:rsid w:val="00890452"/>
    <w:rsid w:val="008904CE"/>
    <w:rsid w:val="00890548"/>
    <w:rsid w:val="008905EE"/>
    <w:rsid w:val="00890890"/>
    <w:rsid w:val="008908C7"/>
    <w:rsid w:val="008908D6"/>
    <w:rsid w:val="008908F2"/>
    <w:rsid w:val="0089092A"/>
    <w:rsid w:val="0089099D"/>
    <w:rsid w:val="00890B9A"/>
    <w:rsid w:val="00890CE4"/>
    <w:rsid w:val="00890D0F"/>
    <w:rsid w:val="00890D46"/>
    <w:rsid w:val="00890D49"/>
    <w:rsid w:val="00890EC5"/>
    <w:rsid w:val="00890F7D"/>
    <w:rsid w:val="00891000"/>
    <w:rsid w:val="00891048"/>
    <w:rsid w:val="00891203"/>
    <w:rsid w:val="008912C6"/>
    <w:rsid w:val="0089134E"/>
    <w:rsid w:val="00891360"/>
    <w:rsid w:val="00891369"/>
    <w:rsid w:val="0089141B"/>
    <w:rsid w:val="0089147D"/>
    <w:rsid w:val="00891686"/>
    <w:rsid w:val="008916CE"/>
    <w:rsid w:val="00891717"/>
    <w:rsid w:val="008917D0"/>
    <w:rsid w:val="008918AD"/>
    <w:rsid w:val="0089193E"/>
    <w:rsid w:val="00891944"/>
    <w:rsid w:val="00891949"/>
    <w:rsid w:val="00891B8D"/>
    <w:rsid w:val="00891C5A"/>
    <w:rsid w:val="00891C62"/>
    <w:rsid w:val="00891E2F"/>
    <w:rsid w:val="00891E68"/>
    <w:rsid w:val="00891E88"/>
    <w:rsid w:val="00891EE7"/>
    <w:rsid w:val="00891EEF"/>
    <w:rsid w:val="0089206D"/>
    <w:rsid w:val="008922C3"/>
    <w:rsid w:val="008922CA"/>
    <w:rsid w:val="008923B0"/>
    <w:rsid w:val="0089250C"/>
    <w:rsid w:val="00892528"/>
    <w:rsid w:val="00892637"/>
    <w:rsid w:val="00892657"/>
    <w:rsid w:val="00892746"/>
    <w:rsid w:val="00892758"/>
    <w:rsid w:val="008927CA"/>
    <w:rsid w:val="008927CB"/>
    <w:rsid w:val="0089291E"/>
    <w:rsid w:val="00892951"/>
    <w:rsid w:val="00892A7F"/>
    <w:rsid w:val="00892AB6"/>
    <w:rsid w:val="00892BAE"/>
    <w:rsid w:val="00892BBD"/>
    <w:rsid w:val="00892D88"/>
    <w:rsid w:val="00892DD0"/>
    <w:rsid w:val="00892E95"/>
    <w:rsid w:val="00892F90"/>
    <w:rsid w:val="00892F97"/>
    <w:rsid w:val="00892FB3"/>
    <w:rsid w:val="00893399"/>
    <w:rsid w:val="008937E6"/>
    <w:rsid w:val="008937EE"/>
    <w:rsid w:val="008937FA"/>
    <w:rsid w:val="0089395B"/>
    <w:rsid w:val="00893AD2"/>
    <w:rsid w:val="00893B21"/>
    <w:rsid w:val="00893B9D"/>
    <w:rsid w:val="00893CF8"/>
    <w:rsid w:val="0089406B"/>
    <w:rsid w:val="0089413B"/>
    <w:rsid w:val="008942FD"/>
    <w:rsid w:val="0089438F"/>
    <w:rsid w:val="00894501"/>
    <w:rsid w:val="00894552"/>
    <w:rsid w:val="00894616"/>
    <w:rsid w:val="008946A6"/>
    <w:rsid w:val="00894743"/>
    <w:rsid w:val="00894935"/>
    <w:rsid w:val="00894AA2"/>
    <w:rsid w:val="00894C43"/>
    <w:rsid w:val="00894CDA"/>
    <w:rsid w:val="00894CFC"/>
    <w:rsid w:val="00894D49"/>
    <w:rsid w:val="00894DAA"/>
    <w:rsid w:val="00894DF0"/>
    <w:rsid w:val="00895027"/>
    <w:rsid w:val="008950B7"/>
    <w:rsid w:val="00895167"/>
    <w:rsid w:val="008952FA"/>
    <w:rsid w:val="00895582"/>
    <w:rsid w:val="00895636"/>
    <w:rsid w:val="00895649"/>
    <w:rsid w:val="008956CF"/>
    <w:rsid w:val="008956D4"/>
    <w:rsid w:val="00895738"/>
    <w:rsid w:val="0089578C"/>
    <w:rsid w:val="0089585C"/>
    <w:rsid w:val="00895A02"/>
    <w:rsid w:val="00895AD7"/>
    <w:rsid w:val="00895B08"/>
    <w:rsid w:val="00895B92"/>
    <w:rsid w:val="00895BB1"/>
    <w:rsid w:val="00895C76"/>
    <w:rsid w:val="00895D7D"/>
    <w:rsid w:val="00895DBC"/>
    <w:rsid w:val="00895F59"/>
    <w:rsid w:val="00895F63"/>
    <w:rsid w:val="00895F95"/>
    <w:rsid w:val="0089611F"/>
    <w:rsid w:val="008963C7"/>
    <w:rsid w:val="00896420"/>
    <w:rsid w:val="00896439"/>
    <w:rsid w:val="00896445"/>
    <w:rsid w:val="008964BA"/>
    <w:rsid w:val="008964E5"/>
    <w:rsid w:val="00896609"/>
    <w:rsid w:val="00896743"/>
    <w:rsid w:val="00896BC3"/>
    <w:rsid w:val="00896C5A"/>
    <w:rsid w:val="00896E55"/>
    <w:rsid w:val="00896EF5"/>
    <w:rsid w:val="00897074"/>
    <w:rsid w:val="0089709C"/>
    <w:rsid w:val="008972D6"/>
    <w:rsid w:val="00897365"/>
    <w:rsid w:val="0089758B"/>
    <w:rsid w:val="008975BD"/>
    <w:rsid w:val="0089769A"/>
    <w:rsid w:val="008976C7"/>
    <w:rsid w:val="00897716"/>
    <w:rsid w:val="008977E3"/>
    <w:rsid w:val="00897863"/>
    <w:rsid w:val="00897986"/>
    <w:rsid w:val="00897999"/>
    <w:rsid w:val="00897A86"/>
    <w:rsid w:val="00897ABB"/>
    <w:rsid w:val="00897AE7"/>
    <w:rsid w:val="00897AF4"/>
    <w:rsid w:val="00897C09"/>
    <w:rsid w:val="00897C85"/>
    <w:rsid w:val="00897D65"/>
    <w:rsid w:val="00897DD5"/>
    <w:rsid w:val="00897EB9"/>
    <w:rsid w:val="008A015E"/>
    <w:rsid w:val="008A022C"/>
    <w:rsid w:val="008A0392"/>
    <w:rsid w:val="008A0542"/>
    <w:rsid w:val="008A0556"/>
    <w:rsid w:val="008A0659"/>
    <w:rsid w:val="008A0695"/>
    <w:rsid w:val="008A0696"/>
    <w:rsid w:val="008A0715"/>
    <w:rsid w:val="008A079C"/>
    <w:rsid w:val="008A0938"/>
    <w:rsid w:val="008A09BA"/>
    <w:rsid w:val="008A0A15"/>
    <w:rsid w:val="008A0B95"/>
    <w:rsid w:val="008A0BC9"/>
    <w:rsid w:val="008A0BCB"/>
    <w:rsid w:val="008A0BDB"/>
    <w:rsid w:val="008A0C54"/>
    <w:rsid w:val="008A0C86"/>
    <w:rsid w:val="008A0D31"/>
    <w:rsid w:val="008A0ED8"/>
    <w:rsid w:val="008A10D8"/>
    <w:rsid w:val="008A1132"/>
    <w:rsid w:val="008A12D9"/>
    <w:rsid w:val="008A130D"/>
    <w:rsid w:val="008A147B"/>
    <w:rsid w:val="008A1828"/>
    <w:rsid w:val="008A182F"/>
    <w:rsid w:val="008A187D"/>
    <w:rsid w:val="008A1955"/>
    <w:rsid w:val="008A1A1A"/>
    <w:rsid w:val="008A1B09"/>
    <w:rsid w:val="008A1C7A"/>
    <w:rsid w:val="008A1CF0"/>
    <w:rsid w:val="008A1D6E"/>
    <w:rsid w:val="008A1DCE"/>
    <w:rsid w:val="008A1DFE"/>
    <w:rsid w:val="008A1E3F"/>
    <w:rsid w:val="008A2087"/>
    <w:rsid w:val="008A20B7"/>
    <w:rsid w:val="008A2127"/>
    <w:rsid w:val="008A2246"/>
    <w:rsid w:val="008A22DB"/>
    <w:rsid w:val="008A23DF"/>
    <w:rsid w:val="008A241C"/>
    <w:rsid w:val="008A2450"/>
    <w:rsid w:val="008A24DC"/>
    <w:rsid w:val="008A2796"/>
    <w:rsid w:val="008A279D"/>
    <w:rsid w:val="008A27B0"/>
    <w:rsid w:val="008A291D"/>
    <w:rsid w:val="008A2974"/>
    <w:rsid w:val="008A2B3D"/>
    <w:rsid w:val="008A2CDC"/>
    <w:rsid w:val="008A2DDB"/>
    <w:rsid w:val="008A2DDF"/>
    <w:rsid w:val="008A2E45"/>
    <w:rsid w:val="008A2F08"/>
    <w:rsid w:val="008A2F75"/>
    <w:rsid w:val="008A2FBA"/>
    <w:rsid w:val="008A3293"/>
    <w:rsid w:val="008A337A"/>
    <w:rsid w:val="008A33A1"/>
    <w:rsid w:val="008A33B2"/>
    <w:rsid w:val="008A3653"/>
    <w:rsid w:val="008A386D"/>
    <w:rsid w:val="008A3A0C"/>
    <w:rsid w:val="008A3B85"/>
    <w:rsid w:val="008A3BD2"/>
    <w:rsid w:val="008A3C50"/>
    <w:rsid w:val="008A3D0A"/>
    <w:rsid w:val="008A3D89"/>
    <w:rsid w:val="008A3DAA"/>
    <w:rsid w:val="008A3DEF"/>
    <w:rsid w:val="008A3F50"/>
    <w:rsid w:val="008A3F81"/>
    <w:rsid w:val="008A3FAF"/>
    <w:rsid w:val="008A40A1"/>
    <w:rsid w:val="008A4125"/>
    <w:rsid w:val="008A4173"/>
    <w:rsid w:val="008A436E"/>
    <w:rsid w:val="008A43D4"/>
    <w:rsid w:val="008A44FB"/>
    <w:rsid w:val="008A4531"/>
    <w:rsid w:val="008A45A0"/>
    <w:rsid w:val="008A460D"/>
    <w:rsid w:val="008A46AA"/>
    <w:rsid w:val="008A4738"/>
    <w:rsid w:val="008A480A"/>
    <w:rsid w:val="008A48D2"/>
    <w:rsid w:val="008A48F5"/>
    <w:rsid w:val="008A48FF"/>
    <w:rsid w:val="008A49B1"/>
    <w:rsid w:val="008A49F6"/>
    <w:rsid w:val="008A4A22"/>
    <w:rsid w:val="008A4A33"/>
    <w:rsid w:val="008A4A93"/>
    <w:rsid w:val="008A4C1B"/>
    <w:rsid w:val="008A4D60"/>
    <w:rsid w:val="008A502A"/>
    <w:rsid w:val="008A5227"/>
    <w:rsid w:val="008A5237"/>
    <w:rsid w:val="008A533E"/>
    <w:rsid w:val="008A5349"/>
    <w:rsid w:val="008A5409"/>
    <w:rsid w:val="008A542C"/>
    <w:rsid w:val="008A5477"/>
    <w:rsid w:val="008A549D"/>
    <w:rsid w:val="008A55B2"/>
    <w:rsid w:val="008A56FF"/>
    <w:rsid w:val="008A579C"/>
    <w:rsid w:val="008A587F"/>
    <w:rsid w:val="008A58C7"/>
    <w:rsid w:val="008A5945"/>
    <w:rsid w:val="008A5B36"/>
    <w:rsid w:val="008A5BCB"/>
    <w:rsid w:val="008A5BD1"/>
    <w:rsid w:val="008A5BFE"/>
    <w:rsid w:val="008A5C9D"/>
    <w:rsid w:val="008A5CDB"/>
    <w:rsid w:val="008A5D91"/>
    <w:rsid w:val="008A5DF2"/>
    <w:rsid w:val="008A5E3E"/>
    <w:rsid w:val="008A5E50"/>
    <w:rsid w:val="008A5E6C"/>
    <w:rsid w:val="008A5FC5"/>
    <w:rsid w:val="008A5FEC"/>
    <w:rsid w:val="008A619A"/>
    <w:rsid w:val="008A624D"/>
    <w:rsid w:val="008A62A3"/>
    <w:rsid w:val="008A6305"/>
    <w:rsid w:val="008A6437"/>
    <w:rsid w:val="008A652A"/>
    <w:rsid w:val="008A6554"/>
    <w:rsid w:val="008A6556"/>
    <w:rsid w:val="008A67AE"/>
    <w:rsid w:val="008A69C4"/>
    <w:rsid w:val="008A6B49"/>
    <w:rsid w:val="008A6BA6"/>
    <w:rsid w:val="008A6C0B"/>
    <w:rsid w:val="008A6DE7"/>
    <w:rsid w:val="008A6E19"/>
    <w:rsid w:val="008A6EE8"/>
    <w:rsid w:val="008A6F53"/>
    <w:rsid w:val="008A6F86"/>
    <w:rsid w:val="008A6FFF"/>
    <w:rsid w:val="008A719F"/>
    <w:rsid w:val="008A71CB"/>
    <w:rsid w:val="008A71EA"/>
    <w:rsid w:val="008A72B8"/>
    <w:rsid w:val="008A7431"/>
    <w:rsid w:val="008A7638"/>
    <w:rsid w:val="008A7777"/>
    <w:rsid w:val="008A779B"/>
    <w:rsid w:val="008A781D"/>
    <w:rsid w:val="008A79CC"/>
    <w:rsid w:val="008A7A02"/>
    <w:rsid w:val="008A7B8E"/>
    <w:rsid w:val="008A7BBE"/>
    <w:rsid w:val="008A7C8B"/>
    <w:rsid w:val="008A7DB1"/>
    <w:rsid w:val="008A7F64"/>
    <w:rsid w:val="008A7FE7"/>
    <w:rsid w:val="008B0036"/>
    <w:rsid w:val="008B0050"/>
    <w:rsid w:val="008B00F7"/>
    <w:rsid w:val="008B0123"/>
    <w:rsid w:val="008B02CF"/>
    <w:rsid w:val="008B037E"/>
    <w:rsid w:val="008B0384"/>
    <w:rsid w:val="008B0431"/>
    <w:rsid w:val="008B0445"/>
    <w:rsid w:val="008B0481"/>
    <w:rsid w:val="008B0488"/>
    <w:rsid w:val="008B04F1"/>
    <w:rsid w:val="008B0543"/>
    <w:rsid w:val="008B0698"/>
    <w:rsid w:val="008B06B1"/>
    <w:rsid w:val="008B08B8"/>
    <w:rsid w:val="008B0929"/>
    <w:rsid w:val="008B0A30"/>
    <w:rsid w:val="008B0B2C"/>
    <w:rsid w:val="008B0C24"/>
    <w:rsid w:val="008B0C40"/>
    <w:rsid w:val="008B0C55"/>
    <w:rsid w:val="008B0DD6"/>
    <w:rsid w:val="008B0E65"/>
    <w:rsid w:val="008B0F0A"/>
    <w:rsid w:val="008B0FFB"/>
    <w:rsid w:val="008B1088"/>
    <w:rsid w:val="008B119C"/>
    <w:rsid w:val="008B11BB"/>
    <w:rsid w:val="008B12A1"/>
    <w:rsid w:val="008B1300"/>
    <w:rsid w:val="008B134C"/>
    <w:rsid w:val="008B1651"/>
    <w:rsid w:val="008B16EE"/>
    <w:rsid w:val="008B1821"/>
    <w:rsid w:val="008B1884"/>
    <w:rsid w:val="008B19C6"/>
    <w:rsid w:val="008B1A85"/>
    <w:rsid w:val="008B1C4A"/>
    <w:rsid w:val="008B1C6C"/>
    <w:rsid w:val="008B1CA8"/>
    <w:rsid w:val="008B1D2B"/>
    <w:rsid w:val="008B1D96"/>
    <w:rsid w:val="008B1E3C"/>
    <w:rsid w:val="008B1E65"/>
    <w:rsid w:val="008B2116"/>
    <w:rsid w:val="008B21DB"/>
    <w:rsid w:val="008B21EB"/>
    <w:rsid w:val="008B226B"/>
    <w:rsid w:val="008B2290"/>
    <w:rsid w:val="008B23AD"/>
    <w:rsid w:val="008B23B7"/>
    <w:rsid w:val="008B23B8"/>
    <w:rsid w:val="008B23C9"/>
    <w:rsid w:val="008B24DD"/>
    <w:rsid w:val="008B2607"/>
    <w:rsid w:val="008B2672"/>
    <w:rsid w:val="008B2702"/>
    <w:rsid w:val="008B2728"/>
    <w:rsid w:val="008B2745"/>
    <w:rsid w:val="008B294A"/>
    <w:rsid w:val="008B29C8"/>
    <w:rsid w:val="008B2D3E"/>
    <w:rsid w:val="008B2EF0"/>
    <w:rsid w:val="008B2FA8"/>
    <w:rsid w:val="008B2FFE"/>
    <w:rsid w:val="008B319F"/>
    <w:rsid w:val="008B31B7"/>
    <w:rsid w:val="008B31E1"/>
    <w:rsid w:val="008B34E3"/>
    <w:rsid w:val="008B34EA"/>
    <w:rsid w:val="008B352B"/>
    <w:rsid w:val="008B3548"/>
    <w:rsid w:val="008B35B2"/>
    <w:rsid w:val="008B3635"/>
    <w:rsid w:val="008B3652"/>
    <w:rsid w:val="008B3690"/>
    <w:rsid w:val="008B36F0"/>
    <w:rsid w:val="008B3700"/>
    <w:rsid w:val="008B37F6"/>
    <w:rsid w:val="008B3830"/>
    <w:rsid w:val="008B3881"/>
    <w:rsid w:val="008B3923"/>
    <w:rsid w:val="008B3AAF"/>
    <w:rsid w:val="008B3AB2"/>
    <w:rsid w:val="008B3B07"/>
    <w:rsid w:val="008B3B09"/>
    <w:rsid w:val="008B3BA1"/>
    <w:rsid w:val="008B3BD2"/>
    <w:rsid w:val="008B3DC3"/>
    <w:rsid w:val="008B3DED"/>
    <w:rsid w:val="008B3E0D"/>
    <w:rsid w:val="008B3FD2"/>
    <w:rsid w:val="008B3FE0"/>
    <w:rsid w:val="008B401B"/>
    <w:rsid w:val="008B4102"/>
    <w:rsid w:val="008B4202"/>
    <w:rsid w:val="008B421F"/>
    <w:rsid w:val="008B4249"/>
    <w:rsid w:val="008B425D"/>
    <w:rsid w:val="008B4299"/>
    <w:rsid w:val="008B438C"/>
    <w:rsid w:val="008B46BF"/>
    <w:rsid w:val="008B4745"/>
    <w:rsid w:val="008B48F7"/>
    <w:rsid w:val="008B490A"/>
    <w:rsid w:val="008B49EE"/>
    <w:rsid w:val="008B4CDC"/>
    <w:rsid w:val="008B4E4E"/>
    <w:rsid w:val="008B4F2B"/>
    <w:rsid w:val="008B4F6C"/>
    <w:rsid w:val="008B50C7"/>
    <w:rsid w:val="008B52D8"/>
    <w:rsid w:val="008B52FD"/>
    <w:rsid w:val="008B53FA"/>
    <w:rsid w:val="008B5436"/>
    <w:rsid w:val="008B5620"/>
    <w:rsid w:val="008B5626"/>
    <w:rsid w:val="008B583D"/>
    <w:rsid w:val="008B5858"/>
    <w:rsid w:val="008B58A6"/>
    <w:rsid w:val="008B58CA"/>
    <w:rsid w:val="008B5951"/>
    <w:rsid w:val="008B59CC"/>
    <w:rsid w:val="008B5B12"/>
    <w:rsid w:val="008B5B81"/>
    <w:rsid w:val="008B5D8F"/>
    <w:rsid w:val="008B5DBC"/>
    <w:rsid w:val="008B5F80"/>
    <w:rsid w:val="008B5FED"/>
    <w:rsid w:val="008B6053"/>
    <w:rsid w:val="008B620F"/>
    <w:rsid w:val="008B625A"/>
    <w:rsid w:val="008B625F"/>
    <w:rsid w:val="008B6332"/>
    <w:rsid w:val="008B634A"/>
    <w:rsid w:val="008B6643"/>
    <w:rsid w:val="008B66D9"/>
    <w:rsid w:val="008B66FC"/>
    <w:rsid w:val="008B693E"/>
    <w:rsid w:val="008B6A36"/>
    <w:rsid w:val="008B6B35"/>
    <w:rsid w:val="008B6D52"/>
    <w:rsid w:val="008B6D98"/>
    <w:rsid w:val="008B6E49"/>
    <w:rsid w:val="008B6F02"/>
    <w:rsid w:val="008B6F23"/>
    <w:rsid w:val="008B6F37"/>
    <w:rsid w:val="008B6F45"/>
    <w:rsid w:val="008B6FF7"/>
    <w:rsid w:val="008B7005"/>
    <w:rsid w:val="008B703F"/>
    <w:rsid w:val="008B71C9"/>
    <w:rsid w:val="008B71CB"/>
    <w:rsid w:val="008B721A"/>
    <w:rsid w:val="008B723C"/>
    <w:rsid w:val="008B724C"/>
    <w:rsid w:val="008B72E8"/>
    <w:rsid w:val="008B7327"/>
    <w:rsid w:val="008B739B"/>
    <w:rsid w:val="008B74EA"/>
    <w:rsid w:val="008B7507"/>
    <w:rsid w:val="008B75F8"/>
    <w:rsid w:val="008B76C0"/>
    <w:rsid w:val="008B76D0"/>
    <w:rsid w:val="008B7725"/>
    <w:rsid w:val="008B7760"/>
    <w:rsid w:val="008B7882"/>
    <w:rsid w:val="008B78BB"/>
    <w:rsid w:val="008B7A32"/>
    <w:rsid w:val="008B7DD2"/>
    <w:rsid w:val="008B7DFA"/>
    <w:rsid w:val="008B7E1A"/>
    <w:rsid w:val="008B7E39"/>
    <w:rsid w:val="008B7F1B"/>
    <w:rsid w:val="008C0115"/>
    <w:rsid w:val="008C014E"/>
    <w:rsid w:val="008C0330"/>
    <w:rsid w:val="008C039E"/>
    <w:rsid w:val="008C03E3"/>
    <w:rsid w:val="008C0433"/>
    <w:rsid w:val="008C05E2"/>
    <w:rsid w:val="008C071D"/>
    <w:rsid w:val="008C0744"/>
    <w:rsid w:val="008C075E"/>
    <w:rsid w:val="008C0772"/>
    <w:rsid w:val="008C077F"/>
    <w:rsid w:val="008C0A41"/>
    <w:rsid w:val="008C0B06"/>
    <w:rsid w:val="008C0BA0"/>
    <w:rsid w:val="008C0CC9"/>
    <w:rsid w:val="008C0DCC"/>
    <w:rsid w:val="008C0E1A"/>
    <w:rsid w:val="008C0E23"/>
    <w:rsid w:val="008C0E2A"/>
    <w:rsid w:val="008C0E2B"/>
    <w:rsid w:val="008C0E57"/>
    <w:rsid w:val="008C1091"/>
    <w:rsid w:val="008C1124"/>
    <w:rsid w:val="008C1158"/>
    <w:rsid w:val="008C12A0"/>
    <w:rsid w:val="008C13D1"/>
    <w:rsid w:val="008C14D6"/>
    <w:rsid w:val="008C1507"/>
    <w:rsid w:val="008C16CB"/>
    <w:rsid w:val="008C1741"/>
    <w:rsid w:val="008C1764"/>
    <w:rsid w:val="008C1860"/>
    <w:rsid w:val="008C1884"/>
    <w:rsid w:val="008C18A9"/>
    <w:rsid w:val="008C18E1"/>
    <w:rsid w:val="008C1957"/>
    <w:rsid w:val="008C198F"/>
    <w:rsid w:val="008C1BC1"/>
    <w:rsid w:val="008C1C87"/>
    <w:rsid w:val="008C1D03"/>
    <w:rsid w:val="008C1E0C"/>
    <w:rsid w:val="008C2023"/>
    <w:rsid w:val="008C2180"/>
    <w:rsid w:val="008C2258"/>
    <w:rsid w:val="008C24F8"/>
    <w:rsid w:val="008C2513"/>
    <w:rsid w:val="008C2560"/>
    <w:rsid w:val="008C25A0"/>
    <w:rsid w:val="008C27EE"/>
    <w:rsid w:val="008C2838"/>
    <w:rsid w:val="008C297E"/>
    <w:rsid w:val="008C2AA1"/>
    <w:rsid w:val="008C2B72"/>
    <w:rsid w:val="008C2B77"/>
    <w:rsid w:val="008C2C73"/>
    <w:rsid w:val="008C2CD9"/>
    <w:rsid w:val="008C2D0E"/>
    <w:rsid w:val="008C2E65"/>
    <w:rsid w:val="008C2F3E"/>
    <w:rsid w:val="008C2F8F"/>
    <w:rsid w:val="008C2F94"/>
    <w:rsid w:val="008C3031"/>
    <w:rsid w:val="008C3169"/>
    <w:rsid w:val="008C3252"/>
    <w:rsid w:val="008C32FD"/>
    <w:rsid w:val="008C3353"/>
    <w:rsid w:val="008C3387"/>
    <w:rsid w:val="008C3400"/>
    <w:rsid w:val="008C34EF"/>
    <w:rsid w:val="008C367C"/>
    <w:rsid w:val="008C36E2"/>
    <w:rsid w:val="008C3702"/>
    <w:rsid w:val="008C37D0"/>
    <w:rsid w:val="008C3870"/>
    <w:rsid w:val="008C3907"/>
    <w:rsid w:val="008C3967"/>
    <w:rsid w:val="008C39B0"/>
    <w:rsid w:val="008C39C2"/>
    <w:rsid w:val="008C39DB"/>
    <w:rsid w:val="008C39DD"/>
    <w:rsid w:val="008C3AA4"/>
    <w:rsid w:val="008C3B25"/>
    <w:rsid w:val="008C3D4E"/>
    <w:rsid w:val="008C3EFF"/>
    <w:rsid w:val="008C3F46"/>
    <w:rsid w:val="008C3F74"/>
    <w:rsid w:val="008C3FAA"/>
    <w:rsid w:val="008C41A7"/>
    <w:rsid w:val="008C4290"/>
    <w:rsid w:val="008C42F1"/>
    <w:rsid w:val="008C46F5"/>
    <w:rsid w:val="008C470D"/>
    <w:rsid w:val="008C47A9"/>
    <w:rsid w:val="008C4CED"/>
    <w:rsid w:val="008C4DBB"/>
    <w:rsid w:val="008C4EBB"/>
    <w:rsid w:val="008C50EF"/>
    <w:rsid w:val="008C51D0"/>
    <w:rsid w:val="008C51E5"/>
    <w:rsid w:val="008C5203"/>
    <w:rsid w:val="008C5275"/>
    <w:rsid w:val="008C5289"/>
    <w:rsid w:val="008C532F"/>
    <w:rsid w:val="008C53BA"/>
    <w:rsid w:val="008C54DA"/>
    <w:rsid w:val="008C56C3"/>
    <w:rsid w:val="008C56DE"/>
    <w:rsid w:val="008C5724"/>
    <w:rsid w:val="008C597E"/>
    <w:rsid w:val="008C59A5"/>
    <w:rsid w:val="008C5A92"/>
    <w:rsid w:val="008C5B87"/>
    <w:rsid w:val="008C5D08"/>
    <w:rsid w:val="008C5D71"/>
    <w:rsid w:val="008C5D7D"/>
    <w:rsid w:val="008C5E1C"/>
    <w:rsid w:val="008C5E53"/>
    <w:rsid w:val="008C5F0C"/>
    <w:rsid w:val="008C5F34"/>
    <w:rsid w:val="008C5F63"/>
    <w:rsid w:val="008C5F71"/>
    <w:rsid w:val="008C5FD3"/>
    <w:rsid w:val="008C60EA"/>
    <w:rsid w:val="008C6177"/>
    <w:rsid w:val="008C61D3"/>
    <w:rsid w:val="008C628A"/>
    <w:rsid w:val="008C6297"/>
    <w:rsid w:val="008C63F0"/>
    <w:rsid w:val="008C64D3"/>
    <w:rsid w:val="008C6507"/>
    <w:rsid w:val="008C656D"/>
    <w:rsid w:val="008C65EA"/>
    <w:rsid w:val="008C6701"/>
    <w:rsid w:val="008C69A9"/>
    <w:rsid w:val="008C6A35"/>
    <w:rsid w:val="008C6A4F"/>
    <w:rsid w:val="008C6AB0"/>
    <w:rsid w:val="008C6AC0"/>
    <w:rsid w:val="008C6C1C"/>
    <w:rsid w:val="008C6C2D"/>
    <w:rsid w:val="008C6CB1"/>
    <w:rsid w:val="008C6E4F"/>
    <w:rsid w:val="008C6EED"/>
    <w:rsid w:val="008C7030"/>
    <w:rsid w:val="008C70B9"/>
    <w:rsid w:val="008C70E7"/>
    <w:rsid w:val="008C71C2"/>
    <w:rsid w:val="008C7353"/>
    <w:rsid w:val="008C73C8"/>
    <w:rsid w:val="008C74DD"/>
    <w:rsid w:val="008C74E3"/>
    <w:rsid w:val="008C74E5"/>
    <w:rsid w:val="008C7591"/>
    <w:rsid w:val="008C7671"/>
    <w:rsid w:val="008C76C9"/>
    <w:rsid w:val="008C78EA"/>
    <w:rsid w:val="008C79A0"/>
    <w:rsid w:val="008C7B32"/>
    <w:rsid w:val="008C7B37"/>
    <w:rsid w:val="008C7C05"/>
    <w:rsid w:val="008C7DD2"/>
    <w:rsid w:val="008C7F3C"/>
    <w:rsid w:val="008C7FBC"/>
    <w:rsid w:val="008D00C2"/>
    <w:rsid w:val="008D00FC"/>
    <w:rsid w:val="008D0109"/>
    <w:rsid w:val="008D015C"/>
    <w:rsid w:val="008D0334"/>
    <w:rsid w:val="008D03EE"/>
    <w:rsid w:val="008D0584"/>
    <w:rsid w:val="008D05EA"/>
    <w:rsid w:val="008D0629"/>
    <w:rsid w:val="008D0660"/>
    <w:rsid w:val="008D0664"/>
    <w:rsid w:val="008D067C"/>
    <w:rsid w:val="008D068E"/>
    <w:rsid w:val="008D092E"/>
    <w:rsid w:val="008D09B3"/>
    <w:rsid w:val="008D09BB"/>
    <w:rsid w:val="008D0A0F"/>
    <w:rsid w:val="008D0A48"/>
    <w:rsid w:val="008D0B23"/>
    <w:rsid w:val="008D0C27"/>
    <w:rsid w:val="008D0C38"/>
    <w:rsid w:val="008D0ECD"/>
    <w:rsid w:val="008D0F49"/>
    <w:rsid w:val="008D1290"/>
    <w:rsid w:val="008D12D1"/>
    <w:rsid w:val="008D13E4"/>
    <w:rsid w:val="008D1427"/>
    <w:rsid w:val="008D14A7"/>
    <w:rsid w:val="008D14B9"/>
    <w:rsid w:val="008D163B"/>
    <w:rsid w:val="008D1717"/>
    <w:rsid w:val="008D1847"/>
    <w:rsid w:val="008D18CA"/>
    <w:rsid w:val="008D1B24"/>
    <w:rsid w:val="008D1B3B"/>
    <w:rsid w:val="008D1CB3"/>
    <w:rsid w:val="008D1CEA"/>
    <w:rsid w:val="008D1CEE"/>
    <w:rsid w:val="008D1DD8"/>
    <w:rsid w:val="008D1EC6"/>
    <w:rsid w:val="008D1F02"/>
    <w:rsid w:val="008D1F1E"/>
    <w:rsid w:val="008D1F49"/>
    <w:rsid w:val="008D20AF"/>
    <w:rsid w:val="008D2208"/>
    <w:rsid w:val="008D225F"/>
    <w:rsid w:val="008D227D"/>
    <w:rsid w:val="008D22E4"/>
    <w:rsid w:val="008D2340"/>
    <w:rsid w:val="008D2347"/>
    <w:rsid w:val="008D24A9"/>
    <w:rsid w:val="008D24C4"/>
    <w:rsid w:val="008D2902"/>
    <w:rsid w:val="008D295B"/>
    <w:rsid w:val="008D2B4F"/>
    <w:rsid w:val="008D2C17"/>
    <w:rsid w:val="008D2D3C"/>
    <w:rsid w:val="008D2D8F"/>
    <w:rsid w:val="008D2DBD"/>
    <w:rsid w:val="008D2DCB"/>
    <w:rsid w:val="008D2DF9"/>
    <w:rsid w:val="008D2ECB"/>
    <w:rsid w:val="008D2F8D"/>
    <w:rsid w:val="008D30F9"/>
    <w:rsid w:val="008D313C"/>
    <w:rsid w:val="008D3287"/>
    <w:rsid w:val="008D328C"/>
    <w:rsid w:val="008D32B8"/>
    <w:rsid w:val="008D33CC"/>
    <w:rsid w:val="008D346E"/>
    <w:rsid w:val="008D34B3"/>
    <w:rsid w:val="008D3910"/>
    <w:rsid w:val="008D39BB"/>
    <w:rsid w:val="008D39CA"/>
    <w:rsid w:val="008D39DD"/>
    <w:rsid w:val="008D3AC3"/>
    <w:rsid w:val="008D3B1E"/>
    <w:rsid w:val="008D3D2F"/>
    <w:rsid w:val="008D3DBB"/>
    <w:rsid w:val="008D3EBD"/>
    <w:rsid w:val="008D3FD4"/>
    <w:rsid w:val="008D4050"/>
    <w:rsid w:val="008D405F"/>
    <w:rsid w:val="008D40FF"/>
    <w:rsid w:val="008D4122"/>
    <w:rsid w:val="008D41E1"/>
    <w:rsid w:val="008D41E7"/>
    <w:rsid w:val="008D434A"/>
    <w:rsid w:val="008D435A"/>
    <w:rsid w:val="008D4390"/>
    <w:rsid w:val="008D442E"/>
    <w:rsid w:val="008D4442"/>
    <w:rsid w:val="008D445D"/>
    <w:rsid w:val="008D462F"/>
    <w:rsid w:val="008D48C3"/>
    <w:rsid w:val="008D48E8"/>
    <w:rsid w:val="008D48F6"/>
    <w:rsid w:val="008D4E87"/>
    <w:rsid w:val="008D4EB0"/>
    <w:rsid w:val="008D4F54"/>
    <w:rsid w:val="008D4FC1"/>
    <w:rsid w:val="008D5068"/>
    <w:rsid w:val="008D50C5"/>
    <w:rsid w:val="008D513A"/>
    <w:rsid w:val="008D51D5"/>
    <w:rsid w:val="008D5342"/>
    <w:rsid w:val="008D53AA"/>
    <w:rsid w:val="008D5401"/>
    <w:rsid w:val="008D5450"/>
    <w:rsid w:val="008D548D"/>
    <w:rsid w:val="008D5509"/>
    <w:rsid w:val="008D5611"/>
    <w:rsid w:val="008D56DC"/>
    <w:rsid w:val="008D587B"/>
    <w:rsid w:val="008D58BA"/>
    <w:rsid w:val="008D58C4"/>
    <w:rsid w:val="008D59CC"/>
    <w:rsid w:val="008D5A62"/>
    <w:rsid w:val="008D5B02"/>
    <w:rsid w:val="008D5BED"/>
    <w:rsid w:val="008D5C9D"/>
    <w:rsid w:val="008D5D35"/>
    <w:rsid w:val="008D5DE6"/>
    <w:rsid w:val="008D5E4A"/>
    <w:rsid w:val="008D5EA4"/>
    <w:rsid w:val="008D5EAA"/>
    <w:rsid w:val="008D5F4A"/>
    <w:rsid w:val="008D5F97"/>
    <w:rsid w:val="008D609B"/>
    <w:rsid w:val="008D60E3"/>
    <w:rsid w:val="008D6114"/>
    <w:rsid w:val="008D6163"/>
    <w:rsid w:val="008D61AF"/>
    <w:rsid w:val="008D6445"/>
    <w:rsid w:val="008D6456"/>
    <w:rsid w:val="008D64EF"/>
    <w:rsid w:val="008D6552"/>
    <w:rsid w:val="008D6595"/>
    <w:rsid w:val="008D6597"/>
    <w:rsid w:val="008D65C5"/>
    <w:rsid w:val="008D65F5"/>
    <w:rsid w:val="008D677B"/>
    <w:rsid w:val="008D67A0"/>
    <w:rsid w:val="008D68FE"/>
    <w:rsid w:val="008D6942"/>
    <w:rsid w:val="008D698A"/>
    <w:rsid w:val="008D6A3E"/>
    <w:rsid w:val="008D6AEE"/>
    <w:rsid w:val="008D6BD4"/>
    <w:rsid w:val="008D6CFC"/>
    <w:rsid w:val="008D6D32"/>
    <w:rsid w:val="008D6E38"/>
    <w:rsid w:val="008D6EA5"/>
    <w:rsid w:val="008D6EAF"/>
    <w:rsid w:val="008D6F16"/>
    <w:rsid w:val="008D6F6A"/>
    <w:rsid w:val="008D6F7E"/>
    <w:rsid w:val="008D7018"/>
    <w:rsid w:val="008D7044"/>
    <w:rsid w:val="008D70B3"/>
    <w:rsid w:val="008D7195"/>
    <w:rsid w:val="008D720C"/>
    <w:rsid w:val="008D7318"/>
    <w:rsid w:val="008D735D"/>
    <w:rsid w:val="008D738A"/>
    <w:rsid w:val="008D74B1"/>
    <w:rsid w:val="008D74F0"/>
    <w:rsid w:val="008D76EA"/>
    <w:rsid w:val="008D77AF"/>
    <w:rsid w:val="008D783B"/>
    <w:rsid w:val="008D7891"/>
    <w:rsid w:val="008D7924"/>
    <w:rsid w:val="008D7950"/>
    <w:rsid w:val="008D7961"/>
    <w:rsid w:val="008D7B84"/>
    <w:rsid w:val="008D7C9A"/>
    <w:rsid w:val="008D7CC2"/>
    <w:rsid w:val="008D7CE4"/>
    <w:rsid w:val="008D7DE5"/>
    <w:rsid w:val="008D7E91"/>
    <w:rsid w:val="008D7ED1"/>
    <w:rsid w:val="008E005C"/>
    <w:rsid w:val="008E0082"/>
    <w:rsid w:val="008E012B"/>
    <w:rsid w:val="008E0169"/>
    <w:rsid w:val="008E01CD"/>
    <w:rsid w:val="008E01F8"/>
    <w:rsid w:val="008E02C1"/>
    <w:rsid w:val="008E047F"/>
    <w:rsid w:val="008E04BB"/>
    <w:rsid w:val="008E054B"/>
    <w:rsid w:val="008E0570"/>
    <w:rsid w:val="008E05B4"/>
    <w:rsid w:val="008E083F"/>
    <w:rsid w:val="008E0866"/>
    <w:rsid w:val="008E089E"/>
    <w:rsid w:val="008E0946"/>
    <w:rsid w:val="008E0988"/>
    <w:rsid w:val="008E0B68"/>
    <w:rsid w:val="008E0BA8"/>
    <w:rsid w:val="008E0CB8"/>
    <w:rsid w:val="008E0D21"/>
    <w:rsid w:val="008E0D8F"/>
    <w:rsid w:val="008E0DD6"/>
    <w:rsid w:val="008E0E7A"/>
    <w:rsid w:val="008E0EBD"/>
    <w:rsid w:val="008E1099"/>
    <w:rsid w:val="008E1156"/>
    <w:rsid w:val="008E1549"/>
    <w:rsid w:val="008E15B5"/>
    <w:rsid w:val="008E15B9"/>
    <w:rsid w:val="008E161F"/>
    <w:rsid w:val="008E1647"/>
    <w:rsid w:val="008E1694"/>
    <w:rsid w:val="008E16D1"/>
    <w:rsid w:val="008E1798"/>
    <w:rsid w:val="008E1873"/>
    <w:rsid w:val="008E18AF"/>
    <w:rsid w:val="008E198C"/>
    <w:rsid w:val="008E1998"/>
    <w:rsid w:val="008E19E6"/>
    <w:rsid w:val="008E1A39"/>
    <w:rsid w:val="008E1A81"/>
    <w:rsid w:val="008E1AA1"/>
    <w:rsid w:val="008E1B66"/>
    <w:rsid w:val="008E1BDE"/>
    <w:rsid w:val="008E1C34"/>
    <w:rsid w:val="008E1CC5"/>
    <w:rsid w:val="008E1DA0"/>
    <w:rsid w:val="008E1EC2"/>
    <w:rsid w:val="008E2069"/>
    <w:rsid w:val="008E2097"/>
    <w:rsid w:val="008E2145"/>
    <w:rsid w:val="008E223B"/>
    <w:rsid w:val="008E22C3"/>
    <w:rsid w:val="008E23D9"/>
    <w:rsid w:val="008E24FB"/>
    <w:rsid w:val="008E25F3"/>
    <w:rsid w:val="008E26B6"/>
    <w:rsid w:val="008E2793"/>
    <w:rsid w:val="008E27A5"/>
    <w:rsid w:val="008E2957"/>
    <w:rsid w:val="008E2A54"/>
    <w:rsid w:val="008E2AF5"/>
    <w:rsid w:val="008E2B1E"/>
    <w:rsid w:val="008E2BA0"/>
    <w:rsid w:val="008E2D62"/>
    <w:rsid w:val="008E2FAA"/>
    <w:rsid w:val="008E304B"/>
    <w:rsid w:val="008E30A0"/>
    <w:rsid w:val="008E31BC"/>
    <w:rsid w:val="008E3529"/>
    <w:rsid w:val="008E3533"/>
    <w:rsid w:val="008E35EB"/>
    <w:rsid w:val="008E37C6"/>
    <w:rsid w:val="008E381D"/>
    <w:rsid w:val="008E3878"/>
    <w:rsid w:val="008E388B"/>
    <w:rsid w:val="008E3912"/>
    <w:rsid w:val="008E393F"/>
    <w:rsid w:val="008E3C9F"/>
    <w:rsid w:val="008E3CA2"/>
    <w:rsid w:val="008E3D06"/>
    <w:rsid w:val="008E3D4B"/>
    <w:rsid w:val="008E3E67"/>
    <w:rsid w:val="008E3EE2"/>
    <w:rsid w:val="008E3FD4"/>
    <w:rsid w:val="008E411C"/>
    <w:rsid w:val="008E42CB"/>
    <w:rsid w:val="008E440B"/>
    <w:rsid w:val="008E468C"/>
    <w:rsid w:val="008E471E"/>
    <w:rsid w:val="008E479F"/>
    <w:rsid w:val="008E4809"/>
    <w:rsid w:val="008E4854"/>
    <w:rsid w:val="008E4859"/>
    <w:rsid w:val="008E48D3"/>
    <w:rsid w:val="008E4B25"/>
    <w:rsid w:val="008E4B3B"/>
    <w:rsid w:val="008E4D33"/>
    <w:rsid w:val="008E4D56"/>
    <w:rsid w:val="008E4DA6"/>
    <w:rsid w:val="008E4E66"/>
    <w:rsid w:val="008E4F75"/>
    <w:rsid w:val="008E4FD2"/>
    <w:rsid w:val="008E4FE4"/>
    <w:rsid w:val="008E4FFF"/>
    <w:rsid w:val="008E50D4"/>
    <w:rsid w:val="008E514E"/>
    <w:rsid w:val="008E525A"/>
    <w:rsid w:val="008E53A6"/>
    <w:rsid w:val="008E53EC"/>
    <w:rsid w:val="008E54B0"/>
    <w:rsid w:val="008E54C6"/>
    <w:rsid w:val="008E5562"/>
    <w:rsid w:val="008E5570"/>
    <w:rsid w:val="008E55E5"/>
    <w:rsid w:val="008E5614"/>
    <w:rsid w:val="008E5647"/>
    <w:rsid w:val="008E5683"/>
    <w:rsid w:val="008E57BF"/>
    <w:rsid w:val="008E581F"/>
    <w:rsid w:val="008E5973"/>
    <w:rsid w:val="008E59B5"/>
    <w:rsid w:val="008E5AA1"/>
    <w:rsid w:val="008E5C0B"/>
    <w:rsid w:val="008E5C26"/>
    <w:rsid w:val="008E5CEA"/>
    <w:rsid w:val="008E5D44"/>
    <w:rsid w:val="008E5F26"/>
    <w:rsid w:val="008E608E"/>
    <w:rsid w:val="008E609D"/>
    <w:rsid w:val="008E6175"/>
    <w:rsid w:val="008E6261"/>
    <w:rsid w:val="008E63BA"/>
    <w:rsid w:val="008E641C"/>
    <w:rsid w:val="008E6434"/>
    <w:rsid w:val="008E65AC"/>
    <w:rsid w:val="008E66C6"/>
    <w:rsid w:val="008E66FB"/>
    <w:rsid w:val="008E67B3"/>
    <w:rsid w:val="008E685B"/>
    <w:rsid w:val="008E6939"/>
    <w:rsid w:val="008E6C29"/>
    <w:rsid w:val="008E6C78"/>
    <w:rsid w:val="008E6CDE"/>
    <w:rsid w:val="008E6D20"/>
    <w:rsid w:val="008E6E97"/>
    <w:rsid w:val="008E6EF3"/>
    <w:rsid w:val="008E7059"/>
    <w:rsid w:val="008E7078"/>
    <w:rsid w:val="008E730F"/>
    <w:rsid w:val="008E7324"/>
    <w:rsid w:val="008E73DE"/>
    <w:rsid w:val="008E7467"/>
    <w:rsid w:val="008E753C"/>
    <w:rsid w:val="008E76E8"/>
    <w:rsid w:val="008E77E8"/>
    <w:rsid w:val="008E7816"/>
    <w:rsid w:val="008E7942"/>
    <w:rsid w:val="008E7AB9"/>
    <w:rsid w:val="008E7B5F"/>
    <w:rsid w:val="008E7BA5"/>
    <w:rsid w:val="008E7C4F"/>
    <w:rsid w:val="008E7C6A"/>
    <w:rsid w:val="008E7C78"/>
    <w:rsid w:val="008E7CF0"/>
    <w:rsid w:val="008E7DA6"/>
    <w:rsid w:val="008E7DC2"/>
    <w:rsid w:val="008E7DCA"/>
    <w:rsid w:val="008E7DE2"/>
    <w:rsid w:val="008E7ED8"/>
    <w:rsid w:val="008E7F35"/>
    <w:rsid w:val="008E7F44"/>
    <w:rsid w:val="008F0051"/>
    <w:rsid w:val="008F0066"/>
    <w:rsid w:val="008F00F4"/>
    <w:rsid w:val="008F01F0"/>
    <w:rsid w:val="008F0223"/>
    <w:rsid w:val="008F02A6"/>
    <w:rsid w:val="008F0410"/>
    <w:rsid w:val="008F043D"/>
    <w:rsid w:val="008F0479"/>
    <w:rsid w:val="008F049A"/>
    <w:rsid w:val="008F04E7"/>
    <w:rsid w:val="008F05CA"/>
    <w:rsid w:val="008F0641"/>
    <w:rsid w:val="008F0675"/>
    <w:rsid w:val="008F09E6"/>
    <w:rsid w:val="008F0AFC"/>
    <w:rsid w:val="008F0B3D"/>
    <w:rsid w:val="008F0C41"/>
    <w:rsid w:val="008F0D20"/>
    <w:rsid w:val="008F0D3D"/>
    <w:rsid w:val="008F0D9B"/>
    <w:rsid w:val="008F0E94"/>
    <w:rsid w:val="008F0EF3"/>
    <w:rsid w:val="008F0F8C"/>
    <w:rsid w:val="008F10A9"/>
    <w:rsid w:val="008F114F"/>
    <w:rsid w:val="008F1165"/>
    <w:rsid w:val="008F11C9"/>
    <w:rsid w:val="008F1222"/>
    <w:rsid w:val="008F1295"/>
    <w:rsid w:val="008F130B"/>
    <w:rsid w:val="008F1372"/>
    <w:rsid w:val="008F15A8"/>
    <w:rsid w:val="008F16AB"/>
    <w:rsid w:val="008F16DA"/>
    <w:rsid w:val="008F174A"/>
    <w:rsid w:val="008F188F"/>
    <w:rsid w:val="008F1994"/>
    <w:rsid w:val="008F1999"/>
    <w:rsid w:val="008F1BDE"/>
    <w:rsid w:val="008F1D8A"/>
    <w:rsid w:val="008F1DAA"/>
    <w:rsid w:val="008F1F9C"/>
    <w:rsid w:val="008F20A1"/>
    <w:rsid w:val="008F22BE"/>
    <w:rsid w:val="008F22E0"/>
    <w:rsid w:val="008F233E"/>
    <w:rsid w:val="008F23BB"/>
    <w:rsid w:val="008F242B"/>
    <w:rsid w:val="008F24B5"/>
    <w:rsid w:val="008F25D7"/>
    <w:rsid w:val="008F273E"/>
    <w:rsid w:val="008F27E9"/>
    <w:rsid w:val="008F2834"/>
    <w:rsid w:val="008F2859"/>
    <w:rsid w:val="008F2973"/>
    <w:rsid w:val="008F29BA"/>
    <w:rsid w:val="008F2AAB"/>
    <w:rsid w:val="008F2ADD"/>
    <w:rsid w:val="008F2BBC"/>
    <w:rsid w:val="008F2C56"/>
    <w:rsid w:val="008F2D34"/>
    <w:rsid w:val="008F2DE2"/>
    <w:rsid w:val="008F2F9F"/>
    <w:rsid w:val="008F306F"/>
    <w:rsid w:val="008F30E2"/>
    <w:rsid w:val="008F328E"/>
    <w:rsid w:val="008F3323"/>
    <w:rsid w:val="008F3346"/>
    <w:rsid w:val="008F35E6"/>
    <w:rsid w:val="008F3642"/>
    <w:rsid w:val="008F36D8"/>
    <w:rsid w:val="008F3769"/>
    <w:rsid w:val="008F3834"/>
    <w:rsid w:val="008F38DF"/>
    <w:rsid w:val="008F38E1"/>
    <w:rsid w:val="008F3959"/>
    <w:rsid w:val="008F3985"/>
    <w:rsid w:val="008F3A8D"/>
    <w:rsid w:val="008F3B73"/>
    <w:rsid w:val="008F3BA5"/>
    <w:rsid w:val="008F3C9A"/>
    <w:rsid w:val="008F3DBC"/>
    <w:rsid w:val="008F3F55"/>
    <w:rsid w:val="008F401F"/>
    <w:rsid w:val="008F409A"/>
    <w:rsid w:val="008F4140"/>
    <w:rsid w:val="008F42E5"/>
    <w:rsid w:val="008F4302"/>
    <w:rsid w:val="008F4320"/>
    <w:rsid w:val="008F435A"/>
    <w:rsid w:val="008F4385"/>
    <w:rsid w:val="008F43F8"/>
    <w:rsid w:val="008F449D"/>
    <w:rsid w:val="008F471F"/>
    <w:rsid w:val="008F4781"/>
    <w:rsid w:val="008F47C1"/>
    <w:rsid w:val="008F47D8"/>
    <w:rsid w:val="008F4877"/>
    <w:rsid w:val="008F48F5"/>
    <w:rsid w:val="008F4B64"/>
    <w:rsid w:val="008F4BDC"/>
    <w:rsid w:val="008F4C1B"/>
    <w:rsid w:val="008F4CFC"/>
    <w:rsid w:val="008F4D23"/>
    <w:rsid w:val="008F4E80"/>
    <w:rsid w:val="008F4EAD"/>
    <w:rsid w:val="008F4EC4"/>
    <w:rsid w:val="008F4F27"/>
    <w:rsid w:val="008F5167"/>
    <w:rsid w:val="008F5282"/>
    <w:rsid w:val="008F5295"/>
    <w:rsid w:val="008F52E1"/>
    <w:rsid w:val="008F54F6"/>
    <w:rsid w:val="008F5591"/>
    <w:rsid w:val="008F55BB"/>
    <w:rsid w:val="008F5620"/>
    <w:rsid w:val="008F564A"/>
    <w:rsid w:val="008F56EA"/>
    <w:rsid w:val="008F5721"/>
    <w:rsid w:val="008F5733"/>
    <w:rsid w:val="008F5792"/>
    <w:rsid w:val="008F5819"/>
    <w:rsid w:val="008F5834"/>
    <w:rsid w:val="008F58BA"/>
    <w:rsid w:val="008F595E"/>
    <w:rsid w:val="008F5ACD"/>
    <w:rsid w:val="008F5B20"/>
    <w:rsid w:val="008F5B30"/>
    <w:rsid w:val="008F5B64"/>
    <w:rsid w:val="008F5C13"/>
    <w:rsid w:val="008F5C2A"/>
    <w:rsid w:val="008F5C75"/>
    <w:rsid w:val="008F5CDF"/>
    <w:rsid w:val="008F5D05"/>
    <w:rsid w:val="008F5E73"/>
    <w:rsid w:val="008F5F3C"/>
    <w:rsid w:val="008F602F"/>
    <w:rsid w:val="008F6260"/>
    <w:rsid w:val="008F6296"/>
    <w:rsid w:val="008F6360"/>
    <w:rsid w:val="008F658A"/>
    <w:rsid w:val="008F673D"/>
    <w:rsid w:val="008F6756"/>
    <w:rsid w:val="008F67FB"/>
    <w:rsid w:val="008F682F"/>
    <w:rsid w:val="008F6876"/>
    <w:rsid w:val="008F694C"/>
    <w:rsid w:val="008F69C9"/>
    <w:rsid w:val="008F69EE"/>
    <w:rsid w:val="008F6BAD"/>
    <w:rsid w:val="008F6BBB"/>
    <w:rsid w:val="008F6CB4"/>
    <w:rsid w:val="008F6F40"/>
    <w:rsid w:val="008F708F"/>
    <w:rsid w:val="008F712D"/>
    <w:rsid w:val="008F714A"/>
    <w:rsid w:val="008F7201"/>
    <w:rsid w:val="008F7326"/>
    <w:rsid w:val="008F736A"/>
    <w:rsid w:val="008F7408"/>
    <w:rsid w:val="008F7473"/>
    <w:rsid w:val="008F74E3"/>
    <w:rsid w:val="008F74F0"/>
    <w:rsid w:val="008F757F"/>
    <w:rsid w:val="008F765B"/>
    <w:rsid w:val="008F76A5"/>
    <w:rsid w:val="008F770D"/>
    <w:rsid w:val="008F773C"/>
    <w:rsid w:val="008F787C"/>
    <w:rsid w:val="008F791E"/>
    <w:rsid w:val="008F793B"/>
    <w:rsid w:val="008F7A31"/>
    <w:rsid w:val="008F7B11"/>
    <w:rsid w:val="008F7B90"/>
    <w:rsid w:val="008F7BCA"/>
    <w:rsid w:val="008F7C44"/>
    <w:rsid w:val="008F7DEB"/>
    <w:rsid w:val="008F7FEE"/>
    <w:rsid w:val="0090001E"/>
    <w:rsid w:val="009000F3"/>
    <w:rsid w:val="00900365"/>
    <w:rsid w:val="009003CA"/>
    <w:rsid w:val="009003CC"/>
    <w:rsid w:val="00900429"/>
    <w:rsid w:val="0090042D"/>
    <w:rsid w:val="0090052F"/>
    <w:rsid w:val="009005B4"/>
    <w:rsid w:val="009005C5"/>
    <w:rsid w:val="00900894"/>
    <w:rsid w:val="00900958"/>
    <w:rsid w:val="00900971"/>
    <w:rsid w:val="009009FF"/>
    <w:rsid w:val="00900A08"/>
    <w:rsid w:val="00900CD2"/>
    <w:rsid w:val="00900DCC"/>
    <w:rsid w:val="00900E52"/>
    <w:rsid w:val="00900E5F"/>
    <w:rsid w:val="00900E8D"/>
    <w:rsid w:val="0090103A"/>
    <w:rsid w:val="00901103"/>
    <w:rsid w:val="0090117C"/>
    <w:rsid w:val="00901227"/>
    <w:rsid w:val="0090134D"/>
    <w:rsid w:val="0090144D"/>
    <w:rsid w:val="00901450"/>
    <w:rsid w:val="009014A7"/>
    <w:rsid w:val="009018A6"/>
    <w:rsid w:val="009018F5"/>
    <w:rsid w:val="00901927"/>
    <w:rsid w:val="00901956"/>
    <w:rsid w:val="0090198C"/>
    <w:rsid w:val="009019C6"/>
    <w:rsid w:val="009019D2"/>
    <w:rsid w:val="009019D5"/>
    <w:rsid w:val="00901B40"/>
    <w:rsid w:val="00901BAF"/>
    <w:rsid w:val="00901CF4"/>
    <w:rsid w:val="00901D62"/>
    <w:rsid w:val="00901FDC"/>
    <w:rsid w:val="00901FFF"/>
    <w:rsid w:val="00902109"/>
    <w:rsid w:val="00902245"/>
    <w:rsid w:val="00902366"/>
    <w:rsid w:val="00902370"/>
    <w:rsid w:val="00902468"/>
    <w:rsid w:val="00902590"/>
    <w:rsid w:val="00902699"/>
    <w:rsid w:val="009026F4"/>
    <w:rsid w:val="0090276A"/>
    <w:rsid w:val="00902788"/>
    <w:rsid w:val="0090278B"/>
    <w:rsid w:val="0090280F"/>
    <w:rsid w:val="00902842"/>
    <w:rsid w:val="00902878"/>
    <w:rsid w:val="00902961"/>
    <w:rsid w:val="009029A4"/>
    <w:rsid w:val="00902E66"/>
    <w:rsid w:val="00902E7B"/>
    <w:rsid w:val="00903030"/>
    <w:rsid w:val="00903036"/>
    <w:rsid w:val="0090316B"/>
    <w:rsid w:val="00903194"/>
    <w:rsid w:val="0090319D"/>
    <w:rsid w:val="00903268"/>
    <w:rsid w:val="0090330A"/>
    <w:rsid w:val="0090348D"/>
    <w:rsid w:val="00903582"/>
    <w:rsid w:val="0090358F"/>
    <w:rsid w:val="00903590"/>
    <w:rsid w:val="009036DB"/>
    <w:rsid w:val="009036EE"/>
    <w:rsid w:val="009037C2"/>
    <w:rsid w:val="0090385B"/>
    <w:rsid w:val="00903866"/>
    <w:rsid w:val="0090387B"/>
    <w:rsid w:val="00903882"/>
    <w:rsid w:val="0090395D"/>
    <w:rsid w:val="00903C3B"/>
    <w:rsid w:val="00903CE2"/>
    <w:rsid w:val="00903D37"/>
    <w:rsid w:val="00903D99"/>
    <w:rsid w:val="00903E19"/>
    <w:rsid w:val="00903E9C"/>
    <w:rsid w:val="00903F4A"/>
    <w:rsid w:val="00904105"/>
    <w:rsid w:val="009041A9"/>
    <w:rsid w:val="009042AE"/>
    <w:rsid w:val="009042EB"/>
    <w:rsid w:val="009042F8"/>
    <w:rsid w:val="00904312"/>
    <w:rsid w:val="00904525"/>
    <w:rsid w:val="00904540"/>
    <w:rsid w:val="0090462A"/>
    <w:rsid w:val="00904689"/>
    <w:rsid w:val="0090470E"/>
    <w:rsid w:val="00904756"/>
    <w:rsid w:val="0090478C"/>
    <w:rsid w:val="009047B0"/>
    <w:rsid w:val="0090492A"/>
    <w:rsid w:val="009049A3"/>
    <w:rsid w:val="00904A4F"/>
    <w:rsid w:val="00904A90"/>
    <w:rsid w:val="00904B37"/>
    <w:rsid w:val="00904C9D"/>
    <w:rsid w:val="00904CCB"/>
    <w:rsid w:val="00904D04"/>
    <w:rsid w:val="00904D36"/>
    <w:rsid w:val="00904E41"/>
    <w:rsid w:val="00904E6D"/>
    <w:rsid w:val="00904F36"/>
    <w:rsid w:val="00904FC9"/>
    <w:rsid w:val="00905018"/>
    <w:rsid w:val="00905026"/>
    <w:rsid w:val="009051ED"/>
    <w:rsid w:val="00905334"/>
    <w:rsid w:val="009053B2"/>
    <w:rsid w:val="0090542D"/>
    <w:rsid w:val="00905529"/>
    <w:rsid w:val="00905551"/>
    <w:rsid w:val="00905653"/>
    <w:rsid w:val="00905663"/>
    <w:rsid w:val="00905726"/>
    <w:rsid w:val="009057F7"/>
    <w:rsid w:val="00905947"/>
    <w:rsid w:val="009059B5"/>
    <w:rsid w:val="009059E4"/>
    <w:rsid w:val="00905ADA"/>
    <w:rsid w:val="00905B19"/>
    <w:rsid w:val="00905B99"/>
    <w:rsid w:val="00905C3C"/>
    <w:rsid w:val="00905CFE"/>
    <w:rsid w:val="00905E57"/>
    <w:rsid w:val="00905F7C"/>
    <w:rsid w:val="00905FA8"/>
    <w:rsid w:val="009060B3"/>
    <w:rsid w:val="009060C7"/>
    <w:rsid w:val="00906199"/>
    <w:rsid w:val="009061FA"/>
    <w:rsid w:val="009063C7"/>
    <w:rsid w:val="00906423"/>
    <w:rsid w:val="009064BA"/>
    <w:rsid w:val="0090664D"/>
    <w:rsid w:val="00906676"/>
    <w:rsid w:val="009066E5"/>
    <w:rsid w:val="00906872"/>
    <w:rsid w:val="00906885"/>
    <w:rsid w:val="009069E0"/>
    <w:rsid w:val="00906A1B"/>
    <w:rsid w:val="00906A7A"/>
    <w:rsid w:val="00906B5B"/>
    <w:rsid w:val="00906DD6"/>
    <w:rsid w:val="00906E65"/>
    <w:rsid w:val="0090706A"/>
    <w:rsid w:val="009071EC"/>
    <w:rsid w:val="009072C2"/>
    <w:rsid w:val="00907300"/>
    <w:rsid w:val="00907326"/>
    <w:rsid w:val="0090732A"/>
    <w:rsid w:val="009074D1"/>
    <w:rsid w:val="00907528"/>
    <w:rsid w:val="009075BD"/>
    <w:rsid w:val="00907819"/>
    <w:rsid w:val="00907853"/>
    <w:rsid w:val="00907875"/>
    <w:rsid w:val="00907879"/>
    <w:rsid w:val="00907A88"/>
    <w:rsid w:val="00907B86"/>
    <w:rsid w:val="00907BEA"/>
    <w:rsid w:val="00907C08"/>
    <w:rsid w:val="00907C27"/>
    <w:rsid w:val="00907D6B"/>
    <w:rsid w:val="00907D9C"/>
    <w:rsid w:val="00907DC6"/>
    <w:rsid w:val="00907DFF"/>
    <w:rsid w:val="00907E44"/>
    <w:rsid w:val="00907EC6"/>
    <w:rsid w:val="00907F0E"/>
    <w:rsid w:val="0091009F"/>
    <w:rsid w:val="0091017E"/>
    <w:rsid w:val="009101B0"/>
    <w:rsid w:val="009101DB"/>
    <w:rsid w:val="009101DF"/>
    <w:rsid w:val="00910260"/>
    <w:rsid w:val="009102C4"/>
    <w:rsid w:val="0091033B"/>
    <w:rsid w:val="0091038F"/>
    <w:rsid w:val="009105A8"/>
    <w:rsid w:val="009105EC"/>
    <w:rsid w:val="0091064A"/>
    <w:rsid w:val="009106FA"/>
    <w:rsid w:val="009107EA"/>
    <w:rsid w:val="00910851"/>
    <w:rsid w:val="0091088F"/>
    <w:rsid w:val="009108AF"/>
    <w:rsid w:val="0091090A"/>
    <w:rsid w:val="00910951"/>
    <w:rsid w:val="0091096E"/>
    <w:rsid w:val="009109EE"/>
    <w:rsid w:val="00910AAF"/>
    <w:rsid w:val="00910BB2"/>
    <w:rsid w:val="00910C96"/>
    <w:rsid w:val="00910D66"/>
    <w:rsid w:val="00910E44"/>
    <w:rsid w:val="00910FB1"/>
    <w:rsid w:val="00910FC2"/>
    <w:rsid w:val="00911015"/>
    <w:rsid w:val="00911462"/>
    <w:rsid w:val="00911536"/>
    <w:rsid w:val="009115E3"/>
    <w:rsid w:val="009117D1"/>
    <w:rsid w:val="009119CA"/>
    <w:rsid w:val="009119F5"/>
    <w:rsid w:val="00911ACB"/>
    <w:rsid w:val="00911B1B"/>
    <w:rsid w:val="00911C02"/>
    <w:rsid w:val="00911D13"/>
    <w:rsid w:val="0091202B"/>
    <w:rsid w:val="009120AF"/>
    <w:rsid w:val="009120BF"/>
    <w:rsid w:val="00912103"/>
    <w:rsid w:val="0091213E"/>
    <w:rsid w:val="00912360"/>
    <w:rsid w:val="009123A1"/>
    <w:rsid w:val="0091242E"/>
    <w:rsid w:val="009124CC"/>
    <w:rsid w:val="00912521"/>
    <w:rsid w:val="0091260D"/>
    <w:rsid w:val="009126A5"/>
    <w:rsid w:val="0091296F"/>
    <w:rsid w:val="00912B8B"/>
    <w:rsid w:val="00912C32"/>
    <w:rsid w:val="00912C6E"/>
    <w:rsid w:val="00912D41"/>
    <w:rsid w:val="00912E2C"/>
    <w:rsid w:val="00912E77"/>
    <w:rsid w:val="00912EBE"/>
    <w:rsid w:val="009130DC"/>
    <w:rsid w:val="009132E3"/>
    <w:rsid w:val="009132F7"/>
    <w:rsid w:val="009132FF"/>
    <w:rsid w:val="00913545"/>
    <w:rsid w:val="009135F3"/>
    <w:rsid w:val="0091363B"/>
    <w:rsid w:val="00913657"/>
    <w:rsid w:val="00913677"/>
    <w:rsid w:val="00913791"/>
    <w:rsid w:val="009137A4"/>
    <w:rsid w:val="009137F2"/>
    <w:rsid w:val="0091398F"/>
    <w:rsid w:val="00913992"/>
    <w:rsid w:val="00913B7F"/>
    <w:rsid w:val="00913BAC"/>
    <w:rsid w:val="00913BFC"/>
    <w:rsid w:val="00913CFD"/>
    <w:rsid w:val="00913D25"/>
    <w:rsid w:val="00913EE7"/>
    <w:rsid w:val="00913F52"/>
    <w:rsid w:val="00913FCF"/>
    <w:rsid w:val="00914099"/>
    <w:rsid w:val="00914211"/>
    <w:rsid w:val="00914263"/>
    <w:rsid w:val="009142C1"/>
    <w:rsid w:val="009143FC"/>
    <w:rsid w:val="009144DC"/>
    <w:rsid w:val="00914568"/>
    <w:rsid w:val="00914570"/>
    <w:rsid w:val="009145EE"/>
    <w:rsid w:val="0091462F"/>
    <w:rsid w:val="00914638"/>
    <w:rsid w:val="00914649"/>
    <w:rsid w:val="009147A7"/>
    <w:rsid w:val="009147D5"/>
    <w:rsid w:val="0091491D"/>
    <w:rsid w:val="009149E5"/>
    <w:rsid w:val="00914B9E"/>
    <w:rsid w:val="00914D6A"/>
    <w:rsid w:val="00914E4E"/>
    <w:rsid w:val="00914E7A"/>
    <w:rsid w:val="00914F45"/>
    <w:rsid w:val="00914FB6"/>
    <w:rsid w:val="00915054"/>
    <w:rsid w:val="00915115"/>
    <w:rsid w:val="00915240"/>
    <w:rsid w:val="00915250"/>
    <w:rsid w:val="0091533F"/>
    <w:rsid w:val="0091562A"/>
    <w:rsid w:val="009156A9"/>
    <w:rsid w:val="009156DC"/>
    <w:rsid w:val="009156F1"/>
    <w:rsid w:val="0091572D"/>
    <w:rsid w:val="009157AD"/>
    <w:rsid w:val="00915848"/>
    <w:rsid w:val="0091585C"/>
    <w:rsid w:val="0091591E"/>
    <w:rsid w:val="0091595B"/>
    <w:rsid w:val="00915BC3"/>
    <w:rsid w:val="00915C0B"/>
    <w:rsid w:val="00915C25"/>
    <w:rsid w:val="00915C7C"/>
    <w:rsid w:val="00915D8C"/>
    <w:rsid w:val="00915FC0"/>
    <w:rsid w:val="00916011"/>
    <w:rsid w:val="009161B8"/>
    <w:rsid w:val="009163CA"/>
    <w:rsid w:val="0091645D"/>
    <w:rsid w:val="00916479"/>
    <w:rsid w:val="009164BE"/>
    <w:rsid w:val="009165AA"/>
    <w:rsid w:val="00916705"/>
    <w:rsid w:val="00916737"/>
    <w:rsid w:val="00916749"/>
    <w:rsid w:val="00916829"/>
    <w:rsid w:val="00916917"/>
    <w:rsid w:val="00916948"/>
    <w:rsid w:val="009169E5"/>
    <w:rsid w:val="00916B38"/>
    <w:rsid w:val="00916B46"/>
    <w:rsid w:val="00916B7C"/>
    <w:rsid w:val="00916B98"/>
    <w:rsid w:val="00916C1D"/>
    <w:rsid w:val="00916D2D"/>
    <w:rsid w:val="00916D82"/>
    <w:rsid w:val="00916DD9"/>
    <w:rsid w:val="00916E48"/>
    <w:rsid w:val="00916E56"/>
    <w:rsid w:val="00916EB1"/>
    <w:rsid w:val="00916F5A"/>
    <w:rsid w:val="00917052"/>
    <w:rsid w:val="009170A5"/>
    <w:rsid w:val="0091711B"/>
    <w:rsid w:val="00917142"/>
    <w:rsid w:val="009171CB"/>
    <w:rsid w:val="00917283"/>
    <w:rsid w:val="00917316"/>
    <w:rsid w:val="0091762C"/>
    <w:rsid w:val="00917698"/>
    <w:rsid w:val="009176B7"/>
    <w:rsid w:val="00917749"/>
    <w:rsid w:val="00917788"/>
    <w:rsid w:val="009177B2"/>
    <w:rsid w:val="009178CC"/>
    <w:rsid w:val="00917A25"/>
    <w:rsid w:val="00917A5B"/>
    <w:rsid w:val="00917A67"/>
    <w:rsid w:val="00917A72"/>
    <w:rsid w:val="00917AFE"/>
    <w:rsid w:val="00917B95"/>
    <w:rsid w:val="00917BB5"/>
    <w:rsid w:val="00917D0D"/>
    <w:rsid w:val="00917D60"/>
    <w:rsid w:val="00917E0D"/>
    <w:rsid w:val="00917E67"/>
    <w:rsid w:val="0092005C"/>
    <w:rsid w:val="009201CA"/>
    <w:rsid w:val="00920368"/>
    <w:rsid w:val="009203D6"/>
    <w:rsid w:val="009203FC"/>
    <w:rsid w:val="009206AE"/>
    <w:rsid w:val="0092089A"/>
    <w:rsid w:val="00920A1D"/>
    <w:rsid w:val="00920AD2"/>
    <w:rsid w:val="00920B23"/>
    <w:rsid w:val="00920B34"/>
    <w:rsid w:val="00920D38"/>
    <w:rsid w:val="00920DC5"/>
    <w:rsid w:val="00920E7C"/>
    <w:rsid w:val="00920E9C"/>
    <w:rsid w:val="00920EA2"/>
    <w:rsid w:val="00920EB1"/>
    <w:rsid w:val="00921040"/>
    <w:rsid w:val="00921423"/>
    <w:rsid w:val="009216E7"/>
    <w:rsid w:val="00921803"/>
    <w:rsid w:val="0092193C"/>
    <w:rsid w:val="00921982"/>
    <w:rsid w:val="00921A4C"/>
    <w:rsid w:val="00921AB6"/>
    <w:rsid w:val="00921C8E"/>
    <w:rsid w:val="00921D1B"/>
    <w:rsid w:val="00921E50"/>
    <w:rsid w:val="00921E5D"/>
    <w:rsid w:val="009220EF"/>
    <w:rsid w:val="009222B8"/>
    <w:rsid w:val="0092230E"/>
    <w:rsid w:val="00922426"/>
    <w:rsid w:val="0092244C"/>
    <w:rsid w:val="0092244F"/>
    <w:rsid w:val="009226B4"/>
    <w:rsid w:val="0092276D"/>
    <w:rsid w:val="0092279F"/>
    <w:rsid w:val="00922982"/>
    <w:rsid w:val="00922B4A"/>
    <w:rsid w:val="00922B6A"/>
    <w:rsid w:val="00922D00"/>
    <w:rsid w:val="00922EDB"/>
    <w:rsid w:val="00922EF5"/>
    <w:rsid w:val="0092304F"/>
    <w:rsid w:val="00923086"/>
    <w:rsid w:val="009230EF"/>
    <w:rsid w:val="00923232"/>
    <w:rsid w:val="0092324F"/>
    <w:rsid w:val="00923278"/>
    <w:rsid w:val="0092328F"/>
    <w:rsid w:val="00923477"/>
    <w:rsid w:val="009234E6"/>
    <w:rsid w:val="009234E8"/>
    <w:rsid w:val="0092372C"/>
    <w:rsid w:val="00923A29"/>
    <w:rsid w:val="00923A9B"/>
    <w:rsid w:val="00923B7A"/>
    <w:rsid w:val="00923BAF"/>
    <w:rsid w:val="00923D67"/>
    <w:rsid w:val="00923E09"/>
    <w:rsid w:val="00923E74"/>
    <w:rsid w:val="00923ED3"/>
    <w:rsid w:val="00923F5A"/>
    <w:rsid w:val="00924159"/>
    <w:rsid w:val="0092443C"/>
    <w:rsid w:val="00924498"/>
    <w:rsid w:val="00924576"/>
    <w:rsid w:val="0092467F"/>
    <w:rsid w:val="00924680"/>
    <w:rsid w:val="009247AC"/>
    <w:rsid w:val="009247C9"/>
    <w:rsid w:val="00924854"/>
    <w:rsid w:val="009248A7"/>
    <w:rsid w:val="009248D8"/>
    <w:rsid w:val="0092491C"/>
    <w:rsid w:val="00924A4E"/>
    <w:rsid w:val="00924CE9"/>
    <w:rsid w:val="00924D2A"/>
    <w:rsid w:val="00924ED3"/>
    <w:rsid w:val="0092500E"/>
    <w:rsid w:val="00925023"/>
    <w:rsid w:val="0092529C"/>
    <w:rsid w:val="00925335"/>
    <w:rsid w:val="0092535B"/>
    <w:rsid w:val="009253DB"/>
    <w:rsid w:val="00925558"/>
    <w:rsid w:val="009255C1"/>
    <w:rsid w:val="009255E0"/>
    <w:rsid w:val="00925679"/>
    <w:rsid w:val="009256B6"/>
    <w:rsid w:val="009256D4"/>
    <w:rsid w:val="00925826"/>
    <w:rsid w:val="0092594B"/>
    <w:rsid w:val="009259CF"/>
    <w:rsid w:val="009259E6"/>
    <w:rsid w:val="00925C03"/>
    <w:rsid w:val="00925E57"/>
    <w:rsid w:val="00925E66"/>
    <w:rsid w:val="00925EDF"/>
    <w:rsid w:val="00925F4F"/>
    <w:rsid w:val="00925F76"/>
    <w:rsid w:val="00925FEC"/>
    <w:rsid w:val="00926026"/>
    <w:rsid w:val="0092609A"/>
    <w:rsid w:val="009260D9"/>
    <w:rsid w:val="009260E0"/>
    <w:rsid w:val="009261AA"/>
    <w:rsid w:val="0092621F"/>
    <w:rsid w:val="00926284"/>
    <w:rsid w:val="009262AC"/>
    <w:rsid w:val="0092637F"/>
    <w:rsid w:val="009263E7"/>
    <w:rsid w:val="009263F4"/>
    <w:rsid w:val="009264DB"/>
    <w:rsid w:val="009265D6"/>
    <w:rsid w:val="00926690"/>
    <w:rsid w:val="0092669E"/>
    <w:rsid w:val="00926727"/>
    <w:rsid w:val="009267E0"/>
    <w:rsid w:val="009267FF"/>
    <w:rsid w:val="00926888"/>
    <w:rsid w:val="009268EB"/>
    <w:rsid w:val="00926A6D"/>
    <w:rsid w:val="00926AB4"/>
    <w:rsid w:val="00926B7D"/>
    <w:rsid w:val="00926BE4"/>
    <w:rsid w:val="00926CC5"/>
    <w:rsid w:val="0092701B"/>
    <w:rsid w:val="00927197"/>
    <w:rsid w:val="009273E0"/>
    <w:rsid w:val="00927585"/>
    <w:rsid w:val="00927636"/>
    <w:rsid w:val="0092767A"/>
    <w:rsid w:val="009276AD"/>
    <w:rsid w:val="0092783C"/>
    <w:rsid w:val="0092786A"/>
    <w:rsid w:val="0092786E"/>
    <w:rsid w:val="009278ED"/>
    <w:rsid w:val="00927D36"/>
    <w:rsid w:val="00927D51"/>
    <w:rsid w:val="00927D58"/>
    <w:rsid w:val="00927E3A"/>
    <w:rsid w:val="00927F05"/>
    <w:rsid w:val="00927F32"/>
    <w:rsid w:val="00927FFC"/>
    <w:rsid w:val="0093014A"/>
    <w:rsid w:val="00930172"/>
    <w:rsid w:val="00930173"/>
    <w:rsid w:val="00930314"/>
    <w:rsid w:val="00930684"/>
    <w:rsid w:val="009306A1"/>
    <w:rsid w:val="00930782"/>
    <w:rsid w:val="009307C2"/>
    <w:rsid w:val="0093091D"/>
    <w:rsid w:val="00930921"/>
    <w:rsid w:val="00930984"/>
    <w:rsid w:val="00930994"/>
    <w:rsid w:val="00930ACD"/>
    <w:rsid w:val="00930B95"/>
    <w:rsid w:val="00930BE4"/>
    <w:rsid w:val="00930C8C"/>
    <w:rsid w:val="00930DA7"/>
    <w:rsid w:val="00930DFA"/>
    <w:rsid w:val="00930E3A"/>
    <w:rsid w:val="00930E96"/>
    <w:rsid w:val="0093138D"/>
    <w:rsid w:val="009313F8"/>
    <w:rsid w:val="00931482"/>
    <w:rsid w:val="009315ED"/>
    <w:rsid w:val="00931720"/>
    <w:rsid w:val="009317F4"/>
    <w:rsid w:val="0093187E"/>
    <w:rsid w:val="009318CE"/>
    <w:rsid w:val="00931937"/>
    <w:rsid w:val="00931949"/>
    <w:rsid w:val="00931A7A"/>
    <w:rsid w:val="00931B1A"/>
    <w:rsid w:val="00931B63"/>
    <w:rsid w:val="00931BC0"/>
    <w:rsid w:val="00931C06"/>
    <w:rsid w:val="00931C59"/>
    <w:rsid w:val="00931CA0"/>
    <w:rsid w:val="00931D5F"/>
    <w:rsid w:val="00931E7F"/>
    <w:rsid w:val="00931E8A"/>
    <w:rsid w:val="00931EB7"/>
    <w:rsid w:val="00931FCE"/>
    <w:rsid w:val="0093226D"/>
    <w:rsid w:val="009323D0"/>
    <w:rsid w:val="009325C4"/>
    <w:rsid w:val="009325DE"/>
    <w:rsid w:val="009325F6"/>
    <w:rsid w:val="00932700"/>
    <w:rsid w:val="00932813"/>
    <w:rsid w:val="009329A2"/>
    <w:rsid w:val="00932A51"/>
    <w:rsid w:val="00932BE0"/>
    <w:rsid w:val="00932C05"/>
    <w:rsid w:val="00932C4D"/>
    <w:rsid w:val="00932D06"/>
    <w:rsid w:val="00932E7F"/>
    <w:rsid w:val="00933079"/>
    <w:rsid w:val="0093316E"/>
    <w:rsid w:val="009333CE"/>
    <w:rsid w:val="009334AB"/>
    <w:rsid w:val="009334C9"/>
    <w:rsid w:val="009334D7"/>
    <w:rsid w:val="0093359D"/>
    <w:rsid w:val="0093393C"/>
    <w:rsid w:val="009339A3"/>
    <w:rsid w:val="009339A5"/>
    <w:rsid w:val="00933A7D"/>
    <w:rsid w:val="00933AC7"/>
    <w:rsid w:val="00933BC3"/>
    <w:rsid w:val="00933BC7"/>
    <w:rsid w:val="00933DE8"/>
    <w:rsid w:val="00933E11"/>
    <w:rsid w:val="00933E82"/>
    <w:rsid w:val="00933EDA"/>
    <w:rsid w:val="00934100"/>
    <w:rsid w:val="0093423C"/>
    <w:rsid w:val="0093425B"/>
    <w:rsid w:val="00934291"/>
    <w:rsid w:val="009342AB"/>
    <w:rsid w:val="009343D6"/>
    <w:rsid w:val="00934457"/>
    <w:rsid w:val="00934472"/>
    <w:rsid w:val="0093454D"/>
    <w:rsid w:val="00934600"/>
    <w:rsid w:val="00934748"/>
    <w:rsid w:val="0093493C"/>
    <w:rsid w:val="00934B77"/>
    <w:rsid w:val="00934C11"/>
    <w:rsid w:val="00934C80"/>
    <w:rsid w:val="00934D5B"/>
    <w:rsid w:val="00934E28"/>
    <w:rsid w:val="00934E89"/>
    <w:rsid w:val="00934F1D"/>
    <w:rsid w:val="00934F55"/>
    <w:rsid w:val="00935144"/>
    <w:rsid w:val="00935150"/>
    <w:rsid w:val="009351BA"/>
    <w:rsid w:val="009351F8"/>
    <w:rsid w:val="0093526E"/>
    <w:rsid w:val="0093533F"/>
    <w:rsid w:val="009354B1"/>
    <w:rsid w:val="00935524"/>
    <w:rsid w:val="00935781"/>
    <w:rsid w:val="009357E9"/>
    <w:rsid w:val="00935868"/>
    <w:rsid w:val="009359BD"/>
    <w:rsid w:val="00935BCE"/>
    <w:rsid w:val="00935DD8"/>
    <w:rsid w:val="00935ED6"/>
    <w:rsid w:val="00936206"/>
    <w:rsid w:val="00936420"/>
    <w:rsid w:val="009364D0"/>
    <w:rsid w:val="009366EF"/>
    <w:rsid w:val="009367DE"/>
    <w:rsid w:val="00936C26"/>
    <w:rsid w:val="00936C28"/>
    <w:rsid w:val="00936C57"/>
    <w:rsid w:val="00936D25"/>
    <w:rsid w:val="00936ED1"/>
    <w:rsid w:val="00936EF6"/>
    <w:rsid w:val="0093700D"/>
    <w:rsid w:val="0093704D"/>
    <w:rsid w:val="00937058"/>
    <w:rsid w:val="009370EF"/>
    <w:rsid w:val="0093720B"/>
    <w:rsid w:val="0093741E"/>
    <w:rsid w:val="00937431"/>
    <w:rsid w:val="00937452"/>
    <w:rsid w:val="009374A0"/>
    <w:rsid w:val="0093762B"/>
    <w:rsid w:val="00937638"/>
    <w:rsid w:val="009376B4"/>
    <w:rsid w:val="00937826"/>
    <w:rsid w:val="0093786D"/>
    <w:rsid w:val="00937930"/>
    <w:rsid w:val="009379A0"/>
    <w:rsid w:val="009379DE"/>
    <w:rsid w:val="00937A97"/>
    <w:rsid w:val="00937ABA"/>
    <w:rsid w:val="00937B57"/>
    <w:rsid w:val="00937BE0"/>
    <w:rsid w:val="00937CC9"/>
    <w:rsid w:val="00937DB4"/>
    <w:rsid w:val="00937DE1"/>
    <w:rsid w:val="00937E45"/>
    <w:rsid w:val="00937E7B"/>
    <w:rsid w:val="00940062"/>
    <w:rsid w:val="009400B7"/>
    <w:rsid w:val="0094026A"/>
    <w:rsid w:val="00940521"/>
    <w:rsid w:val="00940594"/>
    <w:rsid w:val="00940671"/>
    <w:rsid w:val="009406F1"/>
    <w:rsid w:val="009407C4"/>
    <w:rsid w:val="00940823"/>
    <w:rsid w:val="009408E3"/>
    <w:rsid w:val="009409C2"/>
    <w:rsid w:val="00940A29"/>
    <w:rsid w:val="00940BE5"/>
    <w:rsid w:val="00940C00"/>
    <w:rsid w:val="00940C8C"/>
    <w:rsid w:val="00940CED"/>
    <w:rsid w:val="00940D20"/>
    <w:rsid w:val="00940E0F"/>
    <w:rsid w:val="00940F45"/>
    <w:rsid w:val="00940FCD"/>
    <w:rsid w:val="00940FE9"/>
    <w:rsid w:val="00941032"/>
    <w:rsid w:val="009410FC"/>
    <w:rsid w:val="0094120C"/>
    <w:rsid w:val="0094129A"/>
    <w:rsid w:val="0094150A"/>
    <w:rsid w:val="00941951"/>
    <w:rsid w:val="009419F3"/>
    <w:rsid w:val="00941B4E"/>
    <w:rsid w:val="00941B5B"/>
    <w:rsid w:val="00941C6D"/>
    <w:rsid w:val="00941CA7"/>
    <w:rsid w:val="00941CD0"/>
    <w:rsid w:val="00941D6A"/>
    <w:rsid w:val="00941E38"/>
    <w:rsid w:val="0094204A"/>
    <w:rsid w:val="00942429"/>
    <w:rsid w:val="00942448"/>
    <w:rsid w:val="0094245F"/>
    <w:rsid w:val="0094253C"/>
    <w:rsid w:val="00942561"/>
    <w:rsid w:val="0094266F"/>
    <w:rsid w:val="0094276B"/>
    <w:rsid w:val="009428EA"/>
    <w:rsid w:val="009428EB"/>
    <w:rsid w:val="00942904"/>
    <w:rsid w:val="00942980"/>
    <w:rsid w:val="009429B9"/>
    <w:rsid w:val="009429FE"/>
    <w:rsid w:val="00942A15"/>
    <w:rsid w:val="00942BF3"/>
    <w:rsid w:val="00942C39"/>
    <w:rsid w:val="00942DCA"/>
    <w:rsid w:val="00942EC7"/>
    <w:rsid w:val="009432C6"/>
    <w:rsid w:val="00943333"/>
    <w:rsid w:val="0094333E"/>
    <w:rsid w:val="0094342B"/>
    <w:rsid w:val="0094347F"/>
    <w:rsid w:val="0094349F"/>
    <w:rsid w:val="0094360B"/>
    <w:rsid w:val="0094360D"/>
    <w:rsid w:val="00943628"/>
    <w:rsid w:val="00943668"/>
    <w:rsid w:val="00943691"/>
    <w:rsid w:val="009438E6"/>
    <w:rsid w:val="009439BF"/>
    <w:rsid w:val="00943A39"/>
    <w:rsid w:val="00943B58"/>
    <w:rsid w:val="00943BA5"/>
    <w:rsid w:val="00943BB4"/>
    <w:rsid w:val="00943BF1"/>
    <w:rsid w:val="00943CAD"/>
    <w:rsid w:val="00943E3D"/>
    <w:rsid w:val="00944071"/>
    <w:rsid w:val="009440D8"/>
    <w:rsid w:val="009441F0"/>
    <w:rsid w:val="00944473"/>
    <w:rsid w:val="00944575"/>
    <w:rsid w:val="0094474D"/>
    <w:rsid w:val="00944BCA"/>
    <w:rsid w:val="00944BF4"/>
    <w:rsid w:val="00944C8D"/>
    <w:rsid w:val="00944C96"/>
    <w:rsid w:val="00944CC8"/>
    <w:rsid w:val="00944D9B"/>
    <w:rsid w:val="00944E49"/>
    <w:rsid w:val="00944F4A"/>
    <w:rsid w:val="00944F8B"/>
    <w:rsid w:val="00944FDC"/>
    <w:rsid w:val="0094500F"/>
    <w:rsid w:val="00945031"/>
    <w:rsid w:val="00945089"/>
    <w:rsid w:val="009450E3"/>
    <w:rsid w:val="0094513B"/>
    <w:rsid w:val="0094516E"/>
    <w:rsid w:val="00945193"/>
    <w:rsid w:val="009451C8"/>
    <w:rsid w:val="009451DB"/>
    <w:rsid w:val="00945256"/>
    <w:rsid w:val="0094546E"/>
    <w:rsid w:val="0094547E"/>
    <w:rsid w:val="009455A9"/>
    <w:rsid w:val="00945747"/>
    <w:rsid w:val="00945775"/>
    <w:rsid w:val="00945783"/>
    <w:rsid w:val="009457AE"/>
    <w:rsid w:val="009457D1"/>
    <w:rsid w:val="00945899"/>
    <w:rsid w:val="009458BD"/>
    <w:rsid w:val="0094591D"/>
    <w:rsid w:val="009459F9"/>
    <w:rsid w:val="00945AE6"/>
    <w:rsid w:val="00945B0A"/>
    <w:rsid w:val="00945C48"/>
    <w:rsid w:val="00945C82"/>
    <w:rsid w:val="00945C93"/>
    <w:rsid w:val="00945CA2"/>
    <w:rsid w:val="00945D1B"/>
    <w:rsid w:val="00945D35"/>
    <w:rsid w:val="00945F15"/>
    <w:rsid w:val="00946004"/>
    <w:rsid w:val="0094608E"/>
    <w:rsid w:val="009460BB"/>
    <w:rsid w:val="0094614F"/>
    <w:rsid w:val="00946163"/>
    <w:rsid w:val="009461F6"/>
    <w:rsid w:val="009462C2"/>
    <w:rsid w:val="009463B5"/>
    <w:rsid w:val="009463CA"/>
    <w:rsid w:val="009463E2"/>
    <w:rsid w:val="00946557"/>
    <w:rsid w:val="0094655C"/>
    <w:rsid w:val="00946640"/>
    <w:rsid w:val="00946845"/>
    <w:rsid w:val="00946B16"/>
    <w:rsid w:val="00946C6A"/>
    <w:rsid w:val="00946D01"/>
    <w:rsid w:val="00946DAE"/>
    <w:rsid w:val="00946E86"/>
    <w:rsid w:val="00946F08"/>
    <w:rsid w:val="00947061"/>
    <w:rsid w:val="00947080"/>
    <w:rsid w:val="009471E9"/>
    <w:rsid w:val="009472DE"/>
    <w:rsid w:val="00947315"/>
    <w:rsid w:val="0094746B"/>
    <w:rsid w:val="00947476"/>
    <w:rsid w:val="0094758B"/>
    <w:rsid w:val="00947651"/>
    <w:rsid w:val="009477AC"/>
    <w:rsid w:val="00947826"/>
    <w:rsid w:val="00947848"/>
    <w:rsid w:val="009478AF"/>
    <w:rsid w:val="009479CF"/>
    <w:rsid w:val="009479D7"/>
    <w:rsid w:val="00947CB6"/>
    <w:rsid w:val="00947E92"/>
    <w:rsid w:val="00950049"/>
    <w:rsid w:val="0095007E"/>
    <w:rsid w:val="009500F2"/>
    <w:rsid w:val="009502D1"/>
    <w:rsid w:val="0095067F"/>
    <w:rsid w:val="009506DB"/>
    <w:rsid w:val="00950753"/>
    <w:rsid w:val="009507D1"/>
    <w:rsid w:val="009507DC"/>
    <w:rsid w:val="00950950"/>
    <w:rsid w:val="00950ACD"/>
    <w:rsid w:val="00950B17"/>
    <w:rsid w:val="00950DFB"/>
    <w:rsid w:val="00950E22"/>
    <w:rsid w:val="00950F80"/>
    <w:rsid w:val="00950FE8"/>
    <w:rsid w:val="00951078"/>
    <w:rsid w:val="00951273"/>
    <w:rsid w:val="00951363"/>
    <w:rsid w:val="0095137E"/>
    <w:rsid w:val="009513EC"/>
    <w:rsid w:val="00951475"/>
    <w:rsid w:val="009514B8"/>
    <w:rsid w:val="00951515"/>
    <w:rsid w:val="009515B5"/>
    <w:rsid w:val="009515DE"/>
    <w:rsid w:val="00951625"/>
    <w:rsid w:val="00951677"/>
    <w:rsid w:val="00951679"/>
    <w:rsid w:val="009517AF"/>
    <w:rsid w:val="009517E9"/>
    <w:rsid w:val="009518D3"/>
    <w:rsid w:val="00951933"/>
    <w:rsid w:val="0095198B"/>
    <w:rsid w:val="00951AD0"/>
    <w:rsid w:val="00951B43"/>
    <w:rsid w:val="00951C59"/>
    <w:rsid w:val="00951C98"/>
    <w:rsid w:val="00951CA3"/>
    <w:rsid w:val="00951EBC"/>
    <w:rsid w:val="00951F8D"/>
    <w:rsid w:val="00952024"/>
    <w:rsid w:val="009520E9"/>
    <w:rsid w:val="009520F2"/>
    <w:rsid w:val="00952151"/>
    <w:rsid w:val="0095216E"/>
    <w:rsid w:val="00952259"/>
    <w:rsid w:val="00952263"/>
    <w:rsid w:val="00952465"/>
    <w:rsid w:val="009524F5"/>
    <w:rsid w:val="00952575"/>
    <w:rsid w:val="009525A2"/>
    <w:rsid w:val="009526D3"/>
    <w:rsid w:val="0095276D"/>
    <w:rsid w:val="009527AA"/>
    <w:rsid w:val="0095290D"/>
    <w:rsid w:val="00952938"/>
    <w:rsid w:val="009529F2"/>
    <w:rsid w:val="00952AE1"/>
    <w:rsid w:val="00952BC4"/>
    <w:rsid w:val="00952BF7"/>
    <w:rsid w:val="00952DB7"/>
    <w:rsid w:val="00952E92"/>
    <w:rsid w:val="00952EC6"/>
    <w:rsid w:val="00952F06"/>
    <w:rsid w:val="00952F73"/>
    <w:rsid w:val="00952F78"/>
    <w:rsid w:val="00953058"/>
    <w:rsid w:val="0095311F"/>
    <w:rsid w:val="0095318B"/>
    <w:rsid w:val="0095322B"/>
    <w:rsid w:val="00953258"/>
    <w:rsid w:val="00953347"/>
    <w:rsid w:val="00953456"/>
    <w:rsid w:val="0095369C"/>
    <w:rsid w:val="009536F5"/>
    <w:rsid w:val="00953881"/>
    <w:rsid w:val="009538B7"/>
    <w:rsid w:val="009538BF"/>
    <w:rsid w:val="009538E4"/>
    <w:rsid w:val="00953908"/>
    <w:rsid w:val="00953995"/>
    <w:rsid w:val="009539AD"/>
    <w:rsid w:val="00953AE2"/>
    <w:rsid w:val="00953B06"/>
    <w:rsid w:val="00953B46"/>
    <w:rsid w:val="00953B98"/>
    <w:rsid w:val="00953CF2"/>
    <w:rsid w:val="00953D64"/>
    <w:rsid w:val="00953DC5"/>
    <w:rsid w:val="00953EB6"/>
    <w:rsid w:val="00953F66"/>
    <w:rsid w:val="00954043"/>
    <w:rsid w:val="0095408A"/>
    <w:rsid w:val="009540A8"/>
    <w:rsid w:val="009540C4"/>
    <w:rsid w:val="0095411F"/>
    <w:rsid w:val="00954170"/>
    <w:rsid w:val="0095420D"/>
    <w:rsid w:val="0095422D"/>
    <w:rsid w:val="00954352"/>
    <w:rsid w:val="00954379"/>
    <w:rsid w:val="0095437C"/>
    <w:rsid w:val="0095439C"/>
    <w:rsid w:val="0095442D"/>
    <w:rsid w:val="00954438"/>
    <w:rsid w:val="00954503"/>
    <w:rsid w:val="0095454B"/>
    <w:rsid w:val="0095459A"/>
    <w:rsid w:val="00954624"/>
    <w:rsid w:val="009546CC"/>
    <w:rsid w:val="009548B7"/>
    <w:rsid w:val="00954916"/>
    <w:rsid w:val="00954992"/>
    <w:rsid w:val="009549F1"/>
    <w:rsid w:val="0095500C"/>
    <w:rsid w:val="0095502B"/>
    <w:rsid w:val="0095505C"/>
    <w:rsid w:val="009550FD"/>
    <w:rsid w:val="009551DC"/>
    <w:rsid w:val="009551F6"/>
    <w:rsid w:val="00955239"/>
    <w:rsid w:val="0095537D"/>
    <w:rsid w:val="009557FC"/>
    <w:rsid w:val="00955AB5"/>
    <w:rsid w:val="00955B24"/>
    <w:rsid w:val="00955B47"/>
    <w:rsid w:val="00955B57"/>
    <w:rsid w:val="00955D23"/>
    <w:rsid w:val="00955D9C"/>
    <w:rsid w:val="00955E9F"/>
    <w:rsid w:val="00955EB9"/>
    <w:rsid w:val="00955F32"/>
    <w:rsid w:val="00955F96"/>
    <w:rsid w:val="00956092"/>
    <w:rsid w:val="00956195"/>
    <w:rsid w:val="009562DE"/>
    <w:rsid w:val="009562ED"/>
    <w:rsid w:val="00956537"/>
    <w:rsid w:val="0095663C"/>
    <w:rsid w:val="00956746"/>
    <w:rsid w:val="00956857"/>
    <w:rsid w:val="0095685A"/>
    <w:rsid w:val="0095688B"/>
    <w:rsid w:val="009568C3"/>
    <w:rsid w:val="0095695B"/>
    <w:rsid w:val="009569EE"/>
    <w:rsid w:val="00956A29"/>
    <w:rsid w:val="00956BD7"/>
    <w:rsid w:val="00956E9E"/>
    <w:rsid w:val="00956EB7"/>
    <w:rsid w:val="00957041"/>
    <w:rsid w:val="009570AA"/>
    <w:rsid w:val="0095710C"/>
    <w:rsid w:val="009571AD"/>
    <w:rsid w:val="009571FF"/>
    <w:rsid w:val="009573CB"/>
    <w:rsid w:val="00957453"/>
    <w:rsid w:val="00957517"/>
    <w:rsid w:val="00957525"/>
    <w:rsid w:val="009577E4"/>
    <w:rsid w:val="009577E9"/>
    <w:rsid w:val="00957943"/>
    <w:rsid w:val="00957968"/>
    <w:rsid w:val="009579AA"/>
    <w:rsid w:val="00957A07"/>
    <w:rsid w:val="00957A37"/>
    <w:rsid w:val="00957AB0"/>
    <w:rsid w:val="00957CB0"/>
    <w:rsid w:val="00957CF7"/>
    <w:rsid w:val="00957D23"/>
    <w:rsid w:val="00957E4B"/>
    <w:rsid w:val="00957FD6"/>
    <w:rsid w:val="00960072"/>
    <w:rsid w:val="00960086"/>
    <w:rsid w:val="0096018F"/>
    <w:rsid w:val="009601C7"/>
    <w:rsid w:val="0096024E"/>
    <w:rsid w:val="0096038B"/>
    <w:rsid w:val="00960405"/>
    <w:rsid w:val="00960420"/>
    <w:rsid w:val="00960520"/>
    <w:rsid w:val="00960594"/>
    <w:rsid w:val="009605C9"/>
    <w:rsid w:val="009605D2"/>
    <w:rsid w:val="009606B5"/>
    <w:rsid w:val="009606D6"/>
    <w:rsid w:val="0096075A"/>
    <w:rsid w:val="00960870"/>
    <w:rsid w:val="00960921"/>
    <w:rsid w:val="00960935"/>
    <w:rsid w:val="00960A3D"/>
    <w:rsid w:val="00960C4D"/>
    <w:rsid w:val="00960CBD"/>
    <w:rsid w:val="00960D00"/>
    <w:rsid w:val="00960DCF"/>
    <w:rsid w:val="00960E32"/>
    <w:rsid w:val="00960FD5"/>
    <w:rsid w:val="0096101B"/>
    <w:rsid w:val="00961092"/>
    <w:rsid w:val="009610A6"/>
    <w:rsid w:val="0096115B"/>
    <w:rsid w:val="00961231"/>
    <w:rsid w:val="00961278"/>
    <w:rsid w:val="0096127D"/>
    <w:rsid w:val="0096149A"/>
    <w:rsid w:val="0096160B"/>
    <w:rsid w:val="00961692"/>
    <w:rsid w:val="009617A2"/>
    <w:rsid w:val="0096184E"/>
    <w:rsid w:val="00961A12"/>
    <w:rsid w:val="00961B8C"/>
    <w:rsid w:val="00961C2D"/>
    <w:rsid w:val="00961C6C"/>
    <w:rsid w:val="00961CE4"/>
    <w:rsid w:val="00961D60"/>
    <w:rsid w:val="00961E71"/>
    <w:rsid w:val="00961F53"/>
    <w:rsid w:val="00961FA4"/>
    <w:rsid w:val="00962145"/>
    <w:rsid w:val="0096214C"/>
    <w:rsid w:val="0096224E"/>
    <w:rsid w:val="009622C6"/>
    <w:rsid w:val="00962397"/>
    <w:rsid w:val="009623B3"/>
    <w:rsid w:val="009623BD"/>
    <w:rsid w:val="009623F4"/>
    <w:rsid w:val="00962481"/>
    <w:rsid w:val="009624FF"/>
    <w:rsid w:val="009626D9"/>
    <w:rsid w:val="009626F6"/>
    <w:rsid w:val="009627BC"/>
    <w:rsid w:val="009627E6"/>
    <w:rsid w:val="00962879"/>
    <w:rsid w:val="0096299D"/>
    <w:rsid w:val="00962A64"/>
    <w:rsid w:val="00962A78"/>
    <w:rsid w:val="00962AD8"/>
    <w:rsid w:val="00962AFA"/>
    <w:rsid w:val="00962B23"/>
    <w:rsid w:val="00962C19"/>
    <w:rsid w:val="00962D4D"/>
    <w:rsid w:val="00962DAD"/>
    <w:rsid w:val="00962DF8"/>
    <w:rsid w:val="00962E14"/>
    <w:rsid w:val="00962E6C"/>
    <w:rsid w:val="009630F4"/>
    <w:rsid w:val="00963125"/>
    <w:rsid w:val="00963146"/>
    <w:rsid w:val="00963295"/>
    <w:rsid w:val="009632B4"/>
    <w:rsid w:val="0096338D"/>
    <w:rsid w:val="00963594"/>
    <w:rsid w:val="009635E6"/>
    <w:rsid w:val="009636E0"/>
    <w:rsid w:val="00963785"/>
    <w:rsid w:val="00963A50"/>
    <w:rsid w:val="00963A68"/>
    <w:rsid w:val="00963A7E"/>
    <w:rsid w:val="00963AE3"/>
    <w:rsid w:val="00963B69"/>
    <w:rsid w:val="00963C69"/>
    <w:rsid w:val="00963CD7"/>
    <w:rsid w:val="00963CEE"/>
    <w:rsid w:val="00963CFD"/>
    <w:rsid w:val="00963E97"/>
    <w:rsid w:val="00963F17"/>
    <w:rsid w:val="00964054"/>
    <w:rsid w:val="009640E5"/>
    <w:rsid w:val="009641B2"/>
    <w:rsid w:val="009641E0"/>
    <w:rsid w:val="0096429F"/>
    <w:rsid w:val="009643DE"/>
    <w:rsid w:val="009643FE"/>
    <w:rsid w:val="0096448F"/>
    <w:rsid w:val="009644A8"/>
    <w:rsid w:val="009645C8"/>
    <w:rsid w:val="009647D5"/>
    <w:rsid w:val="0096485F"/>
    <w:rsid w:val="009648A1"/>
    <w:rsid w:val="00964A1B"/>
    <w:rsid w:val="00964AF3"/>
    <w:rsid w:val="00964B57"/>
    <w:rsid w:val="00964BB4"/>
    <w:rsid w:val="00964C5F"/>
    <w:rsid w:val="00964DA8"/>
    <w:rsid w:val="00964DE2"/>
    <w:rsid w:val="00964E3D"/>
    <w:rsid w:val="00965033"/>
    <w:rsid w:val="00965074"/>
    <w:rsid w:val="009650C5"/>
    <w:rsid w:val="0096529C"/>
    <w:rsid w:val="009653F7"/>
    <w:rsid w:val="00965596"/>
    <w:rsid w:val="00965698"/>
    <w:rsid w:val="0096569E"/>
    <w:rsid w:val="00965724"/>
    <w:rsid w:val="00965756"/>
    <w:rsid w:val="0096577B"/>
    <w:rsid w:val="009657D3"/>
    <w:rsid w:val="0096580C"/>
    <w:rsid w:val="009658C6"/>
    <w:rsid w:val="009658C7"/>
    <w:rsid w:val="0096592D"/>
    <w:rsid w:val="0096596B"/>
    <w:rsid w:val="0096598B"/>
    <w:rsid w:val="009659B8"/>
    <w:rsid w:val="00965AE2"/>
    <w:rsid w:val="00965B42"/>
    <w:rsid w:val="00965C14"/>
    <w:rsid w:val="00965D0D"/>
    <w:rsid w:val="00965F05"/>
    <w:rsid w:val="00966036"/>
    <w:rsid w:val="0096604B"/>
    <w:rsid w:val="00966052"/>
    <w:rsid w:val="009660D0"/>
    <w:rsid w:val="009660DB"/>
    <w:rsid w:val="009660E6"/>
    <w:rsid w:val="009660FB"/>
    <w:rsid w:val="009661E8"/>
    <w:rsid w:val="0096623C"/>
    <w:rsid w:val="00966281"/>
    <w:rsid w:val="00966521"/>
    <w:rsid w:val="009666BD"/>
    <w:rsid w:val="009666D7"/>
    <w:rsid w:val="0096679C"/>
    <w:rsid w:val="009667B3"/>
    <w:rsid w:val="009668A4"/>
    <w:rsid w:val="009669E1"/>
    <w:rsid w:val="009669F1"/>
    <w:rsid w:val="00966A5B"/>
    <w:rsid w:val="00966B76"/>
    <w:rsid w:val="00966BEC"/>
    <w:rsid w:val="00966C5F"/>
    <w:rsid w:val="00966C68"/>
    <w:rsid w:val="00966C83"/>
    <w:rsid w:val="00966CB5"/>
    <w:rsid w:val="00966CC8"/>
    <w:rsid w:val="00966EAE"/>
    <w:rsid w:val="00966F94"/>
    <w:rsid w:val="00966FE9"/>
    <w:rsid w:val="00967046"/>
    <w:rsid w:val="009670BF"/>
    <w:rsid w:val="009670FF"/>
    <w:rsid w:val="00967120"/>
    <w:rsid w:val="00967147"/>
    <w:rsid w:val="009672C7"/>
    <w:rsid w:val="00967392"/>
    <w:rsid w:val="00967427"/>
    <w:rsid w:val="009674CC"/>
    <w:rsid w:val="0096753C"/>
    <w:rsid w:val="00967569"/>
    <w:rsid w:val="009675EE"/>
    <w:rsid w:val="00967622"/>
    <w:rsid w:val="0096762E"/>
    <w:rsid w:val="00967641"/>
    <w:rsid w:val="00967675"/>
    <w:rsid w:val="009676D7"/>
    <w:rsid w:val="00967726"/>
    <w:rsid w:val="009677CC"/>
    <w:rsid w:val="00967920"/>
    <w:rsid w:val="00967927"/>
    <w:rsid w:val="00967A56"/>
    <w:rsid w:val="00967B9B"/>
    <w:rsid w:val="00967C0A"/>
    <w:rsid w:val="00967D96"/>
    <w:rsid w:val="00967DDC"/>
    <w:rsid w:val="00967E6C"/>
    <w:rsid w:val="00967EDD"/>
    <w:rsid w:val="0097013C"/>
    <w:rsid w:val="009701F5"/>
    <w:rsid w:val="009703D6"/>
    <w:rsid w:val="00970409"/>
    <w:rsid w:val="0097043B"/>
    <w:rsid w:val="009704F2"/>
    <w:rsid w:val="009705F4"/>
    <w:rsid w:val="00970615"/>
    <w:rsid w:val="00970735"/>
    <w:rsid w:val="00970773"/>
    <w:rsid w:val="0097078A"/>
    <w:rsid w:val="00970913"/>
    <w:rsid w:val="00970B8E"/>
    <w:rsid w:val="00970B93"/>
    <w:rsid w:val="00970D2F"/>
    <w:rsid w:val="00970D58"/>
    <w:rsid w:val="00970D78"/>
    <w:rsid w:val="00970EE2"/>
    <w:rsid w:val="00970F98"/>
    <w:rsid w:val="00970FB2"/>
    <w:rsid w:val="00971031"/>
    <w:rsid w:val="00971112"/>
    <w:rsid w:val="00971148"/>
    <w:rsid w:val="00971251"/>
    <w:rsid w:val="009712A4"/>
    <w:rsid w:val="009715B7"/>
    <w:rsid w:val="009715C1"/>
    <w:rsid w:val="00971605"/>
    <w:rsid w:val="009716D8"/>
    <w:rsid w:val="00971762"/>
    <w:rsid w:val="00971895"/>
    <w:rsid w:val="009719BA"/>
    <w:rsid w:val="00971AB8"/>
    <w:rsid w:val="00971C07"/>
    <w:rsid w:val="00971C0F"/>
    <w:rsid w:val="00971DEA"/>
    <w:rsid w:val="00971E5B"/>
    <w:rsid w:val="00971EC4"/>
    <w:rsid w:val="00971F6F"/>
    <w:rsid w:val="00971FD6"/>
    <w:rsid w:val="00972289"/>
    <w:rsid w:val="009723EA"/>
    <w:rsid w:val="00972488"/>
    <w:rsid w:val="00972750"/>
    <w:rsid w:val="0097276C"/>
    <w:rsid w:val="0097283B"/>
    <w:rsid w:val="009728D8"/>
    <w:rsid w:val="00972A21"/>
    <w:rsid w:val="00972A82"/>
    <w:rsid w:val="00972BCE"/>
    <w:rsid w:val="00972DF3"/>
    <w:rsid w:val="00972E3B"/>
    <w:rsid w:val="00972E4E"/>
    <w:rsid w:val="00972F4B"/>
    <w:rsid w:val="00972F89"/>
    <w:rsid w:val="00972FDB"/>
    <w:rsid w:val="00972FDD"/>
    <w:rsid w:val="00973046"/>
    <w:rsid w:val="009730DF"/>
    <w:rsid w:val="009730E7"/>
    <w:rsid w:val="00973277"/>
    <w:rsid w:val="0097331D"/>
    <w:rsid w:val="009733D3"/>
    <w:rsid w:val="00973402"/>
    <w:rsid w:val="00973426"/>
    <w:rsid w:val="0097346F"/>
    <w:rsid w:val="0097348D"/>
    <w:rsid w:val="00973490"/>
    <w:rsid w:val="0097355D"/>
    <w:rsid w:val="00973640"/>
    <w:rsid w:val="009736D1"/>
    <w:rsid w:val="0097373C"/>
    <w:rsid w:val="00973752"/>
    <w:rsid w:val="00973793"/>
    <w:rsid w:val="009737B9"/>
    <w:rsid w:val="00973802"/>
    <w:rsid w:val="00973820"/>
    <w:rsid w:val="0097389E"/>
    <w:rsid w:val="00973917"/>
    <w:rsid w:val="00973969"/>
    <w:rsid w:val="00973B30"/>
    <w:rsid w:val="00973B9C"/>
    <w:rsid w:val="00973C21"/>
    <w:rsid w:val="00973C22"/>
    <w:rsid w:val="00973C5F"/>
    <w:rsid w:val="00973CB2"/>
    <w:rsid w:val="00973D50"/>
    <w:rsid w:val="00973DC2"/>
    <w:rsid w:val="00973EB5"/>
    <w:rsid w:val="0097405C"/>
    <w:rsid w:val="00974086"/>
    <w:rsid w:val="0097416C"/>
    <w:rsid w:val="00974171"/>
    <w:rsid w:val="009741BA"/>
    <w:rsid w:val="009741F9"/>
    <w:rsid w:val="00974251"/>
    <w:rsid w:val="00974277"/>
    <w:rsid w:val="0097460B"/>
    <w:rsid w:val="009746FD"/>
    <w:rsid w:val="00974752"/>
    <w:rsid w:val="009747A6"/>
    <w:rsid w:val="009749E9"/>
    <w:rsid w:val="00974BB9"/>
    <w:rsid w:val="00974CB8"/>
    <w:rsid w:val="00974EB8"/>
    <w:rsid w:val="00974EEB"/>
    <w:rsid w:val="00975033"/>
    <w:rsid w:val="0097505F"/>
    <w:rsid w:val="00975471"/>
    <w:rsid w:val="0097548C"/>
    <w:rsid w:val="009754E3"/>
    <w:rsid w:val="0097550E"/>
    <w:rsid w:val="00975584"/>
    <w:rsid w:val="009755EF"/>
    <w:rsid w:val="00975626"/>
    <w:rsid w:val="0097562D"/>
    <w:rsid w:val="0097568D"/>
    <w:rsid w:val="009757BB"/>
    <w:rsid w:val="0097583D"/>
    <w:rsid w:val="009758FC"/>
    <w:rsid w:val="009758FD"/>
    <w:rsid w:val="00975938"/>
    <w:rsid w:val="009759D8"/>
    <w:rsid w:val="00975A84"/>
    <w:rsid w:val="00975A89"/>
    <w:rsid w:val="00975ABF"/>
    <w:rsid w:val="00975BEA"/>
    <w:rsid w:val="00975D13"/>
    <w:rsid w:val="00975D7F"/>
    <w:rsid w:val="00975DE6"/>
    <w:rsid w:val="00975E37"/>
    <w:rsid w:val="00975EC7"/>
    <w:rsid w:val="00975F54"/>
    <w:rsid w:val="00975FAC"/>
    <w:rsid w:val="0097607A"/>
    <w:rsid w:val="0097615F"/>
    <w:rsid w:val="00976175"/>
    <w:rsid w:val="009761A2"/>
    <w:rsid w:val="009761A9"/>
    <w:rsid w:val="00976240"/>
    <w:rsid w:val="009762F4"/>
    <w:rsid w:val="00976389"/>
    <w:rsid w:val="00976550"/>
    <w:rsid w:val="0097659A"/>
    <w:rsid w:val="0097667D"/>
    <w:rsid w:val="0097668A"/>
    <w:rsid w:val="009766B3"/>
    <w:rsid w:val="0097671B"/>
    <w:rsid w:val="0097677E"/>
    <w:rsid w:val="009768B3"/>
    <w:rsid w:val="00976906"/>
    <w:rsid w:val="00976916"/>
    <w:rsid w:val="009769C2"/>
    <w:rsid w:val="00976A9C"/>
    <w:rsid w:val="00976AE6"/>
    <w:rsid w:val="00976B11"/>
    <w:rsid w:val="00976B1C"/>
    <w:rsid w:val="00976B25"/>
    <w:rsid w:val="00976C4E"/>
    <w:rsid w:val="00976CAF"/>
    <w:rsid w:val="00976E61"/>
    <w:rsid w:val="00976FD4"/>
    <w:rsid w:val="009770A0"/>
    <w:rsid w:val="0097714F"/>
    <w:rsid w:val="009771DF"/>
    <w:rsid w:val="00977234"/>
    <w:rsid w:val="00977285"/>
    <w:rsid w:val="00977392"/>
    <w:rsid w:val="009773C4"/>
    <w:rsid w:val="0097741D"/>
    <w:rsid w:val="009776B6"/>
    <w:rsid w:val="00977863"/>
    <w:rsid w:val="0097790A"/>
    <w:rsid w:val="0097792B"/>
    <w:rsid w:val="00977C05"/>
    <w:rsid w:val="00977C8B"/>
    <w:rsid w:val="00977F69"/>
    <w:rsid w:val="0098001F"/>
    <w:rsid w:val="0098005E"/>
    <w:rsid w:val="00980086"/>
    <w:rsid w:val="0098020F"/>
    <w:rsid w:val="009802B8"/>
    <w:rsid w:val="00980415"/>
    <w:rsid w:val="00980420"/>
    <w:rsid w:val="009804F8"/>
    <w:rsid w:val="00980531"/>
    <w:rsid w:val="0098054D"/>
    <w:rsid w:val="00980591"/>
    <w:rsid w:val="00980628"/>
    <w:rsid w:val="009806AE"/>
    <w:rsid w:val="0098087B"/>
    <w:rsid w:val="0098095C"/>
    <w:rsid w:val="00980A59"/>
    <w:rsid w:val="00980D39"/>
    <w:rsid w:val="00980DB5"/>
    <w:rsid w:val="0098115D"/>
    <w:rsid w:val="0098116A"/>
    <w:rsid w:val="0098117A"/>
    <w:rsid w:val="0098119E"/>
    <w:rsid w:val="0098121F"/>
    <w:rsid w:val="0098125E"/>
    <w:rsid w:val="00981489"/>
    <w:rsid w:val="009815DF"/>
    <w:rsid w:val="009815E4"/>
    <w:rsid w:val="0098164E"/>
    <w:rsid w:val="0098169F"/>
    <w:rsid w:val="009819A0"/>
    <w:rsid w:val="00981A22"/>
    <w:rsid w:val="00981A73"/>
    <w:rsid w:val="00981AB8"/>
    <w:rsid w:val="00981B29"/>
    <w:rsid w:val="00981CBC"/>
    <w:rsid w:val="00981E2F"/>
    <w:rsid w:val="00981EA6"/>
    <w:rsid w:val="00981EDB"/>
    <w:rsid w:val="009820CA"/>
    <w:rsid w:val="009820E4"/>
    <w:rsid w:val="009821B5"/>
    <w:rsid w:val="00982405"/>
    <w:rsid w:val="009824AB"/>
    <w:rsid w:val="009824CB"/>
    <w:rsid w:val="009824D0"/>
    <w:rsid w:val="00982595"/>
    <w:rsid w:val="00982612"/>
    <w:rsid w:val="0098274E"/>
    <w:rsid w:val="009827E4"/>
    <w:rsid w:val="009827F9"/>
    <w:rsid w:val="00982862"/>
    <w:rsid w:val="0098294D"/>
    <w:rsid w:val="00982A87"/>
    <w:rsid w:val="00982AA8"/>
    <w:rsid w:val="00982C53"/>
    <w:rsid w:val="00982C8B"/>
    <w:rsid w:val="00982D5C"/>
    <w:rsid w:val="00982DE2"/>
    <w:rsid w:val="00982E0E"/>
    <w:rsid w:val="00982E31"/>
    <w:rsid w:val="00982F78"/>
    <w:rsid w:val="00982F94"/>
    <w:rsid w:val="00983051"/>
    <w:rsid w:val="00983228"/>
    <w:rsid w:val="00983339"/>
    <w:rsid w:val="0098340B"/>
    <w:rsid w:val="00983417"/>
    <w:rsid w:val="0098353D"/>
    <w:rsid w:val="009836C6"/>
    <w:rsid w:val="00983907"/>
    <w:rsid w:val="00983941"/>
    <w:rsid w:val="00983AB3"/>
    <w:rsid w:val="00983ACD"/>
    <w:rsid w:val="00983C35"/>
    <w:rsid w:val="00983D46"/>
    <w:rsid w:val="00983D85"/>
    <w:rsid w:val="00983E2E"/>
    <w:rsid w:val="00983F38"/>
    <w:rsid w:val="00983F4D"/>
    <w:rsid w:val="00984177"/>
    <w:rsid w:val="0098418B"/>
    <w:rsid w:val="00984194"/>
    <w:rsid w:val="009842BA"/>
    <w:rsid w:val="00984357"/>
    <w:rsid w:val="00984397"/>
    <w:rsid w:val="0098439A"/>
    <w:rsid w:val="0098440A"/>
    <w:rsid w:val="00984462"/>
    <w:rsid w:val="00984577"/>
    <w:rsid w:val="009846D1"/>
    <w:rsid w:val="009846F3"/>
    <w:rsid w:val="00984867"/>
    <w:rsid w:val="009848EA"/>
    <w:rsid w:val="00984940"/>
    <w:rsid w:val="009849DB"/>
    <w:rsid w:val="00984A02"/>
    <w:rsid w:val="00984A2D"/>
    <w:rsid w:val="00984B2E"/>
    <w:rsid w:val="00984BD9"/>
    <w:rsid w:val="00984D50"/>
    <w:rsid w:val="00984E3C"/>
    <w:rsid w:val="00984E75"/>
    <w:rsid w:val="00984E79"/>
    <w:rsid w:val="009850A2"/>
    <w:rsid w:val="009852F3"/>
    <w:rsid w:val="00985445"/>
    <w:rsid w:val="009856A2"/>
    <w:rsid w:val="009857EC"/>
    <w:rsid w:val="009858BE"/>
    <w:rsid w:val="009858F6"/>
    <w:rsid w:val="00985D6C"/>
    <w:rsid w:val="00985F59"/>
    <w:rsid w:val="0098621C"/>
    <w:rsid w:val="00986256"/>
    <w:rsid w:val="009863E3"/>
    <w:rsid w:val="00986435"/>
    <w:rsid w:val="009865AC"/>
    <w:rsid w:val="009865B9"/>
    <w:rsid w:val="009865D0"/>
    <w:rsid w:val="0098668A"/>
    <w:rsid w:val="0098694D"/>
    <w:rsid w:val="0098694E"/>
    <w:rsid w:val="009869C3"/>
    <w:rsid w:val="00986A15"/>
    <w:rsid w:val="00986AB3"/>
    <w:rsid w:val="00986AC8"/>
    <w:rsid w:val="00986AD7"/>
    <w:rsid w:val="00986C1A"/>
    <w:rsid w:val="00986D64"/>
    <w:rsid w:val="00986D9B"/>
    <w:rsid w:val="00986DE1"/>
    <w:rsid w:val="00986E08"/>
    <w:rsid w:val="00987281"/>
    <w:rsid w:val="00987370"/>
    <w:rsid w:val="009873A1"/>
    <w:rsid w:val="00987580"/>
    <w:rsid w:val="0098778B"/>
    <w:rsid w:val="00987801"/>
    <w:rsid w:val="00987848"/>
    <w:rsid w:val="0098784E"/>
    <w:rsid w:val="00987965"/>
    <w:rsid w:val="009879E6"/>
    <w:rsid w:val="00987BAD"/>
    <w:rsid w:val="00987D09"/>
    <w:rsid w:val="00987D90"/>
    <w:rsid w:val="00987E17"/>
    <w:rsid w:val="00987E7F"/>
    <w:rsid w:val="00987F7B"/>
    <w:rsid w:val="009900FA"/>
    <w:rsid w:val="0099016B"/>
    <w:rsid w:val="0099031C"/>
    <w:rsid w:val="0099059C"/>
    <w:rsid w:val="009905A8"/>
    <w:rsid w:val="009905AB"/>
    <w:rsid w:val="0099064B"/>
    <w:rsid w:val="00990710"/>
    <w:rsid w:val="00990888"/>
    <w:rsid w:val="00990947"/>
    <w:rsid w:val="00990AFB"/>
    <w:rsid w:val="00990B6D"/>
    <w:rsid w:val="00990BB0"/>
    <w:rsid w:val="00990BCE"/>
    <w:rsid w:val="00990C5A"/>
    <w:rsid w:val="00990CDC"/>
    <w:rsid w:val="00990D06"/>
    <w:rsid w:val="00990DAF"/>
    <w:rsid w:val="00990E03"/>
    <w:rsid w:val="00990ED7"/>
    <w:rsid w:val="00990FA5"/>
    <w:rsid w:val="00990FB4"/>
    <w:rsid w:val="00991047"/>
    <w:rsid w:val="009910F4"/>
    <w:rsid w:val="0099114F"/>
    <w:rsid w:val="00991160"/>
    <w:rsid w:val="00991249"/>
    <w:rsid w:val="0099130C"/>
    <w:rsid w:val="00991370"/>
    <w:rsid w:val="00991435"/>
    <w:rsid w:val="00991505"/>
    <w:rsid w:val="00991544"/>
    <w:rsid w:val="00991656"/>
    <w:rsid w:val="009916B7"/>
    <w:rsid w:val="009916C0"/>
    <w:rsid w:val="009916D8"/>
    <w:rsid w:val="009916D9"/>
    <w:rsid w:val="00991776"/>
    <w:rsid w:val="009917E2"/>
    <w:rsid w:val="00991A16"/>
    <w:rsid w:val="00991A7C"/>
    <w:rsid w:val="00991BAF"/>
    <w:rsid w:val="00991D5E"/>
    <w:rsid w:val="00991DBA"/>
    <w:rsid w:val="00991E97"/>
    <w:rsid w:val="00991E98"/>
    <w:rsid w:val="00991EFB"/>
    <w:rsid w:val="00992016"/>
    <w:rsid w:val="00992063"/>
    <w:rsid w:val="009920AC"/>
    <w:rsid w:val="0099213A"/>
    <w:rsid w:val="009921B2"/>
    <w:rsid w:val="00992222"/>
    <w:rsid w:val="00992347"/>
    <w:rsid w:val="00992369"/>
    <w:rsid w:val="009923C0"/>
    <w:rsid w:val="0099254B"/>
    <w:rsid w:val="009925EE"/>
    <w:rsid w:val="00992618"/>
    <w:rsid w:val="009926A0"/>
    <w:rsid w:val="00992712"/>
    <w:rsid w:val="009929AD"/>
    <w:rsid w:val="00992B6D"/>
    <w:rsid w:val="00992EEF"/>
    <w:rsid w:val="00992FED"/>
    <w:rsid w:val="00993042"/>
    <w:rsid w:val="0099305E"/>
    <w:rsid w:val="009931E3"/>
    <w:rsid w:val="00993278"/>
    <w:rsid w:val="00993288"/>
    <w:rsid w:val="00993469"/>
    <w:rsid w:val="0099346F"/>
    <w:rsid w:val="009934E3"/>
    <w:rsid w:val="009935BA"/>
    <w:rsid w:val="00993606"/>
    <w:rsid w:val="009937CD"/>
    <w:rsid w:val="0099393F"/>
    <w:rsid w:val="00993A11"/>
    <w:rsid w:val="00993A42"/>
    <w:rsid w:val="00993A46"/>
    <w:rsid w:val="00993A86"/>
    <w:rsid w:val="00993BA8"/>
    <w:rsid w:val="00993BD6"/>
    <w:rsid w:val="00993D91"/>
    <w:rsid w:val="00993DE4"/>
    <w:rsid w:val="00993E7C"/>
    <w:rsid w:val="00993F22"/>
    <w:rsid w:val="00993FAD"/>
    <w:rsid w:val="00993FAE"/>
    <w:rsid w:val="0099418C"/>
    <w:rsid w:val="009941C7"/>
    <w:rsid w:val="009941FB"/>
    <w:rsid w:val="0099421C"/>
    <w:rsid w:val="009943A4"/>
    <w:rsid w:val="00994404"/>
    <w:rsid w:val="009944B7"/>
    <w:rsid w:val="00994505"/>
    <w:rsid w:val="0099454B"/>
    <w:rsid w:val="00994939"/>
    <w:rsid w:val="00994AB6"/>
    <w:rsid w:val="00994B60"/>
    <w:rsid w:val="00994D60"/>
    <w:rsid w:val="00994D70"/>
    <w:rsid w:val="00994E56"/>
    <w:rsid w:val="00994E6A"/>
    <w:rsid w:val="00994F04"/>
    <w:rsid w:val="00994FCB"/>
    <w:rsid w:val="0099501E"/>
    <w:rsid w:val="00995138"/>
    <w:rsid w:val="0099518B"/>
    <w:rsid w:val="009951FD"/>
    <w:rsid w:val="00995232"/>
    <w:rsid w:val="00995254"/>
    <w:rsid w:val="009952D1"/>
    <w:rsid w:val="0099538F"/>
    <w:rsid w:val="00995399"/>
    <w:rsid w:val="009953D1"/>
    <w:rsid w:val="009953E0"/>
    <w:rsid w:val="0099542E"/>
    <w:rsid w:val="00995530"/>
    <w:rsid w:val="00995766"/>
    <w:rsid w:val="00995932"/>
    <w:rsid w:val="00995990"/>
    <w:rsid w:val="00995A11"/>
    <w:rsid w:val="00995ADE"/>
    <w:rsid w:val="00995C7E"/>
    <w:rsid w:val="00995CBD"/>
    <w:rsid w:val="00995DCC"/>
    <w:rsid w:val="00995E6A"/>
    <w:rsid w:val="00995EA0"/>
    <w:rsid w:val="00995EA7"/>
    <w:rsid w:val="00995F26"/>
    <w:rsid w:val="00995FBE"/>
    <w:rsid w:val="009961B4"/>
    <w:rsid w:val="00996238"/>
    <w:rsid w:val="00996247"/>
    <w:rsid w:val="00996265"/>
    <w:rsid w:val="00996361"/>
    <w:rsid w:val="009963A8"/>
    <w:rsid w:val="0099641C"/>
    <w:rsid w:val="009964EB"/>
    <w:rsid w:val="00996550"/>
    <w:rsid w:val="0099661C"/>
    <w:rsid w:val="009966E4"/>
    <w:rsid w:val="009967C5"/>
    <w:rsid w:val="00996911"/>
    <w:rsid w:val="009969B5"/>
    <w:rsid w:val="00996A96"/>
    <w:rsid w:val="00996AE3"/>
    <w:rsid w:val="00996C03"/>
    <w:rsid w:val="00996C0C"/>
    <w:rsid w:val="00996C5E"/>
    <w:rsid w:val="00996D1F"/>
    <w:rsid w:val="00996DA7"/>
    <w:rsid w:val="00997005"/>
    <w:rsid w:val="00997037"/>
    <w:rsid w:val="00997051"/>
    <w:rsid w:val="00997165"/>
    <w:rsid w:val="0099717D"/>
    <w:rsid w:val="00997393"/>
    <w:rsid w:val="0099748F"/>
    <w:rsid w:val="0099749C"/>
    <w:rsid w:val="009975D7"/>
    <w:rsid w:val="009976AC"/>
    <w:rsid w:val="00997744"/>
    <w:rsid w:val="00997759"/>
    <w:rsid w:val="0099778B"/>
    <w:rsid w:val="009977BE"/>
    <w:rsid w:val="009978FD"/>
    <w:rsid w:val="00997975"/>
    <w:rsid w:val="00997AB5"/>
    <w:rsid w:val="00997B41"/>
    <w:rsid w:val="00997D9D"/>
    <w:rsid w:val="00997F10"/>
    <w:rsid w:val="00997FBD"/>
    <w:rsid w:val="009A007A"/>
    <w:rsid w:val="009A00A7"/>
    <w:rsid w:val="009A00AF"/>
    <w:rsid w:val="009A01F6"/>
    <w:rsid w:val="009A021D"/>
    <w:rsid w:val="009A0259"/>
    <w:rsid w:val="009A0395"/>
    <w:rsid w:val="009A03EC"/>
    <w:rsid w:val="009A05BD"/>
    <w:rsid w:val="009A0658"/>
    <w:rsid w:val="009A094F"/>
    <w:rsid w:val="009A0972"/>
    <w:rsid w:val="009A09D8"/>
    <w:rsid w:val="009A0AC2"/>
    <w:rsid w:val="009A0B8F"/>
    <w:rsid w:val="009A0C7D"/>
    <w:rsid w:val="009A0D1C"/>
    <w:rsid w:val="009A0D37"/>
    <w:rsid w:val="009A0DDD"/>
    <w:rsid w:val="009A0E55"/>
    <w:rsid w:val="009A0E81"/>
    <w:rsid w:val="009A1046"/>
    <w:rsid w:val="009A1370"/>
    <w:rsid w:val="009A13F8"/>
    <w:rsid w:val="009A1528"/>
    <w:rsid w:val="009A16F9"/>
    <w:rsid w:val="009A18F7"/>
    <w:rsid w:val="009A19CF"/>
    <w:rsid w:val="009A1C33"/>
    <w:rsid w:val="009A1D35"/>
    <w:rsid w:val="009A1D7F"/>
    <w:rsid w:val="009A1E03"/>
    <w:rsid w:val="009A1F92"/>
    <w:rsid w:val="009A1F98"/>
    <w:rsid w:val="009A1F9C"/>
    <w:rsid w:val="009A2038"/>
    <w:rsid w:val="009A2044"/>
    <w:rsid w:val="009A2122"/>
    <w:rsid w:val="009A226F"/>
    <w:rsid w:val="009A228B"/>
    <w:rsid w:val="009A232C"/>
    <w:rsid w:val="009A2334"/>
    <w:rsid w:val="009A2440"/>
    <w:rsid w:val="009A24E5"/>
    <w:rsid w:val="009A24EF"/>
    <w:rsid w:val="009A25AE"/>
    <w:rsid w:val="009A2625"/>
    <w:rsid w:val="009A266F"/>
    <w:rsid w:val="009A29EE"/>
    <w:rsid w:val="009A2A31"/>
    <w:rsid w:val="009A2BAB"/>
    <w:rsid w:val="009A2C17"/>
    <w:rsid w:val="009A2C60"/>
    <w:rsid w:val="009A2D2A"/>
    <w:rsid w:val="009A2DDC"/>
    <w:rsid w:val="009A2E06"/>
    <w:rsid w:val="009A2E82"/>
    <w:rsid w:val="009A2F11"/>
    <w:rsid w:val="009A2F1E"/>
    <w:rsid w:val="009A2F54"/>
    <w:rsid w:val="009A3143"/>
    <w:rsid w:val="009A3188"/>
    <w:rsid w:val="009A3199"/>
    <w:rsid w:val="009A32A0"/>
    <w:rsid w:val="009A32FA"/>
    <w:rsid w:val="009A330C"/>
    <w:rsid w:val="009A330D"/>
    <w:rsid w:val="009A332E"/>
    <w:rsid w:val="009A33B4"/>
    <w:rsid w:val="009A33FC"/>
    <w:rsid w:val="009A3467"/>
    <w:rsid w:val="009A3509"/>
    <w:rsid w:val="009A35A7"/>
    <w:rsid w:val="009A3686"/>
    <w:rsid w:val="009A36E4"/>
    <w:rsid w:val="009A3844"/>
    <w:rsid w:val="009A3964"/>
    <w:rsid w:val="009A39D8"/>
    <w:rsid w:val="009A3B48"/>
    <w:rsid w:val="009A3C24"/>
    <w:rsid w:val="009A3C6F"/>
    <w:rsid w:val="009A3CA9"/>
    <w:rsid w:val="009A3D70"/>
    <w:rsid w:val="009A3F19"/>
    <w:rsid w:val="009A3F6A"/>
    <w:rsid w:val="009A4072"/>
    <w:rsid w:val="009A40D7"/>
    <w:rsid w:val="009A40F3"/>
    <w:rsid w:val="009A415E"/>
    <w:rsid w:val="009A4461"/>
    <w:rsid w:val="009A4475"/>
    <w:rsid w:val="009A44C2"/>
    <w:rsid w:val="009A44F2"/>
    <w:rsid w:val="009A4543"/>
    <w:rsid w:val="009A4639"/>
    <w:rsid w:val="009A467B"/>
    <w:rsid w:val="009A46E2"/>
    <w:rsid w:val="009A46F7"/>
    <w:rsid w:val="009A49A5"/>
    <w:rsid w:val="009A4A97"/>
    <w:rsid w:val="009A4C0C"/>
    <w:rsid w:val="009A4D01"/>
    <w:rsid w:val="009A4D3B"/>
    <w:rsid w:val="009A4D6B"/>
    <w:rsid w:val="009A4ECB"/>
    <w:rsid w:val="009A50FD"/>
    <w:rsid w:val="009A510B"/>
    <w:rsid w:val="009A510D"/>
    <w:rsid w:val="009A512F"/>
    <w:rsid w:val="009A5136"/>
    <w:rsid w:val="009A52AD"/>
    <w:rsid w:val="009A52F5"/>
    <w:rsid w:val="009A5386"/>
    <w:rsid w:val="009A53B0"/>
    <w:rsid w:val="009A549B"/>
    <w:rsid w:val="009A5632"/>
    <w:rsid w:val="009A5680"/>
    <w:rsid w:val="009A5835"/>
    <w:rsid w:val="009A58DA"/>
    <w:rsid w:val="009A5955"/>
    <w:rsid w:val="009A59B9"/>
    <w:rsid w:val="009A5A1B"/>
    <w:rsid w:val="009A5A38"/>
    <w:rsid w:val="009A5BD9"/>
    <w:rsid w:val="009A5BF0"/>
    <w:rsid w:val="009A5C76"/>
    <w:rsid w:val="009A5DAF"/>
    <w:rsid w:val="009A5EE8"/>
    <w:rsid w:val="009A5EF6"/>
    <w:rsid w:val="009A61E0"/>
    <w:rsid w:val="009A628A"/>
    <w:rsid w:val="009A62A8"/>
    <w:rsid w:val="009A62DC"/>
    <w:rsid w:val="009A63A5"/>
    <w:rsid w:val="009A6529"/>
    <w:rsid w:val="009A6550"/>
    <w:rsid w:val="009A657A"/>
    <w:rsid w:val="009A663E"/>
    <w:rsid w:val="009A6657"/>
    <w:rsid w:val="009A668B"/>
    <w:rsid w:val="009A66B7"/>
    <w:rsid w:val="009A674B"/>
    <w:rsid w:val="009A684A"/>
    <w:rsid w:val="009A6879"/>
    <w:rsid w:val="009A6890"/>
    <w:rsid w:val="009A69AF"/>
    <w:rsid w:val="009A69B9"/>
    <w:rsid w:val="009A69CF"/>
    <w:rsid w:val="009A6A91"/>
    <w:rsid w:val="009A6AA9"/>
    <w:rsid w:val="009A6AE8"/>
    <w:rsid w:val="009A6AF2"/>
    <w:rsid w:val="009A6B98"/>
    <w:rsid w:val="009A6D1E"/>
    <w:rsid w:val="009A6D42"/>
    <w:rsid w:val="009A7016"/>
    <w:rsid w:val="009A7200"/>
    <w:rsid w:val="009A7237"/>
    <w:rsid w:val="009A742B"/>
    <w:rsid w:val="009A7500"/>
    <w:rsid w:val="009A7582"/>
    <w:rsid w:val="009A75A4"/>
    <w:rsid w:val="009A7717"/>
    <w:rsid w:val="009A77F7"/>
    <w:rsid w:val="009A78F2"/>
    <w:rsid w:val="009A7A90"/>
    <w:rsid w:val="009A7AE6"/>
    <w:rsid w:val="009A7C52"/>
    <w:rsid w:val="009A7D05"/>
    <w:rsid w:val="009A7F1C"/>
    <w:rsid w:val="009A7F6C"/>
    <w:rsid w:val="009B009F"/>
    <w:rsid w:val="009B00A8"/>
    <w:rsid w:val="009B02C3"/>
    <w:rsid w:val="009B0305"/>
    <w:rsid w:val="009B0339"/>
    <w:rsid w:val="009B03FC"/>
    <w:rsid w:val="009B0404"/>
    <w:rsid w:val="009B060C"/>
    <w:rsid w:val="009B0645"/>
    <w:rsid w:val="009B07A7"/>
    <w:rsid w:val="009B085B"/>
    <w:rsid w:val="009B0872"/>
    <w:rsid w:val="009B08EA"/>
    <w:rsid w:val="009B094A"/>
    <w:rsid w:val="009B094C"/>
    <w:rsid w:val="009B09B1"/>
    <w:rsid w:val="009B0A06"/>
    <w:rsid w:val="009B0CC4"/>
    <w:rsid w:val="009B0E4B"/>
    <w:rsid w:val="009B0FA5"/>
    <w:rsid w:val="009B1008"/>
    <w:rsid w:val="009B12FC"/>
    <w:rsid w:val="009B1380"/>
    <w:rsid w:val="009B141D"/>
    <w:rsid w:val="009B14B3"/>
    <w:rsid w:val="009B14E9"/>
    <w:rsid w:val="009B1625"/>
    <w:rsid w:val="009B1765"/>
    <w:rsid w:val="009B17AE"/>
    <w:rsid w:val="009B1852"/>
    <w:rsid w:val="009B18C1"/>
    <w:rsid w:val="009B1A19"/>
    <w:rsid w:val="009B1BAE"/>
    <w:rsid w:val="009B1C2E"/>
    <w:rsid w:val="009B1CF5"/>
    <w:rsid w:val="009B1CFD"/>
    <w:rsid w:val="009B1DB9"/>
    <w:rsid w:val="009B1E37"/>
    <w:rsid w:val="009B1F52"/>
    <w:rsid w:val="009B2227"/>
    <w:rsid w:val="009B2238"/>
    <w:rsid w:val="009B2286"/>
    <w:rsid w:val="009B23D7"/>
    <w:rsid w:val="009B25CC"/>
    <w:rsid w:val="009B27A7"/>
    <w:rsid w:val="009B2878"/>
    <w:rsid w:val="009B2899"/>
    <w:rsid w:val="009B290F"/>
    <w:rsid w:val="009B2961"/>
    <w:rsid w:val="009B296F"/>
    <w:rsid w:val="009B29BC"/>
    <w:rsid w:val="009B2B35"/>
    <w:rsid w:val="009B2B44"/>
    <w:rsid w:val="009B2BC2"/>
    <w:rsid w:val="009B2E37"/>
    <w:rsid w:val="009B2F30"/>
    <w:rsid w:val="009B2FD7"/>
    <w:rsid w:val="009B304A"/>
    <w:rsid w:val="009B305B"/>
    <w:rsid w:val="009B3171"/>
    <w:rsid w:val="009B3172"/>
    <w:rsid w:val="009B3179"/>
    <w:rsid w:val="009B32D0"/>
    <w:rsid w:val="009B3318"/>
    <w:rsid w:val="009B3344"/>
    <w:rsid w:val="009B3381"/>
    <w:rsid w:val="009B33E2"/>
    <w:rsid w:val="009B33FD"/>
    <w:rsid w:val="009B342F"/>
    <w:rsid w:val="009B363B"/>
    <w:rsid w:val="009B3655"/>
    <w:rsid w:val="009B366B"/>
    <w:rsid w:val="009B378A"/>
    <w:rsid w:val="009B3849"/>
    <w:rsid w:val="009B38F0"/>
    <w:rsid w:val="009B3999"/>
    <w:rsid w:val="009B3AC4"/>
    <w:rsid w:val="009B3B13"/>
    <w:rsid w:val="009B3B53"/>
    <w:rsid w:val="009B3BBA"/>
    <w:rsid w:val="009B3C8E"/>
    <w:rsid w:val="009B3DBC"/>
    <w:rsid w:val="009B3F5D"/>
    <w:rsid w:val="009B4111"/>
    <w:rsid w:val="009B4261"/>
    <w:rsid w:val="009B4273"/>
    <w:rsid w:val="009B4412"/>
    <w:rsid w:val="009B4437"/>
    <w:rsid w:val="009B443B"/>
    <w:rsid w:val="009B44A7"/>
    <w:rsid w:val="009B44C3"/>
    <w:rsid w:val="009B45CE"/>
    <w:rsid w:val="009B4634"/>
    <w:rsid w:val="009B4644"/>
    <w:rsid w:val="009B468D"/>
    <w:rsid w:val="009B4714"/>
    <w:rsid w:val="009B47BB"/>
    <w:rsid w:val="009B4916"/>
    <w:rsid w:val="009B4917"/>
    <w:rsid w:val="009B492A"/>
    <w:rsid w:val="009B49A3"/>
    <w:rsid w:val="009B4A1E"/>
    <w:rsid w:val="009B4A79"/>
    <w:rsid w:val="009B4B5C"/>
    <w:rsid w:val="009B4C7F"/>
    <w:rsid w:val="009B4ED1"/>
    <w:rsid w:val="009B4FC8"/>
    <w:rsid w:val="009B5035"/>
    <w:rsid w:val="009B50DF"/>
    <w:rsid w:val="009B5308"/>
    <w:rsid w:val="009B5317"/>
    <w:rsid w:val="009B53BC"/>
    <w:rsid w:val="009B53F3"/>
    <w:rsid w:val="009B5403"/>
    <w:rsid w:val="009B5475"/>
    <w:rsid w:val="009B57B6"/>
    <w:rsid w:val="009B58B4"/>
    <w:rsid w:val="009B5AAA"/>
    <w:rsid w:val="009B5B6D"/>
    <w:rsid w:val="009B5C20"/>
    <w:rsid w:val="009B5C41"/>
    <w:rsid w:val="009B5D46"/>
    <w:rsid w:val="009B5E5A"/>
    <w:rsid w:val="009B5E84"/>
    <w:rsid w:val="009B5EC6"/>
    <w:rsid w:val="009B6105"/>
    <w:rsid w:val="009B622C"/>
    <w:rsid w:val="009B6266"/>
    <w:rsid w:val="009B6580"/>
    <w:rsid w:val="009B6586"/>
    <w:rsid w:val="009B66FE"/>
    <w:rsid w:val="009B69EF"/>
    <w:rsid w:val="009B6A7A"/>
    <w:rsid w:val="009B6A81"/>
    <w:rsid w:val="009B6AB0"/>
    <w:rsid w:val="009B6B35"/>
    <w:rsid w:val="009B6B7C"/>
    <w:rsid w:val="009B6C76"/>
    <w:rsid w:val="009B6CBA"/>
    <w:rsid w:val="009B6CEB"/>
    <w:rsid w:val="009B6D60"/>
    <w:rsid w:val="009B6EA7"/>
    <w:rsid w:val="009B6EB6"/>
    <w:rsid w:val="009B6F9E"/>
    <w:rsid w:val="009B71C2"/>
    <w:rsid w:val="009B7279"/>
    <w:rsid w:val="009B745D"/>
    <w:rsid w:val="009B74AF"/>
    <w:rsid w:val="009B74B6"/>
    <w:rsid w:val="009B7565"/>
    <w:rsid w:val="009B75A4"/>
    <w:rsid w:val="009B75C7"/>
    <w:rsid w:val="009B76A6"/>
    <w:rsid w:val="009B76A7"/>
    <w:rsid w:val="009B7883"/>
    <w:rsid w:val="009B78B8"/>
    <w:rsid w:val="009B793A"/>
    <w:rsid w:val="009B7969"/>
    <w:rsid w:val="009B798D"/>
    <w:rsid w:val="009B7A3D"/>
    <w:rsid w:val="009B7A5A"/>
    <w:rsid w:val="009B7BA8"/>
    <w:rsid w:val="009B7BC8"/>
    <w:rsid w:val="009B7C5F"/>
    <w:rsid w:val="009B7D38"/>
    <w:rsid w:val="009B7D98"/>
    <w:rsid w:val="009B7DD2"/>
    <w:rsid w:val="009B7E51"/>
    <w:rsid w:val="009B7FC0"/>
    <w:rsid w:val="009C01EF"/>
    <w:rsid w:val="009C0280"/>
    <w:rsid w:val="009C02B2"/>
    <w:rsid w:val="009C037E"/>
    <w:rsid w:val="009C04DF"/>
    <w:rsid w:val="009C05E6"/>
    <w:rsid w:val="009C0683"/>
    <w:rsid w:val="009C06D4"/>
    <w:rsid w:val="009C06ED"/>
    <w:rsid w:val="009C07BC"/>
    <w:rsid w:val="009C0997"/>
    <w:rsid w:val="009C0A49"/>
    <w:rsid w:val="009C0A64"/>
    <w:rsid w:val="009C0AD2"/>
    <w:rsid w:val="009C0B06"/>
    <w:rsid w:val="009C0C28"/>
    <w:rsid w:val="009C0C66"/>
    <w:rsid w:val="009C0CE3"/>
    <w:rsid w:val="009C0DCF"/>
    <w:rsid w:val="009C0EA1"/>
    <w:rsid w:val="009C0EFE"/>
    <w:rsid w:val="009C0F28"/>
    <w:rsid w:val="009C0F49"/>
    <w:rsid w:val="009C0F75"/>
    <w:rsid w:val="009C0F82"/>
    <w:rsid w:val="009C0F9D"/>
    <w:rsid w:val="009C10C1"/>
    <w:rsid w:val="009C10F7"/>
    <w:rsid w:val="009C114D"/>
    <w:rsid w:val="009C11B7"/>
    <w:rsid w:val="009C138D"/>
    <w:rsid w:val="009C154F"/>
    <w:rsid w:val="009C1566"/>
    <w:rsid w:val="009C1594"/>
    <w:rsid w:val="009C1656"/>
    <w:rsid w:val="009C1683"/>
    <w:rsid w:val="009C1714"/>
    <w:rsid w:val="009C19A4"/>
    <w:rsid w:val="009C1AE0"/>
    <w:rsid w:val="009C1BE8"/>
    <w:rsid w:val="009C1CAE"/>
    <w:rsid w:val="009C1D10"/>
    <w:rsid w:val="009C1D68"/>
    <w:rsid w:val="009C1DA6"/>
    <w:rsid w:val="009C1DEC"/>
    <w:rsid w:val="009C1DF4"/>
    <w:rsid w:val="009C1DF7"/>
    <w:rsid w:val="009C1F3D"/>
    <w:rsid w:val="009C24C0"/>
    <w:rsid w:val="009C24DB"/>
    <w:rsid w:val="009C2515"/>
    <w:rsid w:val="009C251A"/>
    <w:rsid w:val="009C2644"/>
    <w:rsid w:val="009C26EF"/>
    <w:rsid w:val="009C2768"/>
    <w:rsid w:val="009C2844"/>
    <w:rsid w:val="009C290D"/>
    <w:rsid w:val="009C29BA"/>
    <w:rsid w:val="009C2A0A"/>
    <w:rsid w:val="009C2A27"/>
    <w:rsid w:val="009C2A4E"/>
    <w:rsid w:val="009C2C77"/>
    <w:rsid w:val="009C2C9A"/>
    <w:rsid w:val="009C2CCB"/>
    <w:rsid w:val="009C2CD3"/>
    <w:rsid w:val="009C2DCE"/>
    <w:rsid w:val="009C2E86"/>
    <w:rsid w:val="009C2E8E"/>
    <w:rsid w:val="009C2F20"/>
    <w:rsid w:val="009C3087"/>
    <w:rsid w:val="009C319D"/>
    <w:rsid w:val="009C329E"/>
    <w:rsid w:val="009C33F3"/>
    <w:rsid w:val="009C3409"/>
    <w:rsid w:val="009C343D"/>
    <w:rsid w:val="009C34E7"/>
    <w:rsid w:val="009C35D3"/>
    <w:rsid w:val="009C360C"/>
    <w:rsid w:val="009C3612"/>
    <w:rsid w:val="009C3614"/>
    <w:rsid w:val="009C379A"/>
    <w:rsid w:val="009C389D"/>
    <w:rsid w:val="009C3A2B"/>
    <w:rsid w:val="009C3B61"/>
    <w:rsid w:val="009C3B63"/>
    <w:rsid w:val="009C3B74"/>
    <w:rsid w:val="009C3D17"/>
    <w:rsid w:val="009C3D73"/>
    <w:rsid w:val="009C3FA9"/>
    <w:rsid w:val="009C408C"/>
    <w:rsid w:val="009C4136"/>
    <w:rsid w:val="009C4163"/>
    <w:rsid w:val="009C4287"/>
    <w:rsid w:val="009C44FC"/>
    <w:rsid w:val="009C45AA"/>
    <w:rsid w:val="009C45DB"/>
    <w:rsid w:val="009C464D"/>
    <w:rsid w:val="009C4676"/>
    <w:rsid w:val="009C46D2"/>
    <w:rsid w:val="009C46D7"/>
    <w:rsid w:val="009C46F4"/>
    <w:rsid w:val="009C4773"/>
    <w:rsid w:val="009C4B27"/>
    <w:rsid w:val="009C4DD9"/>
    <w:rsid w:val="009C4E12"/>
    <w:rsid w:val="009C4EAF"/>
    <w:rsid w:val="009C4EEF"/>
    <w:rsid w:val="009C5013"/>
    <w:rsid w:val="009C504A"/>
    <w:rsid w:val="009C5068"/>
    <w:rsid w:val="009C50E6"/>
    <w:rsid w:val="009C50E9"/>
    <w:rsid w:val="009C510E"/>
    <w:rsid w:val="009C5154"/>
    <w:rsid w:val="009C51CD"/>
    <w:rsid w:val="009C51D7"/>
    <w:rsid w:val="009C51EA"/>
    <w:rsid w:val="009C5389"/>
    <w:rsid w:val="009C5466"/>
    <w:rsid w:val="009C55D5"/>
    <w:rsid w:val="009C59B3"/>
    <w:rsid w:val="009C59EB"/>
    <w:rsid w:val="009C5A56"/>
    <w:rsid w:val="009C5AA3"/>
    <w:rsid w:val="009C5B0C"/>
    <w:rsid w:val="009C5B29"/>
    <w:rsid w:val="009C5B9C"/>
    <w:rsid w:val="009C5C14"/>
    <w:rsid w:val="009C5CC1"/>
    <w:rsid w:val="009C5D8C"/>
    <w:rsid w:val="009C5D90"/>
    <w:rsid w:val="009C5DEF"/>
    <w:rsid w:val="009C5E30"/>
    <w:rsid w:val="009C5ED6"/>
    <w:rsid w:val="009C5EFA"/>
    <w:rsid w:val="009C5FDC"/>
    <w:rsid w:val="009C61E8"/>
    <w:rsid w:val="009C6385"/>
    <w:rsid w:val="009C63B7"/>
    <w:rsid w:val="009C648F"/>
    <w:rsid w:val="009C65E5"/>
    <w:rsid w:val="009C65EA"/>
    <w:rsid w:val="009C66C3"/>
    <w:rsid w:val="009C66C4"/>
    <w:rsid w:val="009C6821"/>
    <w:rsid w:val="009C68D5"/>
    <w:rsid w:val="009C68E6"/>
    <w:rsid w:val="009C69FC"/>
    <w:rsid w:val="009C6AC9"/>
    <w:rsid w:val="009C6B62"/>
    <w:rsid w:val="009C6B7E"/>
    <w:rsid w:val="009C6C04"/>
    <w:rsid w:val="009C6C5F"/>
    <w:rsid w:val="009C6C92"/>
    <w:rsid w:val="009C6C9E"/>
    <w:rsid w:val="009C6CC8"/>
    <w:rsid w:val="009C6E56"/>
    <w:rsid w:val="009C70F3"/>
    <w:rsid w:val="009C7225"/>
    <w:rsid w:val="009C7298"/>
    <w:rsid w:val="009C7339"/>
    <w:rsid w:val="009C7341"/>
    <w:rsid w:val="009C73C1"/>
    <w:rsid w:val="009C74FC"/>
    <w:rsid w:val="009C752D"/>
    <w:rsid w:val="009C7638"/>
    <w:rsid w:val="009C7683"/>
    <w:rsid w:val="009C774E"/>
    <w:rsid w:val="009C78C2"/>
    <w:rsid w:val="009C78CC"/>
    <w:rsid w:val="009C7A22"/>
    <w:rsid w:val="009C7B7B"/>
    <w:rsid w:val="009C7BF8"/>
    <w:rsid w:val="009C7E9A"/>
    <w:rsid w:val="009D0023"/>
    <w:rsid w:val="009D00D7"/>
    <w:rsid w:val="009D0108"/>
    <w:rsid w:val="009D0240"/>
    <w:rsid w:val="009D0418"/>
    <w:rsid w:val="009D045F"/>
    <w:rsid w:val="009D0518"/>
    <w:rsid w:val="009D05C5"/>
    <w:rsid w:val="009D07AE"/>
    <w:rsid w:val="009D07E7"/>
    <w:rsid w:val="009D0992"/>
    <w:rsid w:val="009D09E0"/>
    <w:rsid w:val="009D0BBC"/>
    <w:rsid w:val="009D0C1C"/>
    <w:rsid w:val="009D0C63"/>
    <w:rsid w:val="009D0CB6"/>
    <w:rsid w:val="009D0CD2"/>
    <w:rsid w:val="009D0CFD"/>
    <w:rsid w:val="009D0D9F"/>
    <w:rsid w:val="009D0E45"/>
    <w:rsid w:val="009D0E7C"/>
    <w:rsid w:val="009D0F8D"/>
    <w:rsid w:val="009D1064"/>
    <w:rsid w:val="009D107A"/>
    <w:rsid w:val="009D111D"/>
    <w:rsid w:val="009D1216"/>
    <w:rsid w:val="009D12BD"/>
    <w:rsid w:val="009D12F3"/>
    <w:rsid w:val="009D1316"/>
    <w:rsid w:val="009D13C8"/>
    <w:rsid w:val="009D140D"/>
    <w:rsid w:val="009D1481"/>
    <w:rsid w:val="009D1554"/>
    <w:rsid w:val="009D1580"/>
    <w:rsid w:val="009D180D"/>
    <w:rsid w:val="009D1970"/>
    <w:rsid w:val="009D1999"/>
    <w:rsid w:val="009D1A13"/>
    <w:rsid w:val="009D1C42"/>
    <w:rsid w:val="009D1C62"/>
    <w:rsid w:val="009D1C80"/>
    <w:rsid w:val="009D1DBA"/>
    <w:rsid w:val="009D1EFE"/>
    <w:rsid w:val="009D1F1E"/>
    <w:rsid w:val="009D1F58"/>
    <w:rsid w:val="009D1FB6"/>
    <w:rsid w:val="009D2142"/>
    <w:rsid w:val="009D21B1"/>
    <w:rsid w:val="009D21D6"/>
    <w:rsid w:val="009D23A6"/>
    <w:rsid w:val="009D24E2"/>
    <w:rsid w:val="009D2678"/>
    <w:rsid w:val="009D28A8"/>
    <w:rsid w:val="009D29B0"/>
    <w:rsid w:val="009D2A10"/>
    <w:rsid w:val="009D2BD6"/>
    <w:rsid w:val="009D2C00"/>
    <w:rsid w:val="009D2DBA"/>
    <w:rsid w:val="009D2E1A"/>
    <w:rsid w:val="009D2F79"/>
    <w:rsid w:val="009D2F94"/>
    <w:rsid w:val="009D2F9C"/>
    <w:rsid w:val="009D3012"/>
    <w:rsid w:val="009D3051"/>
    <w:rsid w:val="009D30DA"/>
    <w:rsid w:val="009D3179"/>
    <w:rsid w:val="009D324E"/>
    <w:rsid w:val="009D328E"/>
    <w:rsid w:val="009D34B4"/>
    <w:rsid w:val="009D354F"/>
    <w:rsid w:val="009D35C0"/>
    <w:rsid w:val="009D364F"/>
    <w:rsid w:val="009D3676"/>
    <w:rsid w:val="009D36FF"/>
    <w:rsid w:val="009D38A5"/>
    <w:rsid w:val="009D391A"/>
    <w:rsid w:val="009D39A4"/>
    <w:rsid w:val="009D3A0C"/>
    <w:rsid w:val="009D3ABA"/>
    <w:rsid w:val="009D3B53"/>
    <w:rsid w:val="009D3C6E"/>
    <w:rsid w:val="009D3D28"/>
    <w:rsid w:val="009D3DC6"/>
    <w:rsid w:val="009D3E21"/>
    <w:rsid w:val="009D3E3A"/>
    <w:rsid w:val="009D3E77"/>
    <w:rsid w:val="009D3EB8"/>
    <w:rsid w:val="009D3EE4"/>
    <w:rsid w:val="009D3FCA"/>
    <w:rsid w:val="009D421E"/>
    <w:rsid w:val="009D4242"/>
    <w:rsid w:val="009D427F"/>
    <w:rsid w:val="009D42FD"/>
    <w:rsid w:val="009D43BA"/>
    <w:rsid w:val="009D44E2"/>
    <w:rsid w:val="009D461A"/>
    <w:rsid w:val="009D46FC"/>
    <w:rsid w:val="009D4792"/>
    <w:rsid w:val="009D480E"/>
    <w:rsid w:val="009D484B"/>
    <w:rsid w:val="009D48D4"/>
    <w:rsid w:val="009D499E"/>
    <w:rsid w:val="009D49B6"/>
    <w:rsid w:val="009D4A72"/>
    <w:rsid w:val="009D4B1E"/>
    <w:rsid w:val="009D4C50"/>
    <w:rsid w:val="009D4C64"/>
    <w:rsid w:val="009D4C7A"/>
    <w:rsid w:val="009D4EFE"/>
    <w:rsid w:val="009D5171"/>
    <w:rsid w:val="009D517F"/>
    <w:rsid w:val="009D51E0"/>
    <w:rsid w:val="009D5424"/>
    <w:rsid w:val="009D5443"/>
    <w:rsid w:val="009D55D4"/>
    <w:rsid w:val="009D56A7"/>
    <w:rsid w:val="009D56C8"/>
    <w:rsid w:val="009D5737"/>
    <w:rsid w:val="009D58F4"/>
    <w:rsid w:val="009D5A37"/>
    <w:rsid w:val="009D5C13"/>
    <w:rsid w:val="009D5C2E"/>
    <w:rsid w:val="009D5DDE"/>
    <w:rsid w:val="009D5E89"/>
    <w:rsid w:val="009D5EFA"/>
    <w:rsid w:val="009D6099"/>
    <w:rsid w:val="009D622A"/>
    <w:rsid w:val="009D6293"/>
    <w:rsid w:val="009D632B"/>
    <w:rsid w:val="009D63A7"/>
    <w:rsid w:val="009D64A8"/>
    <w:rsid w:val="009D64B6"/>
    <w:rsid w:val="009D64CD"/>
    <w:rsid w:val="009D64E7"/>
    <w:rsid w:val="009D65B3"/>
    <w:rsid w:val="009D65E3"/>
    <w:rsid w:val="009D670D"/>
    <w:rsid w:val="009D683C"/>
    <w:rsid w:val="009D6928"/>
    <w:rsid w:val="009D6BCD"/>
    <w:rsid w:val="009D6C21"/>
    <w:rsid w:val="009D6CA3"/>
    <w:rsid w:val="009D6CD3"/>
    <w:rsid w:val="009D6D93"/>
    <w:rsid w:val="009D6E11"/>
    <w:rsid w:val="009D6EF0"/>
    <w:rsid w:val="009D702D"/>
    <w:rsid w:val="009D72EB"/>
    <w:rsid w:val="009D74CB"/>
    <w:rsid w:val="009D75F8"/>
    <w:rsid w:val="009D7681"/>
    <w:rsid w:val="009D7839"/>
    <w:rsid w:val="009D787D"/>
    <w:rsid w:val="009D7993"/>
    <w:rsid w:val="009D7B91"/>
    <w:rsid w:val="009D7C3C"/>
    <w:rsid w:val="009D7D16"/>
    <w:rsid w:val="009D7DA8"/>
    <w:rsid w:val="009D7EC6"/>
    <w:rsid w:val="009D7F31"/>
    <w:rsid w:val="009E0012"/>
    <w:rsid w:val="009E0226"/>
    <w:rsid w:val="009E0253"/>
    <w:rsid w:val="009E0335"/>
    <w:rsid w:val="009E0647"/>
    <w:rsid w:val="009E0710"/>
    <w:rsid w:val="009E071D"/>
    <w:rsid w:val="009E0726"/>
    <w:rsid w:val="009E07C6"/>
    <w:rsid w:val="009E089E"/>
    <w:rsid w:val="009E0A35"/>
    <w:rsid w:val="009E0B5F"/>
    <w:rsid w:val="009E0B69"/>
    <w:rsid w:val="009E0B8D"/>
    <w:rsid w:val="009E0BC2"/>
    <w:rsid w:val="009E0C0E"/>
    <w:rsid w:val="009E0CED"/>
    <w:rsid w:val="009E0FDF"/>
    <w:rsid w:val="009E0FF8"/>
    <w:rsid w:val="009E1009"/>
    <w:rsid w:val="009E10B8"/>
    <w:rsid w:val="009E1181"/>
    <w:rsid w:val="009E1235"/>
    <w:rsid w:val="009E1438"/>
    <w:rsid w:val="009E1504"/>
    <w:rsid w:val="009E18B6"/>
    <w:rsid w:val="009E18D9"/>
    <w:rsid w:val="009E19AE"/>
    <w:rsid w:val="009E1A2F"/>
    <w:rsid w:val="009E1A97"/>
    <w:rsid w:val="009E1AC6"/>
    <w:rsid w:val="009E1B19"/>
    <w:rsid w:val="009E1B44"/>
    <w:rsid w:val="009E1B54"/>
    <w:rsid w:val="009E1BB3"/>
    <w:rsid w:val="009E1BD9"/>
    <w:rsid w:val="009E1BE2"/>
    <w:rsid w:val="009E1C55"/>
    <w:rsid w:val="009E1CE4"/>
    <w:rsid w:val="009E1D17"/>
    <w:rsid w:val="009E1D19"/>
    <w:rsid w:val="009E2113"/>
    <w:rsid w:val="009E2201"/>
    <w:rsid w:val="009E22E2"/>
    <w:rsid w:val="009E23CE"/>
    <w:rsid w:val="009E251F"/>
    <w:rsid w:val="009E2526"/>
    <w:rsid w:val="009E2540"/>
    <w:rsid w:val="009E25CE"/>
    <w:rsid w:val="009E26C7"/>
    <w:rsid w:val="009E2767"/>
    <w:rsid w:val="009E29B2"/>
    <w:rsid w:val="009E2A8B"/>
    <w:rsid w:val="009E2BD3"/>
    <w:rsid w:val="009E2E09"/>
    <w:rsid w:val="009E2E6A"/>
    <w:rsid w:val="009E3034"/>
    <w:rsid w:val="009E30EB"/>
    <w:rsid w:val="009E338A"/>
    <w:rsid w:val="009E348A"/>
    <w:rsid w:val="009E35C3"/>
    <w:rsid w:val="009E35CE"/>
    <w:rsid w:val="009E3625"/>
    <w:rsid w:val="009E36DB"/>
    <w:rsid w:val="009E378E"/>
    <w:rsid w:val="009E3920"/>
    <w:rsid w:val="009E39BA"/>
    <w:rsid w:val="009E3A03"/>
    <w:rsid w:val="009E3BE9"/>
    <w:rsid w:val="009E3C10"/>
    <w:rsid w:val="009E3C6A"/>
    <w:rsid w:val="009E3C76"/>
    <w:rsid w:val="009E3CDB"/>
    <w:rsid w:val="009E3D99"/>
    <w:rsid w:val="009E3DE4"/>
    <w:rsid w:val="009E3DEB"/>
    <w:rsid w:val="009E3E6F"/>
    <w:rsid w:val="009E3EED"/>
    <w:rsid w:val="009E3F02"/>
    <w:rsid w:val="009E3F51"/>
    <w:rsid w:val="009E3F79"/>
    <w:rsid w:val="009E3FA8"/>
    <w:rsid w:val="009E4090"/>
    <w:rsid w:val="009E40C1"/>
    <w:rsid w:val="009E412B"/>
    <w:rsid w:val="009E4133"/>
    <w:rsid w:val="009E415A"/>
    <w:rsid w:val="009E41B0"/>
    <w:rsid w:val="009E41C1"/>
    <w:rsid w:val="009E450A"/>
    <w:rsid w:val="009E453E"/>
    <w:rsid w:val="009E45AC"/>
    <w:rsid w:val="009E4677"/>
    <w:rsid w:val="009E48B0"/>
    <w:rsid w:val="009E48FD"/>
    <w:rsid w:val="009E4955"/>
    <w:rsid w:val="009E4CFB"/>
    <w:rsid w:val="009E4E46"/>
    <w:rsid w:val="009E4EE0"/>
    <w:rsid w:val="009E4EFD"/>
    <w:rsid w:val="009E4FE7"/>
    <w:rsid w:val="009E5046"/>
    <w:rsid w:val="009E5117"/>
    <w:rsid w:val="009E5311"/>
    <w:rsid w:val="009E5345"/>
    <w:rsid w:val="009E5380"/>
    <w:rsid w:val="009E548C"/>
    <w:rsid w:val="009E57C8"/>
    <w:rsid w:val="009E57DE"/>
    <w:rsid w:val="009E5A45"/>
    <w:rsid w:val="009E5A77"/>
    <w:rsid w:val="009E5BED"/>
    <w:rsid w:val="009E5D85"/>
    <w:rsid w:val="009E60AF"/>
    <w:rsid w:val="009E61E0"/>
    <w:rsid w:val="009E62B3"/>
    <w:rsid w:val="009E62CD"/>
    <w:rsid w:val="009E6399"/>
    <w:rsid w:val="009E63BC"/>
    <w:rsid w:val="009E63CB"/>
    <w:rsid w:val="009E64B0"/>
    <w:rsid w:val="009E65D8"/>
    <w:rsid w:val="009E660D"/>
    <w:rsid w:val="009E6671"/>
    <w:rsid w:val="009E6706"/>
    <w:rsid w:val="009E673D"/>
    <w:rsid w:val="009E678A"/>
    <w:rsid w:val="009E69DC"/>
    <w:rsid w:val="009E6A93"/>
    <w:rsid w:val="009E6B52"/>
    <w:rsid w:val="009E6C99"/>
    <w:rsid w:val="009E6C9E"/>
    <w:rsid w:val="009E6DE8"/>
    <w:rsid w:val="009E6E37"/>
    <w:rsid w:val="009E701F"/>
    <w:rsid w:val="009E71A6"/>
    <w:rsid w:val="009E723D"/>
    <w:rsid w:val="009E7341"/>
    <w:rsid w:val="009E7372"/>
    <w:rsid w:val="009E738F"/>
    <w:rsid w:val="009E741B"/>
    <w:rsid w:val="009E746D"/>
    <w:rsid w:val="009E75D2"/>
    <w:rsid w:val="009E76EF"/>
    <w:rsid w:val="009E7730"/>
    <w:rsid w:val="009E7789"/>
    <w:rsid w:val="009E77F1"/>
    <w:rsid w:val="009E77FD"/>
    <w:rsid w:val="009E7902"/>
    <w:rsid w:val="009E7995"/>
    <w:rsid w:val="009E7A66"/>
    <w:rsid w:val="009E7A9C"/>
    <w:rsid w:val="009E7B6D"/>
    <w:rsid w:val="009E7D29"/>
    <w:rsid w:val="009E7DF3"/>
    <w:rsid w:val="009E7F77"/>
    <w:rsid w:val="009F0025"/>
    <w:rsid w:val="009F0088"/>
    <w:rsid w:val="009F0226"/>
    <w:rsid w:val="009F0227"/>
    <w:rsid w:val="009F02B1"/>
    <w:rsid w:val="009F0431"/>
    <w:rsid w:val="009F052E"/>
    <w:rsid w:val="009F0601"/>
    <w:rsid w:val="009F0632"/>
    <w:rsid w:val="009F0740"/>
    <w:rsid w:val="009F0766"/>
    <w:rsid w:val="009F07A6"/>
    <w:rsid w:val="009F07AF"/>
    <w:rsid w:val="009F07E7"/>
    <w:rsid w:val="009F0861"/>
    <w:rsid w:val="009F0874"/>
    <w:rsid w:val="009F0A2F"/>
    <w:rsid w:val="009F0A52"/>
    <w:rsid w:val="009F0AD3"/>
    <w:rsid w:val="009F0C40"/>
    <w:rsid w:val="009F0D19"/>
    <w:rsid w:val="009F0E7C"/>
    <w:rsid w:val="009F0ECB"/>
    <w:rsid w:val="009F0F85"/>
    <w:rsid w:val="009F0F93"/>
    <w:rsid w:val="009F10DF"/>
    <w:rsid w:val="009F1112"/>
    <w:rsid w:val="009F112F"/>
    <w:rsid w:val="009F11B1"/>
    <w:rsid w:val="009F12F7"/>
    <w:rsid w:val="009F134E"/>
    <w:rsid w:val="009F1537"/>
    <w:rsid w:val="009F154D"/>
    <w:rsid w:val="009F1568"/>
    <w:rsid w:val="009F160A"/>
    <w:rsid w:val="009F1613"/>
    <w:rsid w:val="009F1872"/>
    <w:rsid w:val="009F194C"/>
    <w:rsid w:val="009F1ABE"/>
    <w:rsid w:val="009F1AD1"/>
    <w:rsid w:val="009F1AE0"/>
    <w:rsid w:val="009F1B35"/>
    <w:rsid w:val="009F1B64"/>
    <w:rsid w:val="009F1E2A"/>
    <w:rsid w:val="009F1ED5"/>
    <w:rsid w:val="009F1EDB"/>
    <w:rsid w:val="009F1F11"/>
    <w:rsid w:val="009F1F7B"/>
    <w:rsid w:val="009F206A"/>
    <w:rsid w:val="009F20EF"/>
    <w:rsid w:val="009F2338"/>
    <w:rsid w:val="009F2440"/>
    <w:rsid w:val="009F2468"/>
    <w:rsid w:val="009F24A8"/>
    <w:rsid w:val="009F24B1"/>
    <w:rsid w:val="009F2581"/>
    <w:rsid w:val="009F25F0"/>
    <w:rsid w:val="009F25FC"/>
    <w:rsid w:val="009F274F"/>
    <w:rsid w:val="009F288C"/>
    <w:rsid w:val="009F291A"/>
    <w:rsid w:val="009F298F"/>
    <w:rsid w:val="009F29FB"/>
    <w:rsid w:val="009F2AD4"/>
    <w:rsid w:val="009F2B49"/>
    <w:rsid w:val="009F2C8E"/>
    <w:rsid w:val="009F2CBA"/>
    <w:rsid w:val="009F2CE0"/>
    <w:rsid w:val="009F2D2B"/>
    <w:rsid w:val="009F2E2B"/>
    <w:rsid w:val="009F2F02"/>
    <w:rsid w:val="009F2F74"/>
    <w:rsid w:val="009F3040"/>
    <w:rsid w:val="009F3143"/>
    <w:rsid w:val="009F32AB"/>
    <w:rsid w:val="009F32AF"/>
    <w:rsid w:val="009F3496"/>
    <w:rsid w:val="009F375B"/>
    <w:rsid w:val="009F38C7"/>
    <w:rsid w:val="009F391A"/>
    <w:rsid w:val="009F392D"/>
    <w:rsid w:val="009F394F"/>
    <w:rsid w:val="009F39E1"/>
    <w:rsid w:val="009F39E5"/>
    <w:rsid w:val="009F3A2B"/>
    <w:rsid w:val="009F3BAB"/>
    <w:rsid w:val="009F3CB2"/>
    <w:rsid w:val="009F3D33"/>
    <w:rsid w:val="009F3E33"/>
    <w:rsid w:val="009F3F76"/>
    <w:rsid w:val="009F3FDE"/>
    <w:rsid w:val="009F4055"/>
    <w:rsid w:val="009F4078"/>
    <w:rsid w:val="009F4161"/>
    <w:rsid w:val="009F41CE"/>
    <w:rsid w:val="009F41DE"/>
    <w:rsid w:val="009F42D3"/>
    <w:rsid w:val="009F4423"/>
    <w:rsid w:val="009F4547"/>
    <w:rsid w:val="009F46C0"/>
    <w:rsid w:val="009F4737"/>
    <w:rsid w:val="009F47F7"/>
    <w:rsid w:val="009F4815"/>
    <w:rsid w:val="009F4878"/>
    <w:rsid w:val="009F4887"/>
    <w:rsid w:val="009F4890"/>
    <w:rsid w:val="009F4947"/>
    <w:rsid w:val="009F494A"/>
    <w:rsid w:val="009F4A8B"/>
    <w:rsid w:val="009F4AB4"/>
    <w:rsid w:val="009F4B29"/>
    <w:rsid w:val="009F4B30"/>
    <w:rsid w:val="009F4D0B"/>
    <w:rsid w:val="009F4D4C"/>
    <w:rsid w:val="009F4DB3"/>
    <w:rsid w:val="009F4F6F"/>
    <w:rsid w:val="009F5046"/>
    <w:rsid w:val="009F52F9"/>
    <w:rsid w:val="009F53C2"/>
    <w:rsid w:val="009F53EE"/>
    <w:rsid w:val="009F5473"/>
    <w:rsid w:val="009F54D9"/>
    <w:rsid w:val="009F54DB"/>
    <w:rsid w:val="009F5523"/>
    <w:rsid w:val="009F5845"/>
    <w:rsid w:val="009F5979"/>
    <w:rsid w:val="009F5B7F"/>
    <w:rsid w:val="009F5C54"/>
    <w:rsid w:val="009F5DD0"/>
    <w:rsid w:val="009F5EC4"/>
    <w:rsid w:val="009F5F0B"/>
    <w:rsid w:val="009F5F23"/>
    <w:rsid w:val="009F6075"/>
    <w:rsid w:val="009F616E"/>
    <w:rsid w:val="009F6389"/>
    <w:rsid w:val="009F63D0"/>
    <w:rsid w:val="009F6517"/>
    <w:rsid w:val="009F6526"/>
    <w:rsid w:val="009F658D"/>
    <w:rsid w:val="009F66E1"/>
    <w:rsid w:val="009F6879"/>
    <w:rsid w:val="009F6971"/>
    <w:rsid w:val="009F6ABD"/>
    <w:rsid w:val="009F6AEB"/>
    <w:rsid w:val="009F6B93"/>
    <w:rsid w:val="009F6BE3"/>
    <w:rsid w:val="009F6CCC"/>
    <w:rsid w:val="009F6D5D"/>
    <w:rsid w:val="009F6EE1"/>
    <w:rsid w:val="009F6F9B"/>
    <w:rsid w:val="009F6FFC"/>
    <w:rsid w:val="009F708B"/>
    <w:rsid w:val="009F71DB"/>
    <w:rsid w:val="009F71E1"/>
    <w:rsid w:val="009F7271"/>
    <w:rsid w:val="009F72B2"/>
    <w:rsid w:val="009F72D3"/>
    <w:rsid w:val="009F738D"/>
    <w:rsid w:val="009F7417"/>
    <w:rsid w:val="009F77A1"/>
    <w:rsid w:val="009F7820"/>
    <w:rsid w:val="009F786D"/>
    <w:rsid w:val="009F7B60"/>
    <w:rsid w:val="009F7B69"/>
    <w:rsid w:val="009F7CB8"/>
    <w:rsid w:val="009F7E07"/>
    <w:rsid w:val="009F7E65"/>
    <w:rsid w:val="009F7F39"/>
    <w:rsid w:val="009F7F55"/>
    <w:rsid w:val="009F7F63"/>
    <w:rsid w:val="00A0001F"/>
    <w:rsid w:val="00A0017E"/>
    <w:rsid w:val="00A005C3"/>
    <w:rsid w:val="00A009B2"/>
    <w:rsid w:val="00A009F6"/>
    <w:rsid w:val="00A00B3E"/>
    <w:rsid w:val="00A00BBC"/>
    <w:rsid w:val="00A00C28"/>
    <w:rsid w:val="00A00C49"/>
    <w:rsid w:val="00A00DE0"/>
    <w:rsid w:val="00A00DE3"/>
    <w:rsid w:val="00A00ED0"/>
    <w:rsid w:val="00A00F82"/>
    <w:rsid w:val="00A00FAA"/>
    <w:rsid w:val="00A00FEB"/>
    <w:rsid w:val="00A0104B"/>
    <w:rsid w:val="00A01179"/>
    <w:rsid w:val="00A01260"/>
    <w:rsid w:val="00A0126F"/>
    <w:rsid w:val="00A01420"/>
    <w:rsid w:val="00A0149C"/>
    <w:rsid w:val="00A01588"/>
    <w:rsid w:val="00A01638"/>
    <w:rsid w:val="00A01661"/>
    <w:rsid w:val="00A016E4"/>
    <w:rsid w:val="00A0172C"/>
    <w:rsid w:val="00A0187A"/>
    <w:rsid w:val="00A019AE"/>
    <w:rsid w:val="00A019B9"/>
    <w:rsid w:val="00A01A02"/>
    <w:rsid w:val="00A01A98"/>
    <w:rsid w:val="00A01BB0"/>
    <w:rsid w:val="00A01BDC"/>
    <w:rsid w:val="00A01DB8"/>
    <w:rsid w:val="00A01E14"/>
    <w:rsid w:val="00A01EF8"/>
    <w:rsid w:val="00A01F39"/>
    <w:rsid w:val="00A02096"/>
    <w:rsid w:val="00A02123"/>
    <w:rsid w:val="00A021BF"/>
    <w:rsid w:val="00A02487"/>
    <w:rsid w:val="00A02663"/>
    <w:rsid w:val="00A0271D"/>
    <w:rsid w:val="00A0275F"/>
    <w:rsid w:val="00A027DC"/>
    <w:rsid w:val="00A028BF"/>
    <w:rsid w:val="00A02905"/>
    <w:rsid w:val="00A02973"/>
    <w:rsid w:val="00A029C6"/>
    <w:rsid w:val="00A02A95"/>
    <w:rsid w:val="00A02C6E"/>
    <w:rsid w:val="00A02CF6"/>
    <w:rsid w:val="00A02D9D"/>
    <w:rsid w:val="00A02DA1"/>
    <w:rsid w:val="00A02DB1"/>
    <w:rsid w:val="00A02DB4"/>
    <w:rsid w:val="00A02EDC"/>
    <w:rsid w:val="00A030DA"/>
    <w:rsid w:val="00A033F0"/>
    <w:rsid w:val="00A03415"/>
    <w:rsid w:val="00A0343C"/>
    <w:rsid w:val="00A03446"/>
    <w:rsid w:val="00A03577"/>
    <w:rsid w:val="00A03581"/>
    <w:rsid w:val="00A035C4"/>
    <w:rsid w:val="00A03647"/>
    <w:rsid w:val="00A03760"/>
    <w:rsid w:val="00A037AE"/>
    <w:rsid w:val="00A03836"/>
    <w:rsid w:val="00A038E9"/>
    <w:rsid w:val="00A03AFF"/>
    <w:rsid w:val="00A03B60"/>
    <w:rsid w:val="00A03B62"/>
    <w:rsid w:val="00A03B88"/>
    <w:rsid w:val="00A03C9D"/>
    <w:rsid w:val="00A03CE5"/>
    <w:rsid w:val="00A03D8E"/>
    <w:rsid w:val="00A03DA7"/>
    <w:rsid w:val="00A03EA9"/>
    <w:rsid w:val="00A03ED3"/>
    <w:rsid w:val="00A03F42"/>
    <w:rsid w:val="00A03F84"/>
    <w:rsid w:val="00A03FFA"/>
    <w:rsid w:val="00A041B2"/>
    <w:rsid w:val="00A0433C"/>
    <w:rsid w:val="00A0442C"/>
    <w:rsid w:val="00A04456"/>
    <w:rsid w:val="00A044BE"/>
    <w:rsid w:val="00A044E2"/>
    <w:rsid w:val="00A044F6"/>
    <w:rsid w:val="00A0452E"/>
    <w:rsid w:val="00A04537"/>
    <w:rsid w:val="00A04673"/>
    <w:rsid w:val="00A047B9"/>
    <w:rsid w:val="00A047EB"/>
    <w:rsid w:val="00A047ED"/>
    <w:rsid w:val="00A047F6"/>
    <w:rsid w:val="00A04876"/>
    <w:rsid w:val="00A04A5D"/>
    <w:rsid w:val="00A04AFB"/>
    <w:rsid w:val="00A04B31"/>
    <w:rsid w:val="00A04BE4"/>
    <w:rsid w:val="00A04C0A"/>
    <w:rsid w:val="00A04C23"/>
    <w:rsid w:val="00A04DDF"/>
    <w:rsid w:val="00A04E13"/>
    <w:rsid w:val="00A04ED3"/>
    <w:rsid w:val="00A04F2F"/>
    <w:rsid w:val="00A04FBE"/>
    <w:rsid w:val="00A051C7"/>
    <w:rsid w:val="00A05266"/>
    <w:rsid w:val="00A052E7"/>
    <w:rsid w:val="00A05336"/>
    <w:rsid w:val="00A05338"/>
    <w:rsid w:val="00A053F8"/>
    <w:rsid w:val="00A0543C"/>
    <w:rsid w:val="00A05501"/>
    <w:rsid w:val="00A0552C"/>
    <w:rsid w:val="00A05562"/>
    <w:rsid w:val="00A0592B"/>
    <w:rsid w:val="00A059D9"/>
    <w:rsid w:val="00A059FD"/>
    <w:rsid w:val="00A05DFF"/>
    <w:rsid w:val="00A05E4F"/>
    <w:rsid w:val="00A06092"/>
    <w:rsid w:val="00A060A9"/>
    <w:rsid w:val="00A06122"/>
    <w:rsid w:val="00A0623C"/>
    <w:rsid w:val="00A06261"/>
    <w:rsid w:val="00A062BD"/>
    <w:rsid w:val="00A063AA"/>
    <w:rsid w:val="00A06404"/>
    <w:rsid w:val="00A06437"/>
    <w:rsid w:val="00A0645E"/>
    <w:rsid w:val="00A06533"/>
    <w:rsid w:val="00A06580"/>
    <w:rsid w:val="00A065F9"/>
    <w:rsid w:val="00A06685"/>
    <w:rsid w:val="00A06750"/>
    <w:rsid w:val="00A06794"/>
    <w:rsid w:val="00A067B3"/>
    <w:rsid w:val="00A0686C"/>
    <w:rsid w:val="00A068B5"/>
    <w:rsid w:val="00A0692C"/>
    <w:rsid w:val="00A069ED"/>
    <w:rsid w:val="00A06A3E"/>
    <w:rsid w:val="00A06A96"/>
    <w:rsid w:val="00A06B09"/>
    <w:rsid w:val="00A06C3B"/>
    <w:rsid w:val="00A06C80"/>
    <w:rsid w:val="00A06D37"/>
    <w:rsid w:val="00A06DCE"/>
    <w:rsid w:val="00A06E13"/>
    <w:rsid w:val="00A07116"/>
    <w:rsid w:val="00A07123"/>
    <w:rsid w:val="00A0724F"/>
    <w:rsid w:val="00A072E1"/>
    <w:rsid w:val="00A072EC"/>
    <w:rsid w:val="00A074AD"/>
    <w:rsid w:val="00A0750A"/>
    <w:rsid w:val="00A0758E"/>
    <w:rsid w:val="00A075A5"/>
    <w:rsid w:val="00A076B5"/>
    <w:rsid w:val="00A07742"/>
    <w:rsid w:val="00A07897"/>
    <w:rsid w:val="00A078A7"/>
    <w:rsid w:val="00A07A29"/>
    <w:rsid w:val="00A07B50"/>
    <w:rsid w:val="00A07B81"/>
    <w:rsid w:val="00A07C04"/>
    <w:rsid w:val="00A07D13"/>
    <w:rsid w:val="00A07D99"/>
    <w:rsid w:val="00A07E2E"/>
    <w:rsid w:val="00A07EFF"/>
    <w:rsid w:val="00A07F71"/>
    <w:rsid w:val="00A10114"/>
    <w:rsid w:val="00A1027D"/>
    <w:rsid w:val="00A1034F"/>
    <w:rsid w:val="00A103D6"/>
    <w:rsid w:val="00A10664"/>
    <w:rsid w:val="00A10727"/>
    <w:rsid w:val="00A1077F"/>
    <w:rsid w:val="00A107A5"/>
    <w:rsid w:val="00A10883"/>
    <w:rsid w:val="00A10933"/>
    <w:rsid w:val="00A10950"/>
    <w:rsid w:val="00A10B38"/>
    <w:rsid w:val="00A10BB1"/>
    <w:rsid w:val="00A10BF9"/>
    <w:rsid w:val="00A10C7D"/>
    <w:rsid w:val="00A10D40"/>
    <w:rsid w:val="00A10E43"/>
    <w:rsid w:val="00A10FE4"/>
    <w:rsid w:val="00A110EE"/>
    <w:rsid w:val="00A1110B"/>
    <w:rsid w:val="00A11118"/>
    <w:rsid w:val="00A11192"/>
    <w:rsid w:val="00A11374"/>
    <w:rsid w:val="00A11423"/>
    <w:rsid w:val="00A115C3"/>
    <w:rsid w:val="00A116D3"/>
    <w:rsid w:val="00A11860"/>
    <w:rsid w:val="00A118D5"/>
    <w:rsid w:val="00A11910"/>
    <w:rsid w:val="00A11961"/>
    <w:rsid w:val="00A1198A"/>
    <w:rsid w:val="00A119A4"/>
    <w:rsid w:val="00A11A38"/>
    <w:rsid w:val="00A11B09"/>
    <w:rsid w:val="00A11B7A"/>
    <w:rsid w:val="00A11D1A"/>
    <w:rsid w:val="00A11DC8"/>
    <w:rsid w:val="00A11DF8"/>
    <w:rsid w:val="00A11E17"/>
    <w:rsid w:val="00A11E48"/>
    <w:rsid w:val="00A11ED7"/>
    <w:rsid w:val="00A11F65"/>
    <w:rsid w:val="00A120CF"/>
    <w:rsid w:val="00A12176"/>
    <w:rsid w:val="00A1226E"/>
    <w:rsid w:val="00A122D9"/>
    <w:rsid w:val="00A123E0"/>
    <w:rsid w:val="00A12468"/>
    <w:rsid w:val="00A124D0"/>
    <w:rsid w:val="00A12521"/>
    <w:rsid w:val="00A125F2"/>
    <w:rsid w:val="00A12617"/>
    <w:rsid w:val="00A12672"/>
    <w:rsid w:val="00A12689"/>
    <w:rsid w:val="00A126C6"/>
    <w:rsid w:val="00A126CF"/>
    <w:rsid w:val="00A126E1"/>
    <w:rsid w:val="00A127F3"/>
    <w:rsid w:val="00A12801"/>
    <w:rsid w:val="00A12807"/>
    <w:rsid w:val="00A12862"/>
    <w:rsid w:val="00A12930"/>
    <w:rsid w:val="00A1297B"/>
    <w:rsid w:val="00A12A1A"/>
    <w:rsid w:val="00A12A32"/>
    <w:rsid w:val="00A12A79"/>
    <w:rsid w:val="00A12A7B"/>
    <w:rsid w:val="00A12AB1"/>
    <w:rsid w:val="00A12C6E"/>
    <w:rsid w:val="00A12CE5"/>
    <w:rsid w:val="00A12DBD"/>
    <w:rsid w:val="00A12DC7"/>
    <w:rsid w:val="00A12F2A"/>
    <w:rsid w:val="00A12FF5"/>
    <w:rsid w:val="00A13000"/>
    <w:rsid w:val="00A1300E"/>
    <w:rsid w:val="00A130EA"/>
    <w:rsid w:val="00A131AA"/>
    <w:rsid w:val="00A13221"/>
    <w:rsid w:val="00A133A0"/>
    <w:rsid w:val="00A13417"/>
    <w:rsid w:val="00A1341F"/>
    <w:rsid w:val="00A13556"/>
    <w:rsid w:val="00A13618"/>
    <w:rsid w:val="00A1379D"/>
    <w:rsid w:val="00A13878"/>
    <w:rsid w:val="00A139AD"/>
    <w:rsid w:val="00A13B73"/>
    <w:rsid w:val="00A13BEB"/>
    <w:rsid w:val="00A13C3F"/>
    <w:rsid w:val="00A13C74"/>
    <w:rsid w:val="00A13D4F"/>
    <w:rsid w:val="00A13DB6"/>
    <w:rsid w:val="00A13EE5"/>
    <w:rsid w:val="00A14094"/>
    <w:rsid w:val="00A140E1"/>
    <w:rsid w:val="00A14109"/>
    <w:rsid w:val="00A141AD"/>
    <w:rsid w:val="00A141F5"/>
    <w:rsid w:val="00A1427B"/>
    <w:rsid w:val="00A14281"/>
    <w:rsid w:val="00A14308"/>
    <w:rsid w:val="00A14316"/>
    <w:rsid w:val="00A14333"/>
    <w:rsid w:val="00A14438"/>
    <w:rsid w:val="00A14482"/>
    <w:rsid w:val="00A145C3"/>
    <w:rsid w:val="00A146BE"/>
    <w:rsid w:val="00A14766"/>
    <w:rsid w:val="00A147B5"/>
    <w:rsid w:val="00A147C0"/>
    <w:rsid w:val="00A14828"/>
    <w:rsid w:val="00A148D3"/>
    <w:rsid w:val="00A149D3"/>
    <w:rsid w:val="00A14A29"/>
    <w:rsid w:val="00A14BCC"/>
    <w:rsid w:val="00A14BFE"/>
    <w:rsid w:val="00A14C3A"/>
    <w:rsid w:val="00A14C97"/>
    <w:rsid w:val="00A14D86"/>
    <w:rsid w:val="00A14F1B"/>
    <w:rsid w:val="00A1503E"/>
    <w:rsid w:val="00A15081"/>
    <w:rsid w:val="00A15593"/>
    <w:rsid w:val="00A155F2"/>
    <w:rsid w:val="00A1560F"/>
    <w:rsid w:val="00A15645"/>
    <w:rsid w:val="00A1582C"/>
    <w:rsid w:val="00A1585D"/>
    <w:rsid w:val="00A1586C"/>
    <w:rsid w:val="00A158DC"/>
    <w:rsid w:val="00A15913"/>
    <w:rsid w:val="00A15945"/>
    <w:rsid w:val="00A15981"/>
    <w:rsid w:val="00A159F9"/>
    <w:rsid w:val="00A15AA1"/>
    <w:rsid w:val="00A15AB1"/>
    <w:rsid w:val="00A15AF9"/>
    <w:rsid w:val="00A15B39"/>
    <w:rsid w:val="00A15B76"/>
    <w:rsid w:val="00A15B7E"/>
    <w:rsid w:val="00A15C84"/>
    <w:rsid w:val="00A15C8E"/>
    <w:rsid w:val="00A15D44"/>
    <w:rsid w:val="00A15D4C"/>
    <w:rsid w:val="00A15EEC"/>
    <w:rsid w:val="00A15F46"/>
    <w:rsid w:val="00A15F50"/>
    <w:rsid w:val="00A15FAA"/>
    <w:rsid w:val="00A15FCE"/>
    <w:rsid w:val="00A15FED"/>
    <w:rsid w:val="00A15FF9"/>
    <w:rsid w:val="00A16001"/>
    <w:rsid w:val="00A16027"/>
    <w:rsid w:val="00A16296"/>
    <w:rsid w:val="00A16334"/>
    <w:rsid w:val="00A165C4"/>
    <w:rsid w:val="00A168D3"/>
    <w:rsid w:val="00A168E3"/>
    <w:rsid w:val="00A1691D"/>
    <w:rsid w:val="00A16AFE"/>
    <w:rsid w:val="00A16B58"/>
    <w:rsid w:val="00A16BA8"/>
    <w:rsid w:val="00A16C03"/>
    <w:rsid w:val="00A16C93"/>
    <w:rsid w:val="00A16D5E"/>
    <w:rsid w:val="00A16F77"/>
    <w:rsid w:val="00A16F9E"/>
    <w:rsid w:val="00A171C4"/>
    <w:rsid w:val="00A17288"/>
    <w:rsid w:val="00A17378"/>
    <w:rsid w:val="00A1775C"/>
    <w:rsid w:val="00A1781D"/>
    <w:rsid w:val="00A178B2"/>
    <w:rsid w:val="00A178BE"/>
    <w:rsid w:val="00A17B70"/>
    <w:rsid w:val="00A17C2D"/>
    <w:rsid w:val="00A17D75"/>
    <w:rsid w:val="00A17D95"/>
    <w:rsid w:val="00A17DE8"/>
    <w:rsid w:val="00A17E6A"/>
    <w:rsid w:val="00A17E73"/>
    <w:rsid w:val="00A17F18"/>
    <w:rsid w:val="00A17FAC"/>
    <w:rsid w:val="00A20092"/>
    <w:rsid w:val="00A20155"/>
    <w:rsid w:val="00A20165"/>
    <w:rsid w:val="00A201EB"/>
    <w:rsid w:val="00A20255"/>
    <w:rsid w:val="00A2026D"/>
    <w:rsid w:val="00A202AA"/>
    <w:rsid w:val="00A202B9"/>
    <w:rsid w:val="00A20348"/>
    <w:rsid w:val="00A203CF"/>
    <w:rsid w:val="00A203E1"/>
    <w:rsid w:val="00A2067A"/>
    <w:rsid w:val="00A206BF"/>
    <w:rsid w:val="00A20789"/>
    <w:rsid w:val="00A20802"/>
    <w:rsid w:val="00A209DC"/>
    <w:rsid w:val="00A209DE"/>
    <w:rsid w:val="00A20A00"/>
    <w:rsid w:val="00A20A5F"/>
    <w:rsid w:val="00A20A64"/>
    <w:rsid w:val="00A20B1E"/>
    <w:rsid w:val="00A20B33"/>
    <w:rsid w:val="00A20D8F"/>
    <w:rsid w:val="00A20EEF"/>
    <w:rsid w:val="00A20F12"/>
    <w:rsid w:val="00A21005"/>
    <w:rsid w:val="00A21045"/>
    <w:rsid w:val="00A210EF"/>
    <w:rsid w:val="00A2116A"/>
    <w:rsid w:val="00A2116D"/>
    <w:rsid w:val="00A211F8"/>
    <w:rsid w:val="00A2134B"/>
    <w:rsid w:val="00A213B8"/>
    <w:rsid w:val="00A21439"/>
    <w:rsid w:val="00A21463"/>
    <w:rsid w:val="00A2158D"/>
    <w:rsid w:val="00A215A0"/>
    <w:rsid w:val="00A21612"/>
    <w:rsid w:val="00A217E6"/>
    <w:rsid w:val="00A21807"/>
    <w:rsid w:val="00A2185F"/>
    <w:rsid w:val="00A21A2D"/>
    <w:rsid w:val="00A21A45"/>
    <w:rsid w:val="00A21A72"/>
    <w:rsid w:val="00A21A9B"/>
    <w:rsid w:val="00A21ADA"/>
    <w:rsid w:val="00A21BA7"/>
    <w:rsid w:val="00A21BD4"/>
    <w:rsid w:val="00A21C70"/>
    <w:rsid w:val="00A21C74"/>
    <w:rsid w:val="00A21CE0"/>
    <w:rsid w:val="00A21D1A"/>
    <w:rsid w:val="00A21EB4"/>
    <w:rsid w:val="00A21F79"/>
    <w:rsid w:val="00A2200F"/>
    <w:rsid w:val="00A22023"/>
    <w:rsid w:val="00A22110"/>
    <w:rsid w:val="00A221E9"/>
    <w:rsid w:val="00A222C6"/>
    <w:rsid w:val="00A22353"/>
    <w:rsid w:val="00A223C9"/>
    <w:rsid w:val="00A2240A"/>
    <w:rsid w:val="00A22537"/>
    <w:rsid w:val="00A22574"/>
    <w:rsid w:val="00A22577"/>
    <w:rsid w:val="00A22607"/>
    <w:rsid w:val="00A227C8"/>
    <w:rsid w:val="00A22843"/>
    <w:rsid w:val="00A228F9"/>
    <w:rsid w:val="00A22B32"/>
    <w:rsid w:val="00A22B3B"/>
    <w:rsid w:val="00A22B7F"/>
    <w:rsid w:val="00A22CA3"/>
    <w:rsid w:val="00A22CE7"/>
    <w:rsid w:val="00A22FBA"/>
    <w:rsid w:val="00A231A9"/>
    <w:rsid w:val="00A23294"/>
    <w:rsid w:val="00A232E9"/>
    <w:rsid w:val="00A23430"/>
    <w:rsid w:val="00A23433"/>
    <w:rsid w:val="00A23530"/>
    <w:rsid w:val="00A237A9"/>
    <w:rsid w:val="00A237E4"/>
    <w:rsid w:val="00A238A4"/>
    <w:rsid w:val="00A23989"/>
    <w:rsid w:val="00A239EC"/>
    <w:rsid w:val="00A23BAA"/>
    <w:rsid w:val="00A23BB5"/>
    <w:rsid w:val="00A23BEE"/>
    <w:rsid w:val="00A23CBD"/>
    <w:rsid w:val="00A23FD4"/>
    <w:rsid w:val="00A23FDC"/>
    <w:rsid w:val="00A23FF7"/>
    <w:rsid w:val="00A24003"/>
    <w:rsid w:val="00A2403D"/>
    <w:rsid w:val="00A24065"/>
    <w:rsid w:val="00A24142"/>
    <w:rsid w:val="00A24150"/>
    <w:rsid w:val="00A24226"/>
    <w:rsid w:val="00A242C1"/>
    <w:rsid w:val="00A242D9"/>
    <w:rsid w:val="00A24414"/>
    <w:rsid w:val="00A24442"/>
    <w:rsid w:val="00A2445D"/>
    <w:rsid w:val="00A24485"/>
    <w:rsid w:val="00A2469B"/>
    <w:rsid w:val="00A246B3"/>
    <w:rsid w:val="00A246E4"/>
    <w:rsid w:val="00A24830"/>
    <w:rsid w:val="00A2499F"/>
    <w:rsid w:val="00A24D55"/>
    <w:rsid w:val="00A24D77"/>
    <w:rsid w:val="00A24D7D"/>
    <w:rsid w:val="00A24EAF"/>
    <w:rsid w:val="00A2502C"/>
    <w:rsid w:val="00A250F7"/>
    <w:rsid w:val="00A2514A"/>
    <w:rsid w:val="00A2544F"/>
    <w:rsid w:val="00A25504"/>
    <w:rsid w:val="00A2562F"/>
    <w:rsid w:val="00A25661"/>
    <w:rsid w:val="00A257E7"/>
    <w:rsid w:val="00A258F4"/>
    <w:rsid w:val="00A25A91"/>
    <w:rsid w:val="00A25B0B"/>
    <w:rsid w:val="00A25B40"/>
    <w:rsid w:val="00A25C4E"/>
    <w:rsid w:val="00A25CB0"/>
    <w:rsid w:val="00A25D89"/>
    <w:rsid w:val="00A25F0D"/>
    <w:rsid w:val="00A25F59"/>
    <w:rsid w:val="00A25FA7"/>
    <w:rsid w:val="00A25FD1"/>
    <w:rsid w:val="00A26002"/>
    <w:rsid w:val="00A2600A"/>
    <w:rsid w:val="00A26055"/>
    <w:rsid w:val="00A261A7"/>
    <w:rsid w:val="00A261E0"/>
    <w:rsid w:val="00A262CC"/>
    <w:rsid w:val="00A26342"/>
    <w:rsid w:val="00A264CD"/>
    <w:rsid w:val="00A2657D"/>
    <w:rsid w:val="00A26744"/>
    <w:rsid w:val="00A2681C"/>
    <w:rsid w:val="00A2687B"/>
    <w:rsid w:val="00A26954"/>
    <w:rsid w:val="00A26A31"/>
    <w:rsid w:val="00A26AD0"/>
    <w:rsid w:val="00A26AF9"/>
    <w:rsid w:val="00A26B89"/>
    <w:rsid w:val="00A26E1F"/>
    <w:rsid w:val="00A26E5E"/>
    <w:rsid w:val="00A26F66"/>
    <w:rsid w:val="00A27039"/>
    <w:rsid w:val="00A27056"/>
    <w:rsid w:val="00A2744F"/>
    <w:rsid w:val="00A2746F"/>
    <w:rsid w:val="00A27509"/>
    <w:rsid w:val="00A27640"/>
    <w:rsid w:val="00A2780A"/>
    <w:rsid w:val="00A278AF"/>
    <w:rsid w:val="00A27B7A"/>
    <w:rsid w:val="00A27E68"/>
    <w:rsid w:val="00A302CD"/>
    <w:rsid w:val="00A3038D"/>
    <w:rsid w:val="00A30428"/>
    <w:rsid w:val="00A30431"/>
    <w:rsid w:val="00A306FC"/>
    <w:rsid w:val="00A307E2"/>
    <w:rsid w:val="00A307E6"/>
    <w:rsid w:val="00A308CD"/>
    <w:rsid w:val="00A309D3"/>
    <w:rsid w:val="00A30A69"/>
    <w:rsid w:val="00A30C1A"/>
    <w:rsid w:val="00A30C2E"/>
    <w:rsid w:val="00A30E5E"/>
    <w:rsid w:val="00A30E7B"/>
    <w:rsid w:val="00A30F02"/>
    <w:rsid w:val="00A30F72"/>
    <w:rsid w:val="00A30FD3"/>
    <w:rsid w:val="00A30FFF"/>
    <w:rsid w:val="00A3102F"/>
    <w:rsid w:val="00A31146"/>
    <w:rsid w:val="00A31253"/>
    <w:rsid w:val="00A3150B"/>
    <w:rsid w:val="00A315A1"/>
    <w:rsid w:val="00A315C6"/>
    <w:rsid w:val="00A3163E"/>
    <w:rsid w:val="00A316E3"/>
    <w:rsid w:val="00A317B5"/>
    <w:rsid w:val="00A317B6"/>
    <w:rsid w:val="00A31952"/>
    <w:rsid w:val="00A319A5"/>
    <w:rsid w:val="00A31AC9"/>
    <w:rsid w:val="00A31B7C"/>
    <w:rsid w:val="00A31C7B"/>
    <w:rsid w:val="00A31D41"/>
    <w:rsid w:val="00A31DA0"/>
    <w:rsid w:val="00A31E49"/>
    <w:rsid w:val="00A31E4C"/>
    <w:rsid w:val="00A31ECC"/>
    <w:rsid w:val="00A31EFE"/>
    <w:rsid w:val="00A3233D"/>
    <w:rsid w:val="00A323FE"/>
    <w:rsid w:val="00A32473"/>
    <w:rsid w:val="00A32480"/>
    <w:rsid w:val="00A325B5"/>
    <w:rsid w:val="00A326A2"/>
    <w:rsid w:val="00A327D7"/>
    <w:rsid w:val="00A327F4"/>
    <w:rsid w:val="00A327FE"/>
    <w:rsid w:val="00A3285B"/>
    <w:rsid w:val="00A3288B"/>
    <w:rsid w:val="00A328BF"/>
    <w:rsid w:val="00A3296B"/>
    <w:rsid w:val="00A329F0"/>
    <w:rsid w:val="00A32A3C"/>
    <w:rsid w:val="00A32BC3"/>
    <w:rsid w:val="00A32CB6"/>
    <w:rsid w:val="00A32D4E"/>
    <w:rsid w:val="00A32D52"/>
    <w:rsid w:val="00A32DA6"/>
    <w:rsid w:val="00A32E66"/>
    <w:rsid w:val="00A32EAB"/>
    <w:rsid w:val="00A330F1"/>
    <w:rsid w:val="00A33237"/>
    <w:rsid w:val="00A335B7"/>
    <w:rsid w:val="00A33668"/>
    <w:rsid w:val="00A33806"/>
    <w:rsid w:val="00A3396B"/>
    <w:rsid w:val="00A33A6D"/>
    <w:rsid w:val="00A33B0C"/>
    <w:rsid w:val="00A33B82"/>
    <w:rsid w:val="00A33BFC"/>
    <w:rsid w:val="00A33C74"/>
    <w:rsid w:val="00A33D97"/>
    <w:rsid w:val="00A33DCF"/>
    <w:rsid w:val="00A33E42"/>
    <w:rsid w:val="00A33E97"/>
    <w:rsid w:val="00A33EB7"/>
    <w:rsid w:val="00A33ECD"/>
    <w:rsid w:val="00A33F1F"/>
    <w:rsid w:val="00A33F69"/>
    <w:rsid w:val="00A34144"/>
    <w:rsid w:val="00A3417E"/>
    <w:rsid w:val="00A341F9"/>
    <w:rsid w:val="00A3431A"/>
    <w:rsid w:val="00A343D1"/>
    <w:rsid w:val="00A34467"/>
    <w:rsid w:val="00A34689"/>
    <w:rsid w:val="00A3497A"/>
    <w:rsid w:val="00A349BD"/>
    <w:rsid w:val="00A349CB"/>
    <w:rsid w:val="00A34A6F"/>
    <w:rsid w:val="00A34AFF"/>
    <w:rsid w:val="00A34B57"/>
    <w:rsid w:val="00A34C8A"/>
    <w:rsid w:val="00A34DFB"/>
    <w:rsid w:val="00A34E6C"/>
    <w:rsid w:val="00A34EBA"/>
    <w:rsid w:val="00A34F8A"/>
    <w:rsid w:val="00A35005"/>
    <w:rsid w:val="00A35047"/>
    <w:rsid w:val="00A350B7"/>
    <w:rsid w:val="00A3514D"/>
    <w:rsid w:val="00A3547F"/>
    <w:rsid w:val="00A35489"/>
    <w:rsid w:val="00A354B4"/>
    <w:rsid w:val="00A354FF"/>
    <w:rsid w:val="00A3571C"/>
    <w:rsid w:val="00A3578C"/>
    <w:rsid w:val="00A3596D"/>
    <w:rsid w:val="00A35B12"/>
    <w:rsid w:val="00A35D3F"/>
    <w:rsid w:val="00A35EEA"/>
    <w:rsid w:val="00A35F5D"/>
    <w:rsid w:val="00A35FFB"/>
    <w:rsid w:val="00A3602D"/>
    <w:rsid w:val="00A36140"/>
    <w:rsid w:val="00A36171"/>
    <w:rsid w:val="00A36205"/>
    <w:rsid w:val="00A3622C"/>
    <w:rsid w:val="00A36231"/>
    <w:rsid w:val="00A3623B"/>
    <w:rsid w:val="00A3626E"/>
    <w:rsid w:val="00A3629D"/>
    <w:rsid w:val="00A3649E"/>
    <w:rsid w:val="00A3663B"/>
    <w:rsid w:val="00A36AEB"/>
    <w:rsid w:val="00A36B00"/>
    <w:rsid w:val="00A36B21"/>
    <w:rsid w:val="00A36BDB"/>
    <w:rsid w:val="00A36C52"/>
    <w:rsid w:val="00A36EF8"/>
    <w:rsid w:val="00A36F33"/>
    <w:rsid w:val="00A36F4D"/>
    <w:rsid w:val="00A3702B"/>
    <w:rsid w:val="00A37270"/>
    <w:rsid w:val="00A372AB"/>
    <w:rsid w:val="00A3730F"/>
    <w:rsid w:val="00A373E8"/>
    <w:rsid w:val="00A3748B"/>
    <w:rsid w:val="00A37564"/>
    <w:rsid w:val="00A3762E"/>
    <w:rsid w:val="00A37630"/>
    <w:rsid w:val="00A37679"/>
    <w:rsid w:val="00A376A4"/>
    <w:rsid w:val="00A376BF"/>
    <w:rsid w:val="00A37714"/>
    <w:rsid w:val="00A37743"/>
    <w:rsid w:val="00A377AB"/>
    <w:rsid w:val="00A377F2"/>
    <w:rsid w:val="00A37899"/>
    <w:rsid w:val="00A378B7"/>
    <w:rsid w:val="00A37992"/>
    <w:rsid w:val="00A379F3"/>
    <w:rsid w:val="00A37B32"/>
    <w:rsid w:val="00A37E6A"/>
    <w:rsid w:val="00A400B8"/>
    <w:rsid w:val="00A402C7"/>
    <w:rsid w:val="00A4045F"/>
    <w:rsid w:val="00A40488"/>
    <w:rsid w:val="00A404C2"/>
    <w:rsid w:val="00A40566"/>
    <w:rsid w:val="00A40577"/>
    <w:rsid w:val="00A4057A"/>
    <w:rsid w:val="00A40644"/>
    <w:rsid w:val="00A4080E"/>
    <w:rsid w:val="00A4098E"/>
    <w:rsid w:val="00A409F1"/>
    <w:rsid w:val="00A40BB6"/>
    <w:rsid w:val="00A40C48"/>
    <w:rsid w:val="00A40C65"/>
    <w:rsid w:val="00A40F8D"/>
    <w:rsid w:val="00A41176"/>
    <w:rsid w:val="00A412B5"/>
    <w:rsid w:val="00A41339"/>
    <w:rsid w:val="00A41424"/>
    <w:rsid w:val="00A414CB"/>
    <w:rsid w:val="00A41572"/>
    <w:rsid w:val="00A417B3"/>
    <w:rsid w:val="00A41829"/>
    <w:rsid w:val="00A418CA"/>
    <w:rsid w:val="00A4191E"/>
    <w:rsid w:val="00A41A77"/>
    <w:rsid w:val="00A41D0C"/>
    <w:rsid w:val="00A41D93"/>
    <w:rsid w:val="00A41D99"/>
    <w:rsid w:val="00A41DD2"/>
    <w:rsid w:val="00A42094"/>
    <w:rsid w:val="00A420B8"/>
    <w:rsid w:val="00A422C3"/>
    <w:rsid w:val="00A42353"/>
    <w:rsid w:val="00A42497"/>
    <w:rsid w:val="00A425F5"/>
    <w:rsid w:val="00A425FF"/>
    <w:rsid w:val="00A4273B"/>
    <w:rsid w:val="00A42750"/>
    <w:rsid w:val="00A4277E"/>
    <w:rsid w:val="00A4279F"/>
    <w:rsid w:val="00A4282C"/>
    <w:rsid w:val="00A42896"/>
    <w:rsid w:val="00A428F0"/>
    <w:rsid w:val="00A4290C"/>
    <w:rsid w:val="00A42AE4"/>
    <w:rsid w:val="00A42B1F"/>
    <w:rsid w:val="00A42B2B"/>
    <w:rsid w:val="00A42B5D"/>
    <w:rsid w:val="00A42B96"/>
    <w:rsid w:val="00A42C5A"/>
    <w:rsid w:val="00A42C7F"/>
    <w:rsid w:val="00A42D6F"/>
    <w:rsid w:val="00A42E25"/>
    <w:rsid w:val="00A42E44"/>
    <w:rsid w:val="00A42EE4"/>
    <w:rsid w:val="00A42F19"/>
    <w:rsid w:val="00A42FC7"/>
    <w:rsid w:val="00A42FDA"/>
    <w:rsid w:val="00A4302C"/>
    <w:rsid w:val="00A4305D"/>
    <w:rsid w:val="00A43445"/>
    <w:rsid w:val="00A43520"/>
    <w:rsid w:val="00A4354A"/>
    <w:rsid w:val="00A4357F"/>
    <w:rsid w:val="00A43591"/>
    <w:rsid w:val="00A43675"/>
    <w:rsid w:val="00A43756"/>
    <w:rsid w:val="00A43823"/>
    <w:rsid w:val="00A43847"/>
    <w:rsid w:val="00A4396B"/>
    <w:rsid w:val="00A4398E"/>
    <w:rsid w:val="00A4398F"/>
    <w:rsid w:val="00A43A7E"/>
    <w:rsid w:val="00A43D12"/>
    <w:rsid w:val="00A43D60"/>
    <w:rsid w:val="00A43F34"/>
    <w:rsid w:val="00A440CC"/>
    <w:rsid w:val="00A4412D"/>
    <w:rsid w:val="00A4417A"/>
    <w:rsid w:val="00A443B9"/>
    <w:rsid w:val="00A44579"/>
    <w:rsid w:val="00A445B8"/>
    <w:rsid w:val="00A445CB"/>
    <w:rsid w:val="00A445EA"/>
    <w:rsid w:val="00A4462C"/>
    <w:rsid w:val="00A44675"/>
    <w:rsid w:val="00A446C3"/>
    <w:rsid w:val="00A446F8"/>
    <w:rsid w:val="00A447B0"/>
    <w:rsid w:val="00A447BD"/>
    <w:rsid w:val="00A44996"/>
    <w:rsid w:val="00A449A9"/>
    <w:rsid w:val="00A44A57"/>
    <w:rsid w:val="00A44AA8"/>
    <w:rsid w:val="00A44AC5"/>
    <w:rsid w:val="00A44AD6"/>
    <w:rsid w:val="00A44AED"/>
    <w:rsid w:val="00A44B6B"/>
    <w:rsid w:val="00A44BEE"/>
    <w:rsid w:val="00A44C30"/>
    <w:rsid w:val="00A44CAB"/>
    <w:rsid w:val="00A44D1C"/>
    <w:rsid w:val="00A44DB3"/>
    <w:rsid w:val="00A44F5C"/>
    <w:rsid w:val="00A44FDD"/>
    <w:rsid w:val="00A450B2"/>
    <w:rsid w:val="00A450B5"/>
    <w:rsid w:val="00A451C0"/>
    <w:rsid w:val="00A451D9"/>
    <w:rsid w:val="00A4533E"/>
    <w:rsid w:val="00A45490"/>
    <w:rsid w:val="00A455E9"/>
    <w:rsid w:val="00A45621"/>
    <w:rsid w:val="00A45629"/>
    <w:rsid w:val="00A45634"/>
    <w:rsid w:val="00A45647"/>
    <w:rsid w:val="00A45734"/>
    <w:rsid w:val="00A4576E"/>
    <w:rsid w:val="00A4578F"/>
    <w:rsid w:val="00A458D5"/>
    <w:rsid w:val="00A458F7"/>
    <w:rsid w:val="00A458FD"/>
    <w:rsid w:val="00A45B48"/>
    <w:rsid w:val="00A45CEC"/>
    <w:rsid w:val="00A45D32"/>
    <w:rsid w:val="00A45D59"/>
    <w:rsid w:val="00A45DCC"/>
    <w:rsid w:val="00A45E38"/>
    <w:rsid w:val="00A45FB2"/>
    <w:rsid w:val="00A45FF4"/>
    <w:rsid w:val="00A46001"/>
    <w:rsid w:val="00A460A7"/>
    <w:rsid w:val="00A460C0"/>
    <w:rsid w:val="00A46472"/>
    <w:rsid w:val="00A46475"/>
    <w:rsid w:val="00A464BA"/>
    <w:rsid w:val="00A46506"/>
    <w:rsid w:val="00A4658F"/>
    <w:rsid w:val="00A465DF"/>
    <w:rsid w:val="00A465FB"/>
    <w:rsid w:val="00A4667F"/>
    <w:rsid w:val="00A466B1"/>
    <w:rsid w:val="00A466CD"/>
    <w:rsid w:val="00A46805"/>
    <w:rsid w:val="00A468D4"/>
    <w:rsid w:val="00A46906"/>
    <w:rsid w:val="00A4692B"/>
    <w:rsid w:val="00A46A4C"/>
    <w:rsid w:val="00A46BA3"/>
    <w:rsid w:val="00A46C02"/>
    <w:rsid w:val="00A46E92"/>
    <w:rsid w:val="00A46ED3"/>
    <w:rsid w:val="00A46EDA"/>
    <w:rsid w:val="00A46EF8"/>
    <w:rsid w:val="00A47249"/>
    <w:rsid w:val="00A4732D"/>
    <w:rsid w:val="00A4736F"/>
    <w:rsid w:val="00A47424"/>
    <w:rsid w:val="00A47436"/>
    <w:rsid w:val="00A4748D"/>
    <w:rsid w:val="00A474FF"/>
    <w:rsid w:val="00A47511"/>
    <w:rsid w:val="00A47579"/>
    <w:rsid w:val="00A47635"/>
    <w:rsid w:val="00A47675"/>
    <w:rsid w:val="00A476A6"/>
    <w:rsid w:val="00A476DC"/>
    <w:rsid w:val="00A476F5"/>
    <w:rsid w:val="00A47758"/>
    <w:rsid w:val="00A4779E"/>
    <w:rsid w:val="00A477BD"/>
    <w:rsid w:val="00A477EC"/>
    <w:rsid w:val="00A4781A"/>
    <w:rsid w:val="00A47852"/>
    <w:rsid w:val="00A478E3"/>
    <w:rsid w:val="00A478EB"/>
    <w:rsid w:val="00A4793B"/>
    <w:rsid w:val="00A479B1"/>
    <w:rsid w:val="00A479FD"/>
    <w:rsid w:val="00A47A58"/>
    <w:rsid w:val="00A47B5F"/>
    <w:rsid w:val="00A47C38"/>
    <w:rsid w:val="00A47DE7"/>
    <w:rsid w:val="00A50067"/>
    <w:rsid w:val="00A5014A"/>
    <w:rsid w:val="00A5022A"/>
    <w:rsid w:val="00A50423"/>
    <w:rsid w:val="00A50478"/>
    <w:rsid w:val="00A50487"/>
    <w:rsid w:val="00A50499"/>
    <w:rsid w:val="00A504EE"/>
    <w:rsid w:val="00A50575"/>
    <w:rsid w:val="00A505C7"/>
    <w:rsid w:val="00A50628"/>
    <w:rsid w:val="00A507C6"/>
    <w:rsid w:val="00A507DE"/>
    <w:rsid w:val="00A5088D"/>
    <w:rsid w:val="00A50A85"/>
    <w:rsid w:val="00A50AC3"/>
    <w:rsid w:val="00A50B13"/>
    <w:rsid w:val="00A50C9C"/>
    <w:rsid w:val="00A50D58"/>
    <w:rsid w:val="00A50F05"/>
    <w:rsid w:val="00A50F64"/>
    <w:rsid w:val="00A50F93"/>
    <w:rsid w:val="00A50FAC"/>
    <w:rsid w:val="00A51002"/>
    <w:rsid w:val="00A510DD"/>
    <w:rsid w:val="00A51220"/>
    <w:rsid w:val="00A5131D"/>
    <w:rsid w:val="00A513DD"/>
    <w:rsid w:val="00A51572"/>
    <w:rsid w:val="00A5162D"/>
    <w:rsid w:val="00A5163D"/>
    <w:rsid w:val="00A51646"/>
    <w:rsid w:val="00A51762"/>
    <w:rsid w:val="00A5184F"/>
    <w:rsid w:val="00A518AF"/>
    <w:rsid w:val="00A5192A"/>
    <w:rsid w:val="00A519D7"/>
    <w:rsid w:val="00A51A52"/>
    <w:rsid w:val="00A51A5F"/>
    <w:rsid w:val="00A51A6B"/>
    <w:rsid w:val="00A51ACA"/>
    <w:rsid w:val="00A51C05"/>
    <w:rsid w:val="00A51C1B"/>
    <w:rsid w:val="00A51C63"/>
    <w:rsid w:val="00A51D12"/>
    <w:rsid w:val="00A51F7C"/>
    <w:rsid w:val="00A51FBD"/>
    <w:rsid w:val="00A52035"/>
    <w:rsid w:val="00A521FE"/>
    <w:rsid w:val="00A52265"/>
    <w:rsid w:val="00A5226A"/>
    <w:rsid w:val="00A522F5"/>
    <w:rsid w:val="00A523B6"/>
    <w:rsid w:val="00A523CC"/>
    <w:rsid w:val="00A523F3"/>
    <w:rsid w:val="00A52545"/>
    <w:rsid w:val="00A52610"/>
    <w:rsid w:val="00A5277E"/>
    <w:rsid w:val="00A5277F"/>
    <w:rsid w:val="00A5279B"/>
    <w:rsid w:val="00A52801"/>
    <w:rsid w:val="00A52815"/>
    <w:rsid w:val="00A528EE"/>
    <w:rsid w:val="00A52930"/>
    <w:rsid w:val="00A52A79"/>
    <w:rsid w:val="00A52BFA"/>
    <w:rsid w:val="00A52BFE"/>
    <w:rsid w:val="00A52D19"/>
    <w:rsid w:val="00A52E14"/>
    <w:rsid w:val="00A530B6"/>
    <w:rsid w:val="00A531AD"/>
    <w:rsid w:val="00A53228"/>
    <w:rsid w:val="00A5325F"/>
    <w:rsid w:val="00A53459"/>
    <w:rsid w:val="00A53565"/>
    <w:rsid w:val="00A535B4"/>
    <w:rsid w:val="00A536DE"/>
    <w:rsid w:val="00A53861"/>
    <w:rsid w:val="00A538C1"/>
    <w:rsid w:val="00A538C4"/>
    <w:rsid w:val="00A5391C"/>
    <w:rsid w:val="00A53937"/>
    <w:rsid w:val="00A53BEA"/>
    <w:rsid w:val="00A53CD6"/>
    <w:rsid w:val="00A53E6D"/>
    <w:rsid w:val="00A53EE8"/>
    <w:rsid w:val="00A53F0A"/>
    <w:rsid w:val="00A53F26"/>
    <w:rsid w:val="00A53FF5"/>
    <w:rsid w:val="00A54016"/>
    <w:rsid w:val="00A5412D"/>
    <w:rsid w:val="00A5423F"/>
    <w:rsid w:val="00A54274"/>
    <w:rsid w:val="00A5430E"/>
    <w:rsid w:val="00A5433D"/>
    <w:rsid w:val="00A54372"/>
    <w:rsid w:val="00A5446B"/>
    <w:rsid w:val="00A544D2"/>
    <w:rsid w:val="00A5452D"/>
    <w:rsid w:val="00A545CD"/>
    <w:rsid w:val="00A546B7"/>
    <w:rsid w:val="00A546D8"/>
    <w:rsid w:val="00A5472B"/>
    <w:rsid w:val="00A547E9"/>
    <w:rsid w:val="00A549FB"/>
    <w:rsid w:val="00A54A0E"/>
    <w:rsid w:val="00A54A98"/>
    <w:rsid w:val="00A54AC2"/>
    <w:rsid w:val="00A54B9B"/>
    <w:rsid w:val="00A54BBC"/>
    <w:rsid w:val="00A54C5B"/>
    <w:rsid w:val="00A54E0B"/>
    <w:rsid w:val="00A54EBA"/>
    <w:rsid w:val="00A54F10"/>
    <w:rsid w:val="00A5505E"/>
    <w:rsid w:val="00A554B9"/>
    <w:rsid w:val="00A55635"/>
    <w:rsid w:val="00A556C1"/>
    <w:rsid w:val="00A557D4"/>
    <w:rsid w:val="00A558D3"/>
    <w:rsid w:val="00A559B8"/>
    <w:rsid w:val="00A55A8F"/>
    <w:rsid w:val="00A55B3F"/>
    <w:rsid w:val="00A55B8C"/>
    <w:rsid w:val="00A55BF1"/>
    <w:rsid w:val="00A55EB7"/>
    <w:rsid w:val="00A55F3C"/>
    <w:rsid w:val="00A55FCF"/>
    <w:rsid w:val="00A56058"/>
    <w:rsid w:val="00A56147"/>
    <w:rsid w:val="00A561F1"/>
    <w:rsid w:val="00A563D8"/>
    <w:rsid w:val="00A56404"/>
    <w:rsid w:val="00A56438"/>
    <w:rsid w:val="00A5661F"/>
    <w:rsid w:val="00A566FD"/>
    <w:rsid w:val="00A56834"/>
    <w:rsid w:val="00A56878"/>
    <w:rsid w:val="00A568BE"/>
    <w:rsid w:val="00A56906"/>
    <w:rsid w:val="00A56911"/>
    <w:rsid w:val="00A569BF"/>
    <w:rsid w:val="00A56A7A"/>
    <w:rsid w:val="00A56B46"/>
    <w:rsid w:val="00A56BF3"/>
    <w:rsid w:val="00A56C89"/>
    <w:rsid w:val="00A56CFC"/>
    <w:rsid w:val="00A56D8E"/>
    <w:rsid w:val="00A56D9C"/>
    <w:rsid w:val="00A56E2F"/>
    <w:rsid w:val="00A56E62"/>
    <w:rsid w:val="00A56ECD"/>
    <w:rsid w:val="00A56FA6"/>
    <w:rsid w:val="00A57080"/>
    <w:rsid w:val="00A5713F"/>
    <w:rsid w:val="00A571B1"/>
    <w:rsid w:val="00A571E3"/>
    <w:rsid w:val="00A5739C"/>
    <w:rsid w:val="00A573D5"/>
    <w:rsid w:val="00A57462"/>
    <w:rsid w:val="00A57620"/>
    <w:rsid w:val="00A57651"/>
    <w:rsid w:val="00A57674"/>
    <w:rsid w:val="00A57826"/>
    <w:rsid w:val="00A57849"/>
    <w:rsid w:val="00A57A1C"/>
    <w:rsid w:val="00A57A80"/>
    <w:rsid w:val="00A57A89"/>
    <w:rsid w:val="00A57BA3"/>
    <w:rsid w:val="00A57BA7"/>
    <w:rsid w:val="00A57DB2"/>
    <w:rsid w:val="00A57F56"/>
    <w:rsid w:val="00A6003D"/>
    <w:rsid w:val="00A60056"/>
    <w:rsid w:val="00A60177"/>
    <w:rsid w:val="00A6021B"/>
    <w:rsid w:val="00A6026A"/>
    <w:rsid w:val="00A602A0"/>
    <w:rsid w:val="00A602A1"/>
    <w:rsid w:val="00A6046C"/>
    <w:rsid w:val="00A60490"/>
    <w:rsid w:val="00A604FB"/>
    <w:rsid w:val="00A60539"/>
    <w:rsid w:val="00A605F0"/>
    <w:rsid w:val="00A6068E"/>
    <w:rsid w:val="00A607F5"/>
    <w:rsid w:val="00A608BB"/>
    <w:rsid w:val="00A608E8"/>
    <w:rsid w:val="00A60913"/>
    <w:rsid w:val="00A60961"/>
    <w:rsid w:val="00A609E4"/>
    <w:rsid w:val="00A60A72"/>
    <w:rsid w:val="00A60ADD"/>
    <w:rsid w:val="00A60ADE"/>
    <w:rsid w:val="00A60B63"/>
    <w:rsid w:val="00A60C95"/>
    <w:rsid w:val="00A60CF4"/>
    <w:rsid w:val="00A60D0E"/>
    <w:rsid w:val="00A60DA1"/>
    <w:rsid w:val="00A60EDA"/>
    <w:rsid w:val="00A60F6A"/>
    <w:rsid w:val="00A61013"/>
    <w:rsid w:val="00A6111B"/>
    <w:rsid w:val="00A611F5"/>
    <w:rsid w:val="00A612F9"/>
    <w:rsid w:val="00A6149A"/>
    <w:rsid w:val="00A614BA"/>
    <w:rsid w:val="00A615C7"/>
    <w:rsid w:val="00A616FF"/>
    <w:rsid w:val="00A61736"/>
    <w:rsid w:val="00A617A0"/>
    <w:rsid w:val="00A617B3"/>
    <w:rsid w:val="00A61A54"/>
    <w:rsid w:val="00A61AE2"/>
    <w:rsid w:val="00A61C3A"/>
    <w:rsid w:val="00A61D8C"/>
    <w:rsid w:val="00A61DE3"/>
    <w:rsid w:val="00A61E67"/>
    <w:rsid w:val="00A61F79"/>
    <w:rsid w:val="00A62002"/>
    <w:rsid w:val="00A6200B"/>
    <w:rsid w:val="00A62022"/>
    <w:rsid w:val="00A622F0"/>
    <w:rsid w:val="00A6230A"/>
    <w:rsid w:val="00A62425"/>
    <w:rsid w:val="00A62527"/>
    <w:rsid w:val="00A628CF"/>
    <w:rsid w:val="00A62A06"/>
    <w:rsid w:val="00A62B92"/>
    <w:rsid w:val="00A62C7D"/>
    <w:rsid w:val="00A62D0B"/>
    <w:rsid w:val="00A62D31"/>
    <w:rsid w:val="00A62D54"/>
    <w:rsid w:val="00A62D5B"/>
    <w:rsid w:val="00A62E1F"/>
    <w:rsid w:val="00A62EE5"/>
    <w:rsid w:val="00A62F9C"/>
    <w:rsid w:val="00A63070"/>
    <w:rsid w:val="00A63086"/>
    <w:rsid w:val="00A631A4"/>
    <w:rsid w:val="00A631DC"/>
    <w:rsid w:val="00A63239"/>
    <w:rsid w:val="00A6333F"/>
    <w:rsid w:val="00A63471"/>
    <w:rsid w:val="00A634FE"/>
    <w:rsid w:val="00A6367C"/>
    <w:rsid w:val="00A6396C"/>
    <w:rsid w:val="00A639DE"/>
    <w:rsid w:val="00A63B52"/>
    <w:rsid w:val="00A63B7D"/>
    <w:rsid w:val="00A63CBE"/>
    <w:rsid w:val="00A63D37"/>
    <w:rsid w:val="00A63EE3"/>
    <w:rsid w:val="00A63EF6"/>
    <w:rsid w:val="00A63EFA"/>
    <w:rsid w:val="00A63F0B"/>
    <w:rsid w:val="00A63F9F"/>
    <w:rsid w:val="00A63FC9"/>
    <w:rsid w:val="00A64024"/>
    <w:rsid w:val="00A64092"/>
    <w:rsid w:val="00A6426B"/>
    <w:rsid w:val="00A642A6"/>
    <w:rsid w:val="00A643DD"/>
    <w:rsid w:val="00A64464"/>
    <w:rsid w:val="00A6447C"/>
    <w:rsid w:val="00A6461E"/>
    <w:rsid w:val="00A64896"/>
    <w:rsid w:val="00A64BF0"/>
    <w:rsid w:val="00A65065"/>
    <w:rsid w:val="00A650C7"/>
    <w:rsid w:val="00A65141"/>
    <w:rsid w:val="00A6515C"/>
    <w:rsid w:val="00A6515F"/>
    <w:rsid w:val="00A6527E"/>
    <w:rsid w:val="00A6546A"/>
    <w:rsid w:val="00A654AF"/>
    <w:rsid w:val="00A65543"/>
    <w:rsid w:val="00A656DD"/>
    <w:rsid w:val="00A6572B"/>
    <w:rsid w:val="00A65766"/>
    <w:rsid w:val="00A65856"/>
    <w:rsid w:val="00A65C51"/>
    <w:rsid w:val="00A65E58"/>
    <w:rsid w:val="00A65E71"/>
    <w:rsid w:val="00A65F04"/>
    <w:rsid w:val="00A66048"/>
    <w:rsid w:val="00A660E7"/>
    <w:rsid w:val="00A66161"/>
    <w:rsid w:val="00A661A9"/>
    <w:rsid w:val="00A661AA"/>
    <w:rsid w:val="00A661D0"/>
    <w:rsid w:val="00A66338"/>
    <w:rsid w:val="00A66434"/>
    <w:rsid w:val="00A66452"/>
    <w:rsid w:val="00A665F2"/>
    <w:rsid w:val="00A66662"/>
    <w:rsid w:val="00A66675"/>
    <w:rsid w:val="00A66858"/>
    <w:rsid w:val="00A66864"/>
    <w:rsid w:val="00A668C0"/>
    <w:rsid w:val="00A66945"/>
    <w:rsid w:val="00A66BB5"/>
    <w:rsid w:val="00A66E41"/>
    <w:rsid w:val="00A66F04"/>
    <w:rsid w:val="00A67021"/>
    <w:rsid w:val="00A670EC"/>
    <w:rsid w:val="00A671B9"/>
    <w:rsid w:val="00A67266"/>
    <w:rsid w:val="00A672C7"/>
    <w:rsid w:val="00A672E2"/>
    <w:rsid w:val="00A672F2"/>
    <w:rsid w:val="00A67481"/>
    <w:rsid w:val="00A67569"/>
    <w:rsid w:val="00A67588"/>
    <w:rsid w:val="00A675B9"/>
    <w:rsid w:val="00A675F4"/>
    <w:rsid w:val="00A677D8"/>
    <w:rsid w:val="00A678CE"/>
    <w:rsid w:val="00A67918"/>
    <w:rsid w:val="00A67987"/>
    <w:rsid w:val="00A679DF"/>
    <w:rsid w:val="00A67AB9"/>
    <w:rsid w:val="00A67B8D"/>
    <w:rsid w:val="00A67C6D"/>
    <w:rsid w:val="00A67E25"/>
    <w:rsid w:val="00A67ECD"/>
    <w:rsid w:val="00A67F14"/>
    <w:rsid w:val="00A67FC1"/>
    <w:rsid w:val="00A700F9"/>
    <w:rsid w:val="00A701AB"/>
    <w:rsid w:val="00A701C8"/>
    <w:rsid w:val="00A7022F"/>
    <w:rsid w:val="00A703B8"/>
    <w:rsid w:val="00A703E7"/>
    <w:rsid w:val="00A70506"/>
    <w:rsid w:val="00A70507"/>
    <w:rsid w:val="00A7051E"/>
    <w:rsid w:val="00A7076B"/>
    <w:rsid w:val="00A7079C"/>
    <w:rsid w:val="00A707FB"/>
    <w:rsid w:val="00A709E3"/>
    <w:rsid w:val="00A70A56"/>
    <w:rsid w:val="00A70B93"/>
    <w:rsid w:val="00A70BFF"/>
    <w:rsid w:val="00A70C53"/>
    <w:rsid w:val="00A70C6D"/>
    <w:rsid w:val="00A70EA0"/>
    <w:rsid w:val="00A70F40"/>
    <w:rsid w:val="00A70F7D"/>
    <w:rsid w:val="00A70F9B"/>
    <w:rsid w:val="00A71127"/>
    <w:rsid w:val="00A711E8"/>
    <w:rsid w:val="00A71383"/>
    <w:rsid w:val="00A713D7"/>
    <w:rsid w:val="00A713F8"/>
    <w:rsid w:val="00A714A0"/>
    <w:rsid w:val="00A715B0"/>
    <w:rsid w:val="00A715BD"/>
    <w:rsid w:val="00A715EC"/>
    <w:rsid w:val="00A715EE"/>
    <w:rsid w:val="00A71697"/>
    <w:rsid w:val="00A7169C"/>
    <w:rsid w:val="00A716F1"/>
    <w:rsid w:val="00A7171C"/>
    <w:rsid w:val="00A71874"/>
    <w:rsid w:val="00A718B6"/>
    <w:rsid w:val="00A719DF"/>
    <w:rsid w:val="00A71B43"/>
    <w:rsid w:val="00A71B74"/>
    <w:rsid w:val="00A71B84"/>
    <w:rsid w:val="00A71CBE"/>
    <w:rsid w:val="00A71DAE"/>
    <w:rsid w:val="00A71E1F"/>
    <w:rsid w:val="00A71E52"/>
    <w:rsid w:val="00A71E6C"/>
    <w:rsid w:val="00A71E76"/>
    <w:rsid w:val="00A71E9C"/>
    <w:rsid w:val="00A71F35"/>
    <w:rsid w:val="00A71FAC"/>
    <w:rsid w:val="00A71FB5"/>
    <w:rsid w:val="00A720D7"/>
    <w:rsid w:val="00A72112"/>
    <w:rsid w:val="00A72125"/>
    <w:rsid w:val="00A72190"/>
    <w:rsid w:val="00A72323"/>
    <w:rsid w:val="00A7241E"/>
    <w:rsid w:val="00A724D9"/>
    <w:rsid w:val="00A724EF"/>
    <w:rsid w:val="00A72534"/>
    <w:rsid w:val="00A7254C"/>
    <w:rsid w:val="00A7259C"/>
    <w:rsid w:val="00A725FF"/>
    <w:rsid w:val="00A726D4"/>
    <w:rsid w:val="00A72888"/>
    <w:rsid w:val="00A728D6"/>
    <w:rsid w:val="00A728FC"/>
    <w:rsid w:val="00A72A6F"/>
    <w:rsid w:val="00A72A7D"/>
    <w:rsid w:val="00A72AB0"/>
    <w:rsid w:val="00A72CBC"/>
    <w:rsid w:val="00A72CDD"/>
    <w:rsid w:val="00A72D0A"/>
    <w:rsid w:val="00A72E1D"/>
    <w:rsid w:val="00A72EE1"/>
    <w:rsid w:val="00A72F22"/>
    <w:rsid w:val="00A73072"/>
    <w:rsid w:val="00A73122"/>
    <w:rsid w:val="00A73359"/>
    <w:rsid w:val="00A7343F"/>
    <w:rsid w:val="00A73529"/>
    <w:rsid w:val="00A735D1"/>
    <w:rsid w:val="00A73635"/>
    <w:rsid w:val="00A736AA"/>
    <w:rsid w:val="00A736DC"/>
    <w:rsid w:val="00A7373C"/>
    <w:rsid w:val="00A73785"/>
    <w:rsid w:val="00A737D8"/>
    <w:rsid w:val="00A737F7"/>
    <w:rsid w:val="00A7383B"/>
    <w:rsid w:val="00A738AB"/>
    <w:rsid w:val="00A738CF"/>
    <w:rsid w:val="00A738E6"/>
    <w:rsid w:val="00A738F8"/>
    <w:rsid w:val="00A73905"/>
    <w:rsid w:val="00A73913"/>
    <w:rsid w:val="00A73A7F"/>
    <w:rsid w:val="00A73CBE"/>
    <w:rsid w:val="00A73E6F"/>
    <w:rsid w:val="00A73E73"/>
    <w:rsid w:val="00A73EA2"/>
    <w:rsid w:val="00A73F06"/>
    <w:rsid w:val="00A74021"/>
    <w:rsid w:val="00A740CB"/>
    <w:rsid w:val="00A74134"/>
    <w:rsid w:val="00A74150"/>
    <w:rsid w:val="00A74184"/>
    <w:rsid w:val="00A7420E"/>
    <w:rsid w:val="00A7423C"/>
    <w:rsid w:val="00A743E8"/>
    <w:rsid w:val="00A745A8"/>
    <w:rsid w:val="00A74609"/>
    <w:rsid w:val="00A747C9"/>
    <w:rsid w:val="00A748CE"/>
    <w:rsid w:val="00A74911"/>
    <w:rsid w:val="00A749E5"/>
    <w:rsid w:val="00A74A1E"/>
    <w:rsid w:val="00A74A9B"/>
    <w:rsid w:val="00A74B0A"/>
    <w:rsid w:val="00A74B11"/>
    <w:rsid w:val="00A74C94"/>
    <w:rsid w:val="00A74CAF"/>
    <w:rsid w:val="00A750A3"/>
    <w:rsid w:val="00A750AC"/>
    <w:rsid w:val="00A75136"/>
    <w:rsid w:val="00A7526C"/>
    <w:rsid w:val="00A7529C"/>
    <w:rsid w:val="00A752FA"/>
    <w:rsid w:val="00A7536A"/>
    <w:rsid w:val="00A75410"/>
    <w:rsid w:val="00A7548D"/>
    <w:rsid w:val="00A75562"/>
    <w:rsid w:val="00A755D2"/>
    <w:rsid w:val="00A755D7"/>
    <w:rsid w:val="00A755FA"/>
    <w:rsid w:val="00A75600"/>
    <w:rsid w:val="00A7574A"/>
    <w:rsid w:val="00A75757"/>
    <w:rsid w:val="00A75811"/>
    <w:rsid w:val="00A7581D"/>
    <w:rsid w:val="00A7594B"/>
    <w:rsid w:val="00A759B5"/>
    <w:rsid w:val="00A75B18"/>
    <w:rsid w:val="00A75C15"/>
    <w:rsid w:val="00A75D1B"/>
    <w:rsid w:val="00A75DD9"/>
    <w:rsid w:val="00A75ED9"/>
    <w:rsid w:val="00A75F65"/>
    <w:rsid w:val="00A76059"/>
    <w:rsid w:val="00A7606F"/>
    <w:rsid w:val="00A760C5"/>
    <w:rsid w:val="00A76579"/>
    <w:rsid w:val="00A765F2"/>
    <w:rsid w:val="00A76677"/>
    <w:rsid w:val="00A766A1"/>
    <w:rsid w:val="00A766E3"/>
    <w:rsid w:val="00A7679A"/>
    <w:rsid w:val="00A767F9"/>
    <w:rsid w:val="00A76A42"/>
    <w:rsid w:val="00A76B1D"/>
    <w:rsid w:val="00A76E72"/>
    <w:rsid w:val="00A76EFC"/>
    <w:rsid w:val="00A76F36"/>
    <w:rsid w:val="00A76FE8"/>
    <w:rsid w:val="00A76FED"/>
    <w:rsid w:val="00A7711A"/>
    <w:rsid w:val="00A77210"/>
    <w:rsid w:val="00A77223"/>
    <w:rsid w:val="00A772E4"/>
    <w:rsid w:val="00A77368"/>
    <w:rsid w:val="00A77370"/>
    <w:rsid w:val="00A7738E"/>
    <w:rsid w:val="00A773A7"/>
    <w:rsid w:val="00A773CD"/>
    <w:rsid w:val="00A7744C"/>
    <w:rsid w:val="00A774EF"/>
    <w:rsid w:val="00A77547"/>
    <w:rsid w:val="00A77550"/>
    <w:rsid w:val="00A77668"/>
    <w:rsid w:val="00A77716"/>
    <w:rsid w:val="00A77741"/>
    <w:rsid w:val="00A77763"/>
    <w:rsid w:val="00A7776E"/>
    <w:rsid w:val="00A7784D"/>
    <w:rsid w:val="00A77892"/>
    <w:rsid w:val="00A77AD1"/>
    <w:rsid w:val="00A77C35"/>
    <w:rsid w:val="00A77C3D"/>
    <w:rsid w:val="00A77CC5"/>
    <w:rsid w:val="00A77E54"/>
    <w:rsid w:val="00A80204"/>
    <w:rsid w:val="00A8044F"/>
    <w:rsid w:val="00A804B2"/>
    <w:rsid w:val="00A804C2"/>
    <w:rsid w:val="00A805A4"/>
    <w:rsid w:val="00A806FF"/>
    <w:rsid w:val="00A807A3"/>
    <w:rsid w:val="00A8083C"/>
    <w:rsid w:val="00A8085F"/>
    <w:rsid w:val="00A8088F"/>
    <w:rsid w:val="00A808D1"/>
    <w:rsid w:val="00A8093A"/>
    <w:rsid w:val="00A809D6"/>
    <w:rsid w:val="00A809F1"/>
    <w:rsid w:val="00A809FF"/>
    <w:rsid w:val="00A80B90"/>
    <w:rsid w:val="00A80C55"/>
    <w:rsid w:val="00A80D9E"/>
    <w:rsid w:val="00A80DB0"/>
    <w:rsid w:val="00A80E17"/>
    <w:rsid w:val="00A80E5D"/>
    <w:rsid w:val="00A80E61"/>
    <w:rsid w:val="00A80E82"/>
    <w:rsid w:val="00A80EDD"/>
    <w:rsid w:val="00A81079"/>
    <w:rsid w:val="00A8136D"/>
    <w:rsid w:val="00A813C4"/>
    <w:rsid w:val="00A8149B"/>
    <w:rsid w:val="00A81526"/>
    <w:rsid w:val="00A815A0"/>
    <w:rsid w:val="00A81701"/>
    <w:rsid w:val="00A8181F"/>
    <w:rsid w:val="00A8183E"/>
    <w:rsid w:val="00A819C5"/>
    <w:rsid w:val="00A819E7"/>
    <w:rsid w:val="00A81A19"/>
    <w:rsid w:val="00A81A4C"/>
    <w:rsid w:val="00A81A68"/>
    <w:rsid w:val="00A81BA9"/>
    <w:rsid w:val="00A81D11"/>
    <w:rsid w:val="00A81FD6"/>
    <w:rsid w:val="00A821D3"/>
    <w:rsid w:val="00A821ED"/>
    <w:rsid w:val="00A822F7"/>
    <w:rsid w:val="00A82747"/>
    <w:rsid w:val="00A8288F"/>
    <w:rsid w:val="00A829A0"/>
    <w:rsid w:val="00A829E0"/>
    <w:rsid w:val="00A82B24"/>
    <w:rsid w:val="00A82B8A"/>
    <w:rsid w:val="00A82BCB"/>
    <w:rsid w:val="00A82CD2"/>
    <w:rsid w:val="00A830B1"/>
    <w:rsid w:val="00A831E4"/>
    <w:rsid w:val="00A832DC"/>
    <w:rsid w:val="00A832E7"/>
    <w:rsid w:val="00A83445"/>
    <w:rsid w:val="00A834C1"/>
    <w:rsid w:val="00A8350E"/>
    <w:rsid w:val="00A8356E"/>
    <w:rsid w:val="00A835F0"/>
    <w:rsid w:val="00A83606"/>
    <w:rsid w:val="00A836AD"/>
    <w:rsid w:val="00A83892"/>
    <w:rsid w:val="00A83922"/>
    <w:rsid w:val="00A83996"/>
    <w:rsid w:val="00A83A15"/>
    <w:rsid w:val="00A83AA6"/>
    <w:rsid w:val="00A83AD9"/>
    <w:rsid w:val="00A83C46"/>
    <w:rsid w:val="00A83C65"/>
    <w:rsid w:val="00A83C7B"/>
    <w:rsid w:val="00A83C94"/>
    <w:rsid w:val="00A83CCD"/>
    <w:rsid w:val="00A83EE9"/>
    <w:rsid w:val="00A83F48"/>
    <w:rsid w:val="00A840FA"/>
    <w:rsid w:val="00A841A3"/>
    <w:rsid w:val="00A841F4"/>
    <w:rsid w:val="00A8424A"/>
    <w:rsid w:val="00A8436F"/>
    <w:rsid w:val="00A8438B"/>
    <w:rsid w:val="00A843CC"/>
    <w:rsid w:val="00A843D7"/>
    <w:rsid w:val="00A845EC"/>
    <w:rsid w:val="00A8464A"/>
    <w:rsid w:val="00A84811"/>
    <w:rsid w:val="00A84963"/>
    <w:rsid w:val="00A849C7"/>
    <w:rsid w:val="00A84AB5"/>
    <w:rsid w:val="00A84AE2"/>
    <w:rsid w:val="00A84B38"/>
    <w:rsid w:val="00A84B56"/>
    <w:rsid w:val="00A84C92"/>
    <w:rsid w:val="00A84DA5"/>
    <w:rsid w:val="00A84DE7"/>
    <w:rsid w:val="00A84E9F"/>
    <w:rsid w:val="00A84EF9"/>
    <w:rsid w:val="00A84F0E"/>
    <w:rsid w:val="00A84FAE"/>
    <w:rsid w:val="00A850A3"/>
    <w:rsid w:val="00A851B8"/>
    <w:rsid w:val="00A8529C"/>
    <w:rsid w:val="00A85312"/>
    <w:rsid w:val="00A85344"/>
    <w:rsid w:val="00A85458"/>
    <w:rsid w:val="00A85494"/>
    <w:rsid w:val="00A854B3"/>
    <w:rsid w:val="00A85538"/>
    <w:rsid w:val="00A85558"/>
    <w:rsid w:val="00A857D7"/>
    <w:rsid w:val="00A859FB"/>
    <w:rsid w:val="00A85AFE"/>
    <w:rsid w:val="00A85B3A"/>
    <w:rsid w:val="00A85C79"/>
    <w:rsid w:val="00A85C8F"/>
    <w:rsid w:val="00A85CBC"/>
    <w:rsid w:val="00A85D8C"/>
    <w:rsid w:val="00A85E7B"/>
    <w:rsid w:val="00A85EF9"/>
    <w:rsid w:val="00A85F5D"/>
    <w:rsid w:val="00A85F6D"/>
    <w:rsid w:val="00A86069"/>
    <w:rsid w:val="00A86310"/>
    <w:rsid w:val="00A86506"/>
    <w:rsid w:val="00A865B1"/>
    <w:rsid w:val="00A86757"/>
    <w:rsid w:val="00A86774"/>
    <w:rsid w:val="00A867A4"/>
    <w:rsid w:val="00A867EF"/>
    <w:rsid w:val="00A8682E"/>
    <w:rsid w:val="00A86925"/>
    <w:rsid w:val="00A86BA2"/>
    <w:rsid w:val="00A86C2C"/>
    <w:rsid w:val="00A86C88"/>
    <w:rsid w:val="00A86D63"/>
    <w:rsid w:val="00A86DA2"/>
    <w:rsid w:val="00A86E1F"/>
    <w:rsid w:val="00A86EE3"/>
    <w:rsid w:val="00A86F8B"/>
    <w:rsid w:val="00A8709E"/>
    <w:rsid w:val="00A8715B"/>
    <w:rsid w:val="00A87214"/>
    <w:rsid w:val="00A87287"/>
    <w:rsid w:val="00A8734F"/>
    <w:rsid w:val="00A8739E"/>
    <w:rsid w:val="00A87469"/>
    <w:rsid w:val="00A874EE"/>
    <w:rsid w:val="00A87595"/>
    <w:rsid w:val="00A875DF"/>
    <w:rsid w:val="00A87630"/>
    <w:rsid w:val="00A8766D"/>
    <w:rsid w:val="00A87684"/>
    <w:rsid w:val="00A8768C"/>
    <w:rsid w:val="00A8774A"/>
    <w:rsid w:val="00A8777E"/>
    <w:rsid w:val="00A87967"/>
    <w:rsid w:val="00A87978"/>
    <w:rsid w:val="00A8799C"/>
    <w:rsid w:val="00A87A6D"/>
    <w:rsid w:val="00A87B44"/>
    <w:rsid w:val="00A87F7C"/>
    <w:rsid w:val="00A90291"/>
    <w:rsid w:val="00A902C3"/>
    <w:rsid w:val="00A903AE"/>
    <w:rsid w:val="00A903BB"/>
    <w:rsid w:val="00A904F5"/>
    <w:rsid w:val="00A90540"/>
    <w:rsid w:val="00A90837"/>
    <w:rsid w:val="00A90A12"/>
    <w:rsid w:val="00A90A14"/>
    <w:rsid w:val="00A90A28"/>
    <w:rsid w:val="00A90A39"/>
    <w:rsid w:val="00A90AAC"/>
    <w:rsid w:val="00A90C0B"/>
    <w:rsid w:val="00A90D49"/>
    <w:rsid w:val="00A910B3"/>
    <w:rsid w:val="00A91159"/>
    <w:rsid w:val="00A91160"/>
    <w:rsid w:val="00A911A2"/>
    <w:rsid w:val="00A91237"/>
    <w:rsid w:val="00A9123F"/>
    <w:rsid w:val="00A912AA"/>
    <w:rsid w:val="00A913F0"/>
    <w:rsid w:val="00A9153D"/>
    <w:rsid w:val="00A91805"/>
    <w:rsid w:val="00A91828"/>
    <w:rsid w:val="00A919D7"/>
    <w:rsid w:val="00A91A58"/>
    <w:rsid w:val="00A91AC3"/>
    <w:rsid w:val="00A91B82"/>
    <w:rsid w:val="00A91BCB"/>
    <w:rsid w:val="00A91C25"/>
    <w:rsid w:val="00A91C43"/>
    <w:rsid w:val="00A91D19"/>
    <w:rsid w:val="00A91DFA"/>
    <w:rsid w:val="00A91DFF"/>
    <w:rsid w:val="00A91E55"/>
    <w:rsid w:val="00A91E6D"/>
    <w:rsid w:val="00A91F13"/>
    <w:rsid w:val="00A92079"/>
    <w:rsid w:val="00A920A1"/>
    <w:rsid w:val="00A920E7"/>
    <w:rsid w:val="00A92123"/>
    <w:rsid w:val="00A921F1"/>
    <w:rsid w:val="00A92215"/>
    <w:rsid w:val="00A92275"/>
    <w:rsid w:val="00A923AE"/>
    <w:rsid w:val="00A92598"/>
    <w:rsid w:val="00A92774"/>
    <w:rsid w:val="00A92BAA"/>
    <w:rsid w:val="00A92C02"/>
    <w:rsid w:val="00A92CB7"/>
    <w:rsid w:val="00A92D6E"/>
    <w:rsid w:val="00A92DE5"/>
    <w:rsid w:val="00A92F28"/>
    <w:rsid w:val="00A9310B"/>
    <w:rsid w:val="00A93149"/>
    <w:rsid w:val="00A93171"/>
    <w:rsid w:val="00A932BB"/>
    <w:rsid w:val="00A9350A"/>
    <w:rsid w:val="00A935A5"/>
    <w:rsid w:val="00A935FB"/>
    <w:rsid w:val="00A9373B"/>
    <w:rsid w:val="00A937D6"/>
    <w:rsid w:val="00A939EE"/>
    <w:rsid w:val="00A93A6C"/>
    <w:rsid w:val="00A93B46"/>
    <w:rsid w:val="00A93C92"/>
    <w:rsid w:val="00A93DDD"/>
    <w:rsid w:val="00A93DF2"/>
    <w:rsid w:val="00A940C6"/>
    <w:rsid w:val="00A940D2"/>
    <w:rsid w:val="00A941E6"/>
    <w:rsid w:val="00A9430C"/>
    <w:rsid w:val="00A94378"/>
    <w:rsid w:val="00A944B6"/>
    <w:rsid w:val="00A94529"/>
    <w:rsid w:val="00A945EF"/>
    <w:rsid w:val="00A9461D"/>
    <w:rsid w:val="00A94844"/>
    <w:rsid w:val="00A9490E"/>
    <w:rsid w:val="00A94A86"/>
    <w:rsid w:val="00A94A9E"/>
    <w:rsid w:val="00A94AD7"/>
    <w:rsid w:val="00A94B93"/>
    <w:rsid w:val="00A94C24"/>
    <w:rsid w:val="00A94C7A"/>
    <w:rsid w:val="00A94DDD"/>
    <w:rsid w:val="00A94EA7"/>
    <w:rsid w:val="00A94EC4"/>
    <w:rsid w:val="00A94F30"/>
    <w:rsid w:val="00A94FEF"/>
    <w:rsid w:val="00A9512D"/>
    <w:rsid w:val="00A951D5"/>
    <w:rsid w:val="00A9524C"/>
    <w:rsid w:val="00A952DF"/>
    <w:rsid w:val="00A953D4"/>
    <w:rsid w:val="00A9543D"/>
    <w:rsid w:val="00A955F8"/>
    <w:rsid w:val="00A9561B"/>
    <w:rsid w:val="00A956AC"/>
    <w:rsid w:val="00A957F5"/>
    <w:rsid w:val="00A95868"/>
    <w:rsid w:val="00A9589E"/>
    <w:rsid w:val="00A9590C"/>
    <w:rsid w:val="00A95991"/>
    <w:rsid w:val="00A959A2"/>
    <w:rsid w:val="00A959D4"/>
    <w:rsid w:val="00A95BE6"/>
    <w:rsid w:val="00A95C93"/>
    <w:rsid w:val="00A95D8C"/>
    <w:rsid w:val="00A95DBC"/>
    <w:rsid w:val="00A95FFB"/>
    <w:rsid w:val="00A96042"/>
    <w:rsid w:val="00A9609B"/>
    <w:rsid w:val="00A960B8"/>
    <w:rsid w:val="00A960C5"/>
    <w:rsid w:val="00A96218"/>
    <w:rsid w:val="00A963D1"/>
    <w:rsid w:val="00A963EB"/>
    <w:rsid w:val="00A96509"/>
    <w:rsid w:val="00A9659A"/>
    <w:rsid w:val="00A9667E"/>
    <w:rsid w:val="00A966C5"/>
    <w:rsid w:val="00A966C7"/>
    <w:rsid w:val="00A9671B"/>
    <w:rsid w:val="00A967AA"/>
    <w:rsid w:val="00A968DC"/>
    <w:rsid w:val="00A9698B"/>
    <w:rsid w:val="00A96C68"/>
    <w:rsid w:val="00A96C78"/>
    <w:rsid w:val="00A96DCB"/>
    <w:rsid w:val="00A96EAA"/>
    <w:rsid w:val="00A96F90"/>
    <w:rsid w:val="00A9705B"/>
    <w:rsid w:val="00A97308"/>
    <w:rsid w:val="00A97372"/>
    <w:rsid w:val="00A97397"/>
    <w:rsid w:val="00A973F7"/>
    <w:rsid w:val="00A9754E"/>
    <w:rsid w:val="00A9756E"/>
    <w:rsid w:val="00A9793E"/>
    <w:rsid w:val="00A979DC"/>
    <w:rsid w:val="00A97A20"/>
    <w:rsid w:val="00A97A42"/>
    <w:rsid w:val="00A97C44"/>
    <w:rsid w:val="00A97C57"/>
    <w:rsid w:val="00A97CBB"/>
    <w:rsid w:val="00A97CFB"/>
    <w:rsid w:val="00A97D0F"/>
    <w:rsid w:val="00A97E48"/>
    <w:rsid w:val="00A97F57"/>
    <w:rsid w:val="00A97F65"/>
    <w:rsid w:val="00AA004A"/>
    <w:rsid w:val="00AA0052"/>
    <w:rsid w:val="00AA00E5"/>
    <w:rsid w:val="00AA015A"/>
    <w:rsid w:val="00AA02EA"/>
    <w:rsid w:val="00AA0326"/>
    <w:rsid w:val="00AA03A3"/>
    <w:rsid w:val="00AA0466"/>
    <w:rsid w:val="00AA0470"/>
    <w:rsid w:val="00AA06DA"/>
    <w:rsid w:val="00AA09BE"/>
    <w:rsid w:val="00AA09D3"/>
    <w:rsid w:val="00AA0AFB"/>
    <w:rsid w:val="00AA0C93"/>
    <w:rsid w:val="00AA0CA7"/>
    <w:rsid w:val="00AA0CF4"/>
    <w:rsid w:val="00AA0F45"/>
    <w:rsid w:val="00AA0FA7"/>
    <w:rsid w:val="00AA112F"/>
    <w:rsid w:val="00AA1149"/>
    <w:rsid w:val="00AA11B5"/>
    <w:rsid w:val="00AA13EA"/>
    <w:rsid w:val="00AA1456"/>
    <w:rsid w:val="00AA156E"/>
    <w:rsid w:val="00AA16EB"/>
    <w:rsid w:val="00AA177E"/>
    <w:rsid w:val="00AA17CB"/>
    <w:rsid w:val="00AA188E"/>
    <w:rsid w:val="00AA18FA"/>
    <w:rsid w:val="00AA1941"/>
    <w:rsid w:val="00AA19B7"/>
    <w:rsid w:val="00AA1A13"/>
    <w:rsid w:val="00AA1AE8"/>
    <w:rsid w:val="00AA1CD7"/>
    <w:rsid w:val="00AA1D1E"/>
    <w:rsid w:val="00AA1D6E"/>
    <w:rsid w:val="00AA1E30"/>
    <w:rsid w:val="00AA1E60"/>
    <w:rsid w:val="00AA1EC9"/>
    <w:rsid w:val="00AA1EDA"/>
    <w:rsid w:val="00AA1EF2"/>
    <w:rsid w:val="00AA1FC3"/>
    <w:rsid w:val="00AA2067"/>
    <w:rsid w:val="00AA2114"/>
    <w:rsid w:val="00AA21A7"/>
    <w:rsid w:val="00AA2204"/>
    <w:rsid w:val="00AA22FD"/>
    <w:rsid w:val="00AA23DE"/>
    <w:rsid w:val="00AA23E3"/>
    <w:rsid w:val="00AA2403"/>
    <w:rsid w:val="00AA249E"/>
    <w:rsid w:val="00AA24F0"/>
    <w:rsid w:val="00AA2546"/>
    <w:rsid w:val="00AA266E"/>
    <w:rsid w:val="00AA2874"/>
    <w:rsid w:val="00AA2991"/>
    <w:rsid w:val="00AA29EA"/>
    <w:rsid w:val="00AA2B8F"/>
    <w:rsid w:val="00AA2BA4"/>
    <w:rsid w:val="00AA2C07"/>
    <w:rsid w:val="00AA2FF8"/>
    <w:rsid w:val="00AA30A6"/>
    <w:rsid w:val="00AA30E9"/>
    <w:rsid w:val="00AA3134"/>
    <w:rsid w:val="00AA31BC"/>
    <w:rsid w:val="00AA320F"/>
    <w:rsid w:val="00AA3210"/>
    <w:rsid w:val="00AA32A7"/>
    <w:rsid w:val="00AA32DA"/>
    <w:rsid w:val="00AA3419"/>
    <w:rsid w:val="00AA34CE"/>
    <w:rsid w:val="00AA353D"/>
    <w:rsid w:val="00AA367B"/>
    <w:rsid w:val="00AA37D1"/>
    <w:rsid w:val="00AA3805"/>
    <w:rsid w:val="00AA3956"/>
    <w:rsid w:val="00AA3B07"/>
    <w:rsid w:val="00AA3D12"/>
    <w:rsid w:val="00AA3D56"/>
    <w:rsid w:val="00AA3D73"/>
    <w:rsid w:val="00AA3DDA"/>
    <w:rsid w:val="00AA3EF1"/>
    <w:rsid w:val="00AA3F72"/>
    <w:rsid w:val="00AA4365"/>
    <w:rsid w:val="00AA43A3"/>
    <w:rsid w:val="00AA4407"/>
    <w:rsid w:val="00AA44B1"/>
    <w:rsid w:val="00AA452B"/>
    <w:rsid w:val="00AA4688"/>
    <w:rsid w:val="00AA481F"/>
    <w:rsid w:val="00AA485B"/>
    <w:rsid w:val="00AA4870"/>
    <w:rsid w:val="00AA49CB"/>
    <w:rsid w:val="00AA4B16"/>
    <w:rsid w:val="00AA4BAD"/>
    <w:rsid w:val="00AA4C8E"/>
    <w:rsid w:val="00AA4C96"/>
    <w:rsid w:val="00AA4D19"/>
    <w:rsid w:val="00AA4DDD"/>
    <w:rsid w:val="00AA4EAF"/>
    <w:rsid w:val="00AA5003"/>
    <w:rsid w:val="00AA51EA"/>
    <w:rsid w:val="00AA5265"/>
    <w:rsid w:val="00AA527E"/>
    <w:rsid w:val="00AA52E2"/>
    <w:rsid w:val="00AA5458"/>
    <w:rsid w:val="00AA55C2"/>
    <w:rsid w:val="00AA58E6"/>
    <w:rsid w:val="00AA5A4F"/>
    <w:rsid w:val="00AA5AFD"/>
    <w:rsid w:val="00AA5B1A"/>
    <w:rsid w:val="00AA5C52"/>
    <w:rsid w:val="00AA5D17"/>
    <w:rsid w:val="00AA5E23"/>
    <w:rsid w:val="00AA5E64"/>
    <w:rsid w:val="00AA5FB9"/>
    <w:rsid w:val="00AA5FBC"/>
    <w:rsid w:val="00AA5FC9"/>
    <w:rsid w:val="00AA6117"/>
    <w:rsid w:val="00AA612D"/>
    <w:rsid w:val="00AA6131"/>
    <w:rsid w:val="00AA6166"/>
    <w:rsid w:val="00AA6211"/>
    <w:rsid w:val="00AA6274"/>
    <w:rsid w:val="00AA63A2"/>
    <w:rsid w:val="00AA63B2"/>
    <w:rsid w:val="00AA66E6"/>
    <w:rsid w:val="00AA673E"/>
    <w:rsid w:val="00AA6856"/>
    <w:rsid w:val="00AA6969"/>
    <w:rsid w:val="00AA69A0"/>
    <w:rsid w:val="00AA6A03"/>
    <w:rsid w:val="00AA6A16"/>
    <w:rsid w:val="00AA6AC6"/>
    <w:rsid w:val="00AA6BB2"/>
    <w:rsid w:val="00AA6D1D"/>
    <w:rsid w:val="00AA6D3B"/>
    <w:rsid w:val="00AA6D95"/>
    <w:rsid w:val="00AA6DBC"/>
    <w:rsid w:val="00AA6ED3"/>
    <w:rsid w:val="00AA6F6D"/>
    <w:rsid w:val="00AA7048"/>
    <w:rsid w:val="00AA7190"/>
    <w:rsid w:val="00AA71F4"/>
    <w:rsid w:val="00AA7205"/>
    <w:rsid w:val="00AA723A"/>
    <w:rsid w:val="00AA7271"/>
    <w:rsid w:val="00AA7278"/>
    <w:rsid w:val="00AA72EF"/>
    <w:rsid w:val="00AA7367"/>
    <w:rsid w:val="00AA73D2"/>
    <w:rsid w:val="00AA74C8"/>
    <w:rsid w:val="00AA7529"/>
    <w:rsid w:val="00AA755E"/>
    <w:rsid w:val="00AA758D"/>
    <w:rsid w:val="00AA75B6"/>
    <w:rsid w:val="00AA75D8"/>
    <w:rsid w:val="00AA7736"/>
    <w:rsid w:val="00AA781B"/>
    <w:rsid w:val="00AA7839"/>
    <w:rsid w:val="00AA78AD"/>
    <w:rsid w:val="00AA7941"/>
    <w:rsid w:val="00AA7A7F"/>
    <w:rsid w:val="00AA7AF4"/>
    <w:rsid w:val="00AA7B2B"/>
    <w:rsid w:val="00AA7D0F"/>
    <w:rsid w:val="00AA7D6B"/>
    <w:rsid w:val="00AA7E26"/>
    <w:rsid w:val="00AA7F3C"/>
    <w:rsid w:val="00AB009E"/>
    <w:rsid w:val="00AB0332"/>
    <w:rsid w:val="00AB0346"/>
    <w:rsid w:val="00AB0368"/>
    <w:rsid w:val="00AB039D"/>
    <w:rsid w:val="00AB0447"/>
    <w:rsid w:val="00AB0458"/>
    <w:rsid w:val="00AB0468"/>
    <w:rsid w:val="00AB0493"/>
    <w:rsid w:val="00AB0619"/>
    <w:rsid w:val="00AB0629"/>
    <w:rsid w:val="00AB0809"/>
    <w:rsid w:val="00AB08EC"/>
    <w:rsid w:val="00AB0935"/>
    <w:rsid w:val="00AB09A9"/>
    <w:rsid w:val="00AB09DB"/>
    <w:rsid w:val="00AB0B09"/>
    <w:rsid w:val="00AB0B65"/>
    <w:rsid w:val="00AB0CF2"/>
    <w:rsid w:val="00AB0E0F"/>
    <w:rsid w:val="00AB0E5F"/>
    <w:rsid w:val="00AB0E94"/>
    <w:rsid w:val="00AB0F29"/>
    <w:rsid w:val="00AB1070"/>
    <w:rsid w:val="00AB1096"/>
    <w:rsid w:val="00AB10BB"/>
    <w:rsid w:val="00AB127A"/>
    <w:rsid w:val="00AB1289"/>
    <w:rsid w:val="00AB1304"/>
    <w:rsid w:val="00AB14B3"/>
    <w:rsid w:val="00AB14BF"/>
    <w:rsid w:val="00AB170F"/>
    <w:rsid w:val="00AB18FF"/>
    <w:rsid w:val="00AB19D5"/>
    <w:rsid w:val="00AB1AC9"/>
    <w:rsid w:val="00AB1B60"/>
    <w:rsid w:val="00AB1BD2"/>
    <w:rsid w:val="00AB1C28"/>
    <w:rsid w:val="00AB1E31"/>
    <w:rsid w:val="00AB1E56"/>
    <w:rsid w:val="00AB1F25"/>
    <w:rsid w:val="00AB207E"/>
    <w:rsid w:val="00AB209B"/>
    <w:rsid w:val="00AB20C6"/>
    <w:rsid w:val="00AB22C4"/>
    <w:rsid w:val="00AB22F8"/>
    <w:rsid w:val="00AB2389"/>
    <w:rsid w:val="00AB2510"/>
    <w:rsid w:val="00AB258F"/>
    <w:rsid w:val="00AB25D1"/>
    <w:rsid w:val="00AB281A"/>
    <w:rsid w:val="00AB29C7"/>
    <w:rsid w:val="00AB29CC"/>
    <w:rsid w:val="00AB29E8"/>
    <w:rsid w:val="00AB2A39"/>
    <w:rsid w:val="00AB2A92"/>
    <w:rsid w:val="00AB2B91"/>
    <w:rsid w:val="00AB2C7B"/>
    <w:rsid w:val="00AB2CE7"/>
    <w:rsid w:val="00AB2D26"/>
    <w:rsid w:val="00AB2DE4"/>
    <w:rsid w:val="00AB2DFD"/>
    <w:rsid w:val="00AB3317"/>
    <w:rsid w:val="00AB343B"/>
    <w:rsid w:val="00AB3463"/>
    <w:rsid w:val="00AB34B6"/>
    <w:rsid w:val="00AB3551"/>
    <w:rsid w:val="00AB36CA"/>
    <w:rsid w:val="00AB3964"/>
    <w:rsid w:val="00AB39F1"/>
    <w:rsid w:val="00AB3BED"/>
    <w:rsid w:val="00AB3C0C"/>
    <w:rsid w:val="00AB3CF1"/>
    <w:rsid w:val="00AB3D5E"/>
    <w:rsid w:val="00AB403E"/>
    <w:rsid w:val="00AB4179"/>
    <w:rsid w:val="00AB41CC"/>
    <w:rsid w:val="00AB4242"/>
    <w:rsid w:val="00AB4332"/>
    <w:rsid w:val="00AB43DB"/>
    <w:rsid w:val="00AB44DE"/>
    <w:rsid w:val="00AB4584"/>
    <w:rsid w:val="00AB462C"/>
    <w:rsid w:val="00AB463E"/>
    <w:rsid w:val="00AB4A8C"/>
    <w:rsid w:val="00AB4B54"/>
    <w:rsid w:val="00AB4D89"/>
    <w:rsid w:val="00AB4DDE"/>
    <w:rsid w:val="00AB4FAC"/>
    <w:rsid w:val="00AB4FB1"/>
    <w:rsid w:val="00AB50BE"/>
    <w:rsid w:val="00AB516F"/>
    <w:rsid w:val="00AB5207"/>
    <w:rsid w:val="00AB5244"/>
    <w:rsid w:val="00AB52CB"/>
    <w:rsid w:val="00AB5495"/>
    <w:rsid w:val="00AB55F8"/>
    <w:rsid w:val="00AB5662"/>
    <w:rsid w:val="00AB566C"/>
    <w:rsid w:val="00AB57FD"/>
    <w:rsid w:val="00AB58BC"/>
    <w:rsid w:val="00AB58E1"/>
    <w:rsid w:val="00AB599D"/>
    <w:rsid w:val="00AB5A73"/>
    <w:rsid w:val="00AB5DE5"/>
    <w:rsid w:val="00AB5EC8"/>
    <w:rsid w:val="00AB5F2E"/>
    <w:rsid w:val="00AB606C"/>
    <w:rsid w:val="00AB606E"/>
    <w:rsid w:val="00AB6098"/>
    <w:rsid w:val="00AB6140"/>
    <w:rsid w:val="00AB626C"/>
    <w:rsid w:val="00AB63B4"/>
    <w:rsid w:val="00AB63CA"/>
    <w:rsid w:val="00AB673D"/>
    <w:rsid w:val="00AB6867"/>
    <w:rsid w:val="00AB68D7"/>
    <w:rsid w:val="00AB697F"/>
    <w:rsid w:val="00AB6981"/>
    <w:rsid w:val="00AB6A44"/>
    <w:rsid w:val="00AB6AC1"/>
    <w:rsid w:val="00AB6B65"/>
    <w:rsid w:val="00AB6BAD"/>
    <w:rsid w:val="00AB6CDA"/>
    <w:rsid w:val="00AB6CFE"/>
    <w:rsid w:val="00AB6DB0"/>
    <w:rsid w:val="00AB6F16"/>
    <w:rsid w:val="00AB7073"/>
    <w:rsid w:val="00AB7396"/>
    <w:rsid w:val="00AB7737"/>
    <w:rsid w:val="00AB777B"/>
    <w:rsid w:val="00AB7797"/>
    <w:rsid w:val="00AB77EF"/>
    <w:rsid w:val="00AB78D4"/>
    <w:rsid w:val="00AB78F0"/>
    <w:rsid w:val="00AB79A2"/>
    <w:rsid w:val="00AB7C29"/>
    <w:rsid w:val="00AB7CC7"/>
    <w:rsid w:val="00AB7D7D"/>
    <w:rsid w:val="00AB7DC1"/>
    <w:rsid w:val="00AB7DCF"/>
    <w:rsid w:val="00AB7F42"/>
    <w:rsid w:val="00AB7F52"/>
    <w:rsid w:val="00AB7FD1"/>
    <w:rsid w:val="00AC0125"/>
    <w:rsid w:val="00AC0139"/>
    <w:rsid w:val="00AC01BB"/>
    <w:rsid w:val="00AC0202"/>
    <w:rsid w:val="00AC0211"/>
    <w:rsid w:val="00AC02E6"/>
    <w:rsid w:val="00AC03A5"/>
    <w:rsid w:val="00AC03E2"/>
    <w:rsid w:val="00AC045F"/>
    <w:rsid w:val="00AC05AD"/>
    <w:rsid w:val="00AC071D"/>
    <w:rsid w:val="00AC0772"/>
    <w:rsid w:val="00AC07D6"/>
    <w:rsid w:val="00AC08D2"/>
    <w:rsid w:val="00AC0993"/>
    <w:rsid w:val="00AC0C88"/>
    <w:rsid w:val="00AC0CC0"/>
    <w:rsid w:val="00AC0E89"/>
    <w:rsid w:val="00AC0E9F"/>
    <w:rsid w:val="00AC0F32"/>
    <w:rsid w:val="00AC0F55"/>
    <w:rsid w:val="00AC0F89"/>
    <w:rsid w:val="00AC0FBA"/>
    <w:rsid w:val="00AC0FBF"/>
    <w:rsid w:val="00AC147E"/>
    <w:rsid w:val="00AC155E"/>
    <w:rsid w:val="00AC1578"/>
    <w:rsid w:val="00AC1747"/>
    <w:rsid w:val="00AC17FE"/>
    <w:rsid w:val="00AC1802"/>
    <w:rsid w:val="00AC1B02"/>
    <w:rsid w:val="00AC1B7A"/>
    <w:rsid w:val="00AC1BFE"/>
    <w:rsid w:val="00AC1CC7"/>
    <w:rsid w:val="00AC1CFA"/>
    <w:rsid w:val="00AC206A"/>
    <w:rsid w:val="00AC20C5"/>
    <w:rsid w:val="00AC2119"/>
    <w:rsid w:val="00AC2237"/>
    <w:rsid w:val="00AC2268"/>
    <w:rsid w:val="00AC2295"/>
    <w:rsid w:val="00AC22E7"/>
    <w:rsid w:val="00AC231A"/>
    <w:rsid w:val="00AC23A1"/>
    <w:rsid w:val="00AC23F1"/>
    <w:rsid w:val="00AC24DD"/>
    <w:rsid w:val="00AC26DD"/>
    <w:rsid w:val="00AC2800"/>
    <w:rsid w:val="00AC2A42"/>
    <w:rsid w:val="00AC2ADF"/>
    <w:rsid w:val="00AC2B0C"/>
    <w:rsid w:val="00AC2D41"/>
    <w:rsid w:val="00AC2D42"/>
    <w:rsid w:val="00AC2D44"/>
    <w:rsid w:val="00AC2DDE"/>
    <w:rsid w:val="00AC2E69"/>
    <w:rsid w:val="00AC2F18"/>
    <w:rsid w:val="00AC2F5A"/>
    <w:rsid w:val="00AC2FD6"/>
    <w:rsid w:val="00AC308E"/>
    <w:rsid w:val="00AC31FE"/>
    <w:rsid w:val="00AC3467"/>
    <w:rsid w:val="00AC361A"/>
    <w:rsid w:val="00AC37F1"/>
    <w:rsid w:val="00AC3933"/>
    <w:rsid w:val="00AC3946"/>
    <w:rsid w:val="00AC397E"/>
    <w:rsid w:val="00AC39B5"/>
    <w:rsid w:val="00AC3C39"/>
    <w:rsid w:val="00AC3CAC"/>
    <w:rsid w:val="00AC3D1C"/>
    <w:rsid w:val="00AC3D62"/>
    <w:rsid w:val="00AC3E5C"/>
    <w:rsid w:val="00AC3F29"/>
    <w:rsid w:val="00AC4099"/>
    <w:rsid w:val="00AC4138"/>
    <w:rsid w:val="00AC41EF"/>
    <w:rsid w:val="00AC423A"/>
    <w:rsid w:val="00AC42A9"/>
    <w:rsid w:val="00AC42F9"/>
    <w:rsid w:val="00AC4316"/>
    <w:rsid w:val="00AC4384"/>
    <w:rsid w:val="00AC444C"/>
    <w:rsid w:val="00AC449B"/>
    <w:rsid w:val="00AC44A1"/>
    <w:rsid w:val="00AC4851"/>
    <w:rsid w:val="00AC4A61"/>
    <w:rsid w:val="00AC4B39"/>
    <w:rsid w:val="00AC4B8B"/>
    <w:rsid w:val="00AC4BE4"/>
    <w:rsid w:val="00AC4C59"/>
    <w:rsid w:val="00AC4C93"/>
    <w:rsid w:val="00AC4DF1"/>
    <w:rsid w:val="00AC4E98"/>
    <w:rsid w:val="00AC4F22"/>
    <w:rsid w:val="00AC50EA"/>
    <w:rsid w:val="00AC5156"/>
    <w:rsid w:val="00AC52C7"/>
    <w:rsid w:val="00AC52C9"/>
    <w:rsid w:val="00AC5302"/>
    <w:rsid w:val="00AC5372"/>
    <w:rsid w:val="00AC550D"/>
    <w:rsid w:val="00AC55AF"/>
    <w:rsid w:val="00AC5656"/>
    <w:rsid w:val="00AC569B"/>
    <w:rsid w:val="00AC56D0"/>
    <w:rsid w:val="00AC570D"/>
    <w:rsid w:val="00AC5751"/>
    <w:rsid w:val="00AC5808"/>
    <w:rsid w:val="00AC582F"/>
    <w:rsid w:val="00AC5864"/>
    <w:rsid w:val="00AC58C5"/>
    <w:rsid w:val="00AC5913"/>
    <w:rsid w:val="00AC5ABC"/>
    <w:rsid w:val="00AC5B17"/>
    <w:rsid w:val="00AC5C40"/>
    <w:rsid w:val="00AC5CC2"/>
    <w:rsid w:val="00AC5D8B"/>
    <w:rsid w:val="00AC5D92"/>
    <w:rsid w:val="00AC5EA6"/>
    <w:rsid w:val="00AC5EE0"/>
    <w:rsid w:val="00AC5F17"/>
    <w:rsid w:val="00AC6056"/>
    <w:rsid w:val="00AC6129"/>
    <w:rsid w:val="00AC616A"/>
    <w:rsid w:val="00AC629B"/>
    <w:rsid w:val="00AC62B8"/>
    <w:rsid w:val="00AC6352"/>
    <w:rsid w:val="00AC6360"/>
    <w:rsid w:val="00AC637D"/>
    <w:rsid w:val="00AC6508"/>
    <w:rsid w:val="00AC668C"/>
    <w:rsid w:val="00AC68AA"/>
    <w:rsid w:val="00AC68ED"/>
    <w:rsid w:val="00AC6928"/>
    <w:rsid w:val="00AC6A51"/>
    <w:rsid w:val="00AC6A64"/>
    <w:rsid w:val="00AC6B76"/>
    <w:rsid w:val="00AC6BC8"/>
    <w:rsid w:val="00AC6D37"/>
    <w:rsid w:val="00AC6D80"/>
    <w:rsid w:val="00AC6DA3"/>
    <w:rsid w:val="00AC6DF7"/>
    <w:rsid w:val="00AC6F35"/>
    <w:rsid w:val="00AC6F7B"/>
    <w:rsid w:val="00AC6FD8"/>
    <w:rsid w:val="00AC70B4"/>
    <w:rsid w:val="00AC7195"/>
    <w:rsid w:val="00AC71D7"/>
    <w:rsid w:val="00AC722D"/>
    <w:rsid w:val="00AC72BC"/>
    <w:rsid w:val="00AC7315"/>
    <w:rsid w:val="00AC7320"/>
    <w:rsid w:val="00AC75EF"/>
    <w:rsid w:val="00AC76FE"/>
    <w:rsid w:val="00AC7770"/>
    <w:rsid w:val="00AC796C"/>
    <w:rsid w:val="00AC79B8"/>
    <w:rsid w:val="00AC7A3B"/>
    <w:rsid w:val="00AC7A55"/>
    <w:rsid w:val="00AC7A63"/>
    <w:rsid w:val="00AC7B38"/>
    <w:rsid w:val="00AC7D05"/>
    <w:rsid w:val="00AC7DB1"/>
    <w:rsid w:val="00AC7E58"/>
    <w:rsid w:val="00AC7E8A"/>
    <w:rsid w:val="00AC7F01"/>
    <w:rsid w:val="00AC7F9B"/>
    <w:rsid w:val="00AD0170"/>
    <w:rsid w:val="00AD01CE"/>
    <w:rsid w:val="00AD04E6"/>
    <w:rsid w:val="00AD06DC"/>
    <w:rsid w:val="00AD080C"/>
    <w:rsid w:val="00AD09FE"/>
    <w:rsid w:val="00AD0BE7"/>
    <w:rsid w:val="00AD0C9A"/>
    <w:rsid w:val="00AD0CA4"/>
    <w:rsid w:val="00AD0D42"/>
    <w:rsid w:val="00AD0F77"/>
    <w:rsid w:val="00AD0FC5"/>
    <w:rsid w:val="00AD1053"/>
    <w:rsid w:val="00AD1088"/>
    <w:rsid w:val="00AD1171"/>
    <w:rsid w:val="00AD11BE"/>
    <w:rsid w:val="00AD11ED"/>
    <w:rsid w:val="00AD123E"/>
    <w:rsid w:val="00AD12F4"/>
    <w:rsid w:val="00AD1334"/>
    <w:rsid w:val="00AD13EE"/>
    <w:rsid w:val="00AD1405"/>
    <w:rsid w:val="00AD1443"/>
    <w:rsid w:val="00AD1479"/>
    <w:rsid w:val="00AD1610"/>
    <w:rsid w:val="00AD164F"/>
    <w:rsid w:val="00AD1744"/>
    <w:rsid w:val="00AD1869"/>
    <w:rsid w:val="00AD18D9"/>
    <w:rsid w:val="00AD196C"/>
    <w:rsid w:val="00AD1C22"/>
    <w:rsid w:val="00AD1C2C"/>
    <w:rsid w:val="00AD1D2B"/>
    <w:rsid w:val="00AD1D7B"/>
    <w:rsid w:val="00AD1DE7"/>
    <w:rsid w:val="00AD1E3A"/>
    <w:rsid w:val="00AD1E67"/>
    <w:rsid w:val="00AD1EB5"/>
    <w:rsid w:val="00AD1F5C"/>
    <w:rsid w:val="00AD1F6B"/>
    <w:rsid w:val="00AD20E1"/>
    <w:rsid w:val="00AD23A8"/>
    <w:rsid w:val="00AD2405"/>
    <w:rsid w:val="00AD243E"/>
    <w:rsid w:val="00AD2456"/>
    <w:rsid w:val="00AD24CF"/>
    <w:rsid w:val="00AD29D6"/>
    <w:rsid w:val="00AD2A7B"/>
    <w:rsid w:val="00AD2B16"/>
    <w:rsid w:val="00AD2BFA"/>
    <w:rsid w:val="00AD2E50"/>
    <w:rsid w:val="00AD2E5B"/>
    <w:rsid w:val="00AD2FE5"/>
    <w:rsid w:val="00AD30D5"/>
    <w:rsid w:val="00AD30E8"/>
    <w:rsid w:val="00AD311B"/>
    <w:rsid w:val="00AD31CE"/>
    <w:rsid w:val="00AD324F"/>
    <w:rsid w:val="00AD3307"/>
    <w:rsid w:val="00AD33CF"/>
    <w:rsid w:val="00AD33D2"/>
    <w:rsid w:val="00AD3467"/>
    <w:rsid w:val="00AD35DB"/>
    <w:rsid w:val="00AD3624"/>
    <w:rsid w:val="00AD36FE"/>
    <w:rsid w:val="00AD3705"/>
    <w:rsid w:val="00AD38BF"/>
    <w:rsid w:val="00AD3A4E"/>
    <w:rsid w:val="00AD3B00"/>
    <w:rsid w:val="00AD3D09"/>
    <w:rsid w:val="00AD3D0E"/>
    <w:rsid w:val="00AD3DF5"/>
    <w:rsid w:val="00AD3DF8"/>
    <w:rsid w:val="00AD3E39"/>
    <w:rsid w:val="00AD3FB3"/>
    <w:rsid w:val="00AD3FB8"/>
    <w:rsid w:val="00AD411A"/>
    <w:rsid w:val="00AD4159"/>
    <w:rsid w:val="00AD4275"/>
    <w:rsid w:val="00AD4279"/>
    <w:rsid w:val="00AD4306"/>
    <w:rsid w:val="00AD4458"/>
    <w:rsid w:val="00AD454B"/>
    <w:rsid w:val="00AD45F1"/>
    <w:rsid w:val="00AD4666"/>
    <w:rsid w:val="00AD46A0"/>
    <w:rsid w:val="00AD46B5"/>
    <w:rsid w:val="00AD46C5"/>
    <w:rsid w:val="00AD4742"/>
    <w:rsid w:val="00AD483F"/>
    <w:rsid w:val="00AD4989"/>
    <w:rsid w:val="00AD49E8"/>
    <w:rsid w:val="00AD4A10"/>
    <w:rsid w:val="00AD4A3D"/>
    <w:rsid w:val="00AD4C15"/>
    <w:rsid w:val="00AD4CE1"/>
    <w:rsid w:val="00AD4D38"/>
    <w:rsid w:val="00AD4DED"/>
    <w:rsid w:val="00AD4EB3"/>
    <w:rsid w:val="00AD5128"/>
    <w:rsid w:val="00AD51A4"/>
    <w:rsid w:val="00AD53AB"/>
    <w:rsid w:val="00AD5476"/>
    <w:rsid w:val="00AD547C"/>
    <w:rsid w:val="00AD5483"/>
    <w:rsid w:val="00AD54D2"/>
    <w:rsid w:val="00AD5518"/>
    <w:rsid w:val="00AD564A"/>
    <w:rsid w:val="00AD56B6"/>
    <w:rsid w:val="00AD5788"/>
    <w:rsid w:val="00AD5863"/>
    <w:rsid w:val="00AD5BBA"/>
    <w:rsid w:val="00AD5C4F"/>
    <w:rsid w:val="00AD5DA6"/>
    <w:rsid w:val="00AD5DB1"/>
    <w:rsid w:val="00AD5E0C"/>
    <w:rsid w:val="00AD5F05"/>
    <w:rsid w:val="00AD5F75"/>
    <w:rsid w:val="00AD607C"/>
    <w:rsid w:val="00AD6162"/>
    <w:rsid w:val="00AD6233"/>
    <w:rsid w:val="00AD62C0"/>
    <w:rsid w:val="00AD6342"/>
    <w:rsid w:val="00AD63E9"/>
    <w:rsid w:val="00AD6449"/>
    <w:rsid w:val="00AD657E"/>
    <w:rsid w:val="00AD6652"/>
    <w:rsid w:val="00AD6695"/>
    <w:rsid w:val="00AD669F"/>
    <w:rsid w:val="00AD66D8"/>
    <w:rsid w:val="00AD66E9"/>
    <w:rsid w:val="00AD66EB"/>
    <w:rsid w:val="00AD6755"/>
    <w:rsid w:val="00AD67D3"/>
    <w:rsid w:val="00AD6890"/>
    <w:rsid w:val="00AD68E1"/>
    <w:rsid w:val="00AD6A3C"/>
    <w:rsid w:val="00AD6B10"/>
    <w:rsid w:val="00AD6B54"/>
    <w:rsid w:val="00AD6C08"/>
    <w:rsid w:val="00AD6CEF"/>
    <w:rsid w:val="00AD6D94"/>
    <w:rsid w:val="00AD6F42"/>
    <w:rsid w:val="00AD6F8C"/>
    <w:rsid w:val="00AD6FE3"/>
    <w:rsid w:val="00AD6FF2"/>
    <w:rsid w:val="00AD7013"/>
    <w:rsid w:val="00AD703A"/>
    <w:rsid w:val="00AD709C"/>
    <w:rsid w:val="00AD70BC"/>
    <w:rsid w:val="00AD71F4"/>
    <w:rsid w:val="00AD737B"/>
    <w:rsid w:val="00AD75E4"/>
    <w:rsid w:val="00AD75F7"/>
    <w:rsid w:val="00AD7682"/>
    <w:rsid w:val="00AD76CB"/>
    <w:rsid w:val="00AD7874"/>
    <w:rsid w:val="00AD78BF"/>
    <w:rsid w:val="00AD7987"/>
    <w:rsid w:val="00AD7A1A"/>
    <w:rsid w:val="00AD7B1E"/>
    <w:rsid w:val="00AD7C16"/>
    <w:rsid w:val="00AD7C54"/>
    <w:rsid w:val="00AD7D18"/>
    <w:rsid w:val="00AD7D91"/>
    <w:rsid w:val="00AD7F65"/>
    <w:rsid w:val="00AE0085"/>
    <w:rsid w:val="00AE00DA"/>
    <w:rsid w:val="00AE0215"/>
    <w:rsid w:val="00AE0242"/>
    <w:rsid w:val="00AE0276"/>
    <w:rsid w:val="00AE034D"/>
    <w:rsid w:val="00AE039D"/>
    <w:rsid w:val="00AE0626"/>
    <w:rsid w:val="00AE06FD"/>
    <w:rsid w:val="00AE0748"/>
    <w:rsid w:val="00AE07A0"/>
    <w:rsid w:val="00AE0810"/>
    <w:rsid w:val="00AE09A2"/>
    <w:rsid w:val="00AE0A18"/>
    <w:rsid w:val="00AE0A2F"/>
    <w:rsid w:val="00AE0A9E"/>
    <w:rsid w:val="00AE0AB3"/>
    <w:rsid w:val="00AE0B24"/>
    <w:rsid w:val="00AE0B2B"/>
    <w:rsid w:val="00AE0CEC"/>
    <w:rsid w:val="00AE0D4D"/>
    <w:rsid w:val="00AE0D58"/>
    <w:rsid w:val="00AE0E5D"/>
    <w:rsid w:val="00AE0EA2"/>
    <w:rsid w:val="00AE0ED5"/>
    <w:rsid w:val="00AE0F37"/>
    <w:rsid w:val="00AE0F90"/>
    <w:rsid w:val="00AE1105"/>
    <w:rsid w:val="00AE13E4"/>
    <w:rsid w:val="00AE14A9"/>
    <w:rsid w:val="00AE1599"/>
    <w:rsid w:val="00AE15D1"/>
    <w:rsid w:val="00AE15DF"/>
    <w:rsid w:val="00AE193A"/>
    <w:rsid w:val="00AE1B3B"/>
    <w:rsid w:val="00AE1C01"/>
    <w:rsid w:val="00AE1C7A"/>
    <w:rsid w:val="00AE1C9E"/>
    <w:rsid w:val="00AE1CC1"/>
    <w:rsid w:val="00AE1E55"/>
    <w:rsid w:val="00AE2073"/>
    <w:rsid w:val="00AE2183"/>
    <w:rsid w:val="00AE21B5"/>
    <w:rsid w:val="00AE2242"/>
    <w:rsid w:val="00AE2522"/>
    <w:rsid w:val="00AE2691"/>
    <w:rsid w:val="00AE26C6"/>
    <w:rsid w:val="00AE2759"/>
    <w:rsid w:val="00AE2876"/>
    <w:rsid w:val="00AE28AB"/>
    <w:rsid w:val="00AE2A0D"/>
    <w:rsid w:val="00AE2AD1"/>
    <w:rsid w:val="00AE2B54"/>
    <w:rsid w:val="00AE2D36"/>
    <w:rsid w:val="00AE2D4A"/>
    <w:rsid w:val="00AE2EBA"/>
    <w:rsid w:val="00AE2F10"/>
    <w:rsid w:val="00AE2FB5"/>
    <w:rsid w:val="00AE30E6"/>
    <w:rsid w:val="00AE310B"/>
    <w:rsid w:val="00AE319B"/>
    <w:rsid w:val="00AE327A"/>
    <w:rsid w:val="00AE3449"/>
    <w:rsid w:val="00AE36D1"/>
    <w:rsid w:val="00AE37A4"/>
    <w:rsid w:val="00AE385B"/>
    <w:rsid w:val="00AE3A6C"/>
    <w:rsid w:val="00AE3ADB"/>
    <w:rsid w:val="00AE3B89"/>
    <w:rsid w:val="00AE3BCB"/>
    <w:rsid w:val="00AE3C72"/>
    <w:rsid w:val="00AE3D42"/>
    <w:rsid w:val="00AE3D45"/>
    <w:rsid w:val="00AE3D6E"/>
    <w:rsid w:val="00AE3D9C"/>
    <w:rsid w:val="00AE3DC0"/>
    <w:rsid w:val="00AE3EEA"/>
    <w:rsid w:val="00AE3F9C"/>
    <w:rsid w:val="00AE404A"/>
    <w:rsid w:val="00AE4081"/>
    <w:rsid w:val="00AE42D0"/>
    <w:rsid w:val="00AE445C"/>
    <w:rsid w:val="00AE4494"/>
    <w:rsid w:val="00AE449B"/>
    <w:rsid w:val="00AE452E"/>
    <w:rsid w:val="00AE45BD"/>
    <w:rsid w:val="00AE45F8"/>
    <w:rsid w:val="00AE4761"/>
    <w:rsid w:val="00AE48EB"/>
    <w:rsid w:val="00AE48F4"/>
    <w:rsid w:val="00AE4922"/>
    <w:rsid w:val="00AE4A5D"/>
    <w:rsid w:val="00AE4A6E"/>
    <w:rsid w:val="00AE4AA0"/>
    <w:rsid w:val="00AE4B05"/>
    <w:rsid w:val="00AE4B9F"/>
    <w:rsid w:val="00AE4C0F"/>
    <w:rsid w:val="00AE4E89"/>
    <w:rsid w:val="00AE4F3D"/>
    <w:rsid w:val="00AE4FBB"/>
    <w:rsid w:val="00AE4FC2"/>
    <w:rsid w:val="00AE503A"/>
    <w:rsid w:val="00AE50D9"/>
    <w:rsid w:val="00AE512F"/>
    <w:rsid w:val="00AE51FF"/>
    <w:rsid w:val="00AE5226"/>
    <w:rsid w:val="00AE52E2"/>
    <w:rsid w:val="00AE5366"/>
    <w:rsid w:val="00AE539F"/>
    <w:rsid w:val="00AE53B2"/>
    <w:rsid w:val="00AE540E"/>
    <w:rsid w:val="00AE5565"/>
    <w:rsid w:val="00AE563C"/>
    <w:rsid w:val="00AE56F3"/>
    <w:rsid w:val="00AE57A0"/>
    <w:rsid w:val="00AE57E0"/>
    <w:rsid w:val="00AE5861"/>
    <w:rsid w:val="00AE589E"/>
    <w:rsid w:val="00AE58F6"/>
    <w:rsid w:val="00AE5926"/>
    <w:rsid w:val="00AE592E"/>
    <w:rsid w:val="00AE5983"/>
    <w:rsid w:val="00AE5993"/>
    <w:rsid w:val="00AE59D1"/>
    <w:rsid w:val="00AE5A5C"/>
    <w:rsid w:val="00AE5A5E"/>
    <w:rsid w:val="00AE5B50"/>
    <w:rsid w:val="00AE5BFD"/>
    <w:rsid w:val="00AE5C2D"/>
    <w:rsid w:val="00AE5C9D"/>
    <w:rsid w:val="00AE5D3F"/>
    <w:rsid w:val="00AE5D4B"/>
    <w:rsid w:val="00AE5DC0"/>
    <w:rsid w:val="00AE5DC9"/>
    <w:rsid w:val="00AE5E56"/>
    <w:rsid w:val="00AE5E8A"/>
    <w:rsid w:val="00AE6027"/>
    <w:rsid w:val="00AE61C6"/>
    <w:rsid w:val="00AE61D6"/>
    <w:rsid w:val="00AE645F"/>
    <w:rsid w:val="00AE6506"/>
    <w:rsid w:val="00AE6509"/>
    <w:rsid w:val="00AE6554"/>
    <w:rsid w:val="00AE65C7"/>
    <w:rsid w:val="00AE6628"/>
    <w:rsid w:val="00AE6751"/>
    <w:rsid w:val="00AE6821"/>
    <w:rsid w:val="00AE6976"/>
    <w:rsid w:val="00AE6A01"/>
    <w:rsid w:val="00AE6A1C"/>
    <w:rsid w:val="00AE6B0E"/>
    <w:rsid w:val="00AE6BAB"/>
    <w:rsid w:val="00AE6CC6"/>
    <w:rsid w:val="00AE6D48"/>
    <w:rsid w:val="00AE6E5D"/>
    <w:rsid w:val="00AE6F34"/>
    <w:rsid w:val="00AE6F66"/>
    <w:rsid w:val="00AE6F79"/>
    <w:rsid w:val="00AE721F"/>
    <w:rsid w:val="00AE72DC"/>
    <w:rsid w:val="00AE72E5"/>
    <w:rsid w:val="00AE74B8"/>
    <w:rsid w:val="00AE74E0"/>
    <w:rsid w:val="00AE7500"/>
    <w:rsid w:val="00AE757D"/>
    <w:rsid w:val="00AE78DB"/>
    <w:rsid w:val="00AE7927"/>
    <w:rsid w:val="00AE7A88"/>
    <w:rsid w:val="00AE7B00"/>
    <w:rsid w:val="00AE7B22"/>
    <w:rsid w:val="00AE7C44"/>
    <w:rsid w:val="00AE7C57"/>
    <w:rsid w:val="00AE7DB7"/>
    <w:rsid w:val="00AE7F08"/>
    <w:rsid w:val="00AF0022"/>
    <w:rsid w:val="00AF01B0"/>
    <w:rsid w:val="00AF0260"/>
    <w:rsid w:val="00AF02E0"/>
    <w:rsid w:val="00AF039C"/>
    <w:rsid w:val="00AF040E"/>
    <w:rsid w:val="00AF045F"/>
    <w:rsid w:val="00AF04E4"/>
    <w:rsid w:val="00AF04FA"/>
    <w:rsid w:val="00AF05CC"/>
    <w:rsid w:val="00AF05EF"/>
    <w:rsid w:val="00AF072C"/>
    <w:rsid w:val="00AF080C"/>
    <w:rsid w:val="00AF086C"/>
    <w:rsid w:val="00AF0879"/>
    <w:rsid w:val="00AF08C2"/>
    <w:rsid w:val="00AF0D08"/>
    <w:rsid w:val="00AF0D80"/>
    <w:rsid w:val="00AF0E5A"/>
    <w:rsid w:val="00AF1091"/>
    <w:rsid w:val="00AF11F4"/>
    <w:rsid w:val="00AF1251"/>
    <w:rsid w:val="00AF12FD"/>
    <w:rsid w:val="00AF1396"/>
    <w:rsid w:val="00AF13C6"/>
    <w:rsid w:val="00AF13E0"/>
    <w:rsid w:val="00AF145D"/>
    <w:rsid w:val="00AF14E5"/>
    <w:rsid w:val="00AF154A"/>
    <w:rsid w:val="00AF15A6"/>
    <w:rsid w:val="00AF15C0"/>
    <w:rsid w:val="00AF16F5"/>
    <w:rsid w:val="00AF171B"/>
    <w:rsid w:val="00AF1891"/>
    <w:rsid w:val="00AF19CD"/>
    <w:rsid w:val="00AF1A10"/>
    <w:rsid w:val="00AF1A8A"/>
    <w:rsid w:val="00AF1A94"/>
    <w:rsid w:val="00AF1B11"/>
    <w:rsid w:val="00AF1B4C"/>
    <w:rsid w:val="00AF1BBA"/>
    <w:rsid w:val="00AF1BE0"/>
    <w:rsid w:val="00AF1C40"/>
    <w:rsid w:val="00AF1CB3"/>
    <w:rsid w:val="00AF1CBF"/>
    <w:rsid w:val="00AF1E76"/>
    <w:rsid w:val="00AF1ED6"/>
    <w:rsid w:val="00AF2022"/>
    <w:rsid w:val="00AF216E"/>
    <w:rsid w:val="00AF21C1"/>
    <w:rsid w:val="00AF2221"/>
    <w:rsid w:val="00AF2355"/>
    <w:rsid w:val="00AF235D"/>
    <w:rsid w:val="00AF2425"/>
    <w:rsid w:val="00AF256D"/>
    <w:rsid w:val="00AF25E1"/>
    <w:rsid w:val="00AF25F9"/>
    <w:rsid w:val="00AF261A"/>
    <w:rsid w:val="00AF2680"/>
    <w:rsid w:val="00AF2765"/>
    <w:rsid w:val="00AF2779"/>
    <w:rsid w:val="00AF277C"/>
    <w:rsid w:val="00AF2944"/>
    <w:rsid w:val="00AF294D"/>
    <w:rsid w:val="00AF2974"/>
    <w:rsid w:val="00AF2A70"/>
    <w:rsid w:val="00AF2AF6"/>
    <w:rsid w:val="00AF2BED"/>
    <w:rsid w:val="00AF2E35"/>
    <w:rsid w:val="00AF2F68"/>
    <w:rsid w:val="00AF3108"/>
    <w:rsid w:val="00AF3363"/>
    <w:rsid w:val="00AF33D9"/>
    <w:rsid w:val="00AF34BF"/>
    <w:rsid w:val="00AF34E8"/>
    <w:rsid w:val="00AF350C"/>
    <w:rsid w:val="00AF3557"/>
    <w:rsid w:val="00AF3595"/>
    <w:rsid w:val="00AF35DB"/>
    <w:rsid w:val="00AF35E6"/>
    <w:rsid w:val="00AF37BD"/>
    <w:rsid w:val="00AF37D1"/>
    <w:rsid w:val="00AF38FC"/>
    <w:rsid w:val="00AF3AFA"/>
    <w:rsid w:val="00AF3C54"/>
    <w:rsid w:val="00AF3C7F"/>
    <w:rsid w:val="00AF3C89"/>
    <w:rsid w:val="00AF3CBC"/>
    <w:rsid w:val="00AF3D8B"/>
    <w:rsid w:val="00AF3EA7"/>
    <w:rsid w:val="00AF3ECE"/>
    <w:rsid w:val="00AF3F44"/>
    <w:rsid w:val="00AF3FF7"/>
    <w:rsid w:val="00AF4148"/>
    <w:rsid w:val="00AF41EE"/>
    <w:rsid w:val="00AF44D6"/>
    <w:rsid w:val="00AF46A8"/>
    <w:rsid w:val="00AF4854"/>
    <w:rsid w:val="00AF48EA"/>
    <w:rsid w:val="00AF493B"/>
    <w:rsid w:val="00AF494C"/>
    <w:rsid w:val="00AF4A30"/>
    <w:rsid w:val="00AF4A62"/>
    <w:rsid w:val="00AF4AD8"/>
    <w:rsid w:val="00AF4B65"/>
    <w:rsid w:val="00AF4BB8"/>
    <w:rsid w:val="00AF4C40"/>
    <w:rsid w:val="00AF4CEF"/>
    <w:rsid w:val="00AF4DB0"/>
    <w:rsid w:val="00AF4DC0"/>
    <w:rsid w:val="00AF4DD0"/>
    <w:rsid w:val="00AF4F08"/>
    <w:rsid w:val="00AF4FA7"/>
    <w:rsid w:val="00AF5020"/>
    <w:rsid w:val="00AF5038"/>
    <w:rsid w:val="00AF50F3"/>
    <w:rsid w:val="00AF5125"/>
    <w:rsid w:val="00AF531B"/>
    <w:rsid w:val="00AF54E1"/>
    <w:rsid w:val="00AF5675"/>
    <w:rsid w:val="00AF567C"/>
    <w:rsid w:val="00AF57FC"/>
    <w:rsid w:val="00AF590A"/>
    <w:rsid w:val="00AF59C6"/>
    <w:rsid w:val="00AF59DB"/>
    <w:rsid w:val="00AF5B8D"/>
    <w:rsid w:val="00AF5BAC"/>
    <w:rsid w:val="00AF5BE3"/>
    <w:rsid w:val="00AF5C7A"/>
    <w:rsid w:val="00AF5D91"/>
    <w:rsid w:val="00AF5E5A"/>
    <w:rsid w:val="00AF5F1B"/>
    <w:rsid w:val="00AF5F60"/>
    <w:rsid w:val="00AF605C"/>
    <w:rsid w:val="00AF60C9"/>
    <w:rsid w:val="00AF613A"/>
    <w:rsid w:val="00AF62DE"/>
    <w:rsid w:val="00AF63AA"/>
    <w:rsid w:val="00AF659C"/>
    <w:rsid w:val="00AF65EB"/>
    <w:rsid w:val="00AF6696"/>
    <w:rsid w:val="00AF66C9"/>
    <w:rsid w:val="00AF67FD"/>
    <w:rsid w:val="00AF6A90"/>
    <w:rsid w:val="00AF6DBA"/>
    <w:rsid w:val="00AF6DDB"/>
    <w:rsid w:val="00AF6E4B"/>
    <w:rsid w:val="00AF6E80"/>
    <w:rsid w:val="00AF6EAF"/>
    <w:rsid w:val="00AF6EF3"/>
    <w:rsid w:val="00AF6F57"/>
    <w:rsid w:val="00AF7180"/>
    <w:rsid w:val="00AF71A9"/>
    <w:rsid w:val="00AF71BF"/>
    <w:rsid w:val="00AF7272"/>
    <w:rsid w:val="00AF7309"/>
    <w:rsid w:val="00AF7407"/>
    <w:rsid w:val="00AF7647"/>
    <w:rsid w:val="00AF76A6"/>
    <w:rsid w:val="00AF770E"/>
    <w:rsid w:val="00AF7835"/>
    <w:rsid w:val="00AF7889"/>
    <w:rsid w:val="00AF79CC"/>
    <w:rsid w:val="00AF79F2"/>
    <w:rsid w:val="00AF7A0A"/>
    <w:rsid w:val="00AF7A64"/>
    <w:rsid w:val="00AF7A86"/>
    <w:rsid w:val="00AF7B74"/>
    <w:rsid w:val="00AF7BE9"/>
    <w:rsid w:val="00AF7CC0"/>
    <w:rsid w:val="00AF7E10"/>
    <w:rsid w:val="00AF7EB3"/>
    <w:rsid w:val="00AF7F17"/>
    <w:rsid w:val="00AF7FA1"/>
    <w:rsid w:val="00B0004F"/>
    <w:rsid w:val="00B0005B"/>
    <w:rsid w:val="00B0014D"/>
    <w:rsid w:val="00B00174"/>
    <w:rsid w:val="00B001CC"/>
    <w:rsid w:val="00B001F7"/>
    <w:rsid w:val="00B003B0"/>
    <w:rsid w:val="00B00407"/>
    <w:rsid w:val="00B00611"/>
    <w:rsid w:val="00B00831"/>
    <w:rsid w:val="00B00995"/>
    <w:rsid w:val="00B00CAC"/>
    <w:rsid w:val="00B00D6C"/>
    <w:rsid w:val="00B00DE5"/>
    <w:rsid w:val="00B00E09"/>
    <w:rsid w:val="00B00EA0"/>
    <w:rsid w:val="00B00F18"/>
    <w:rsid w:val="00B00F3D"/>
    <w:rsid w:val="00B00F60"/>
    <w:rsid w:val="00B00FDE"/>
    <w:rsid w:val="00B00FE4"/>
    <w:rsid w:val="00B010BE"/>
    <w:rsid w:val="00B0119A"/>
    <w:rsid w:val="00B011D5"/>
    <w:rsid w:val="00B012E5"/>
    <w:rsid w:val="00B015E2"/>
    <w:rsid w:val="00B01615"/>
    <w:rsid w:val="00B01620"/>
    <w:rsid w:val="00B016A9"/>
    <w:rsid w:val="00B016BC"/>
    <w:rsid w:val="00B01842"/>
    <w:rsid w:val="00B0186D"/>
    <w:rsid w:val="00B018A4"/>
    <w:rsid w:val="00B01942"/>
    <w:rsid w:val="00B0195B"/>
    <w:rsid w:val="00B019F4"/>
    <w:rsid w:val="00B01AFC"/>
    <w:rsid w:val="00B01BB7"/>
    <w:rsid w:val="00B01C48"/>
    <w:rsid w:val="00B01C63"/>
    <w:rsid w:val="00B01CD2"/>
    <w:rsid w:val="00B01DFD"/>
    <w:rsid w:val="00B02124"/>
    <w:rsid w:val="00B021AB"/>
    <w:rsid w:val="00B0229A"/>
    <w:rsid w:val="00B022B4"/>
    <w:rsid w:val="00B0240A"/>
    <w:rsid w:val="00B024A8"/>
    <w:rsid w:val="00B024BA"/>
    <w:rsid w:val="00B0266D"/>
    <w:rsid w:val="00B02791"/>
    <w:rsid w:val="00B0284A"/>
    <w:rsid w:val="00B02855"/>
    <w:rsid w:val="00B02B5B"/>
    <w:rsid w:val="00B02F09"/>
    <w:rsid w:val="00B02F0F"/>
    <w:rsid w:val="00B0306F"/>
    <w:rsid w:val="00B03118"/>
    <w:rsid w:val="00B03161"/>
    <w:rsid w:val="00B034EB"/>
    <w:rsid w:val="00B03572"/>
    <w:rsid w:val="00B035D5"/>
    <w:rsid w:val="00B03778"/>
    <w:rsid w:val="00B037AF"/>
    <w:rsid w:val="00B037EF"/>
    <w:rsid w:val="00B038A1"/>
    <w:rsid w:val="00B038B9"/>
    <w:rsid w:val="00B03982"/>
    <w:rsid w:val="00B03A7B"/>
    <w:rsid w:val="00B03AF7"/>
    <w:rsid w:val="00B03B04"/>
    <w:rsid w:val="00B03F81"/>
    <w:rsid w:val="00B0410E"/>
    <w:rsid w:val="00B04469"/>
    <w:rsid w:val="00B0456B"/>
    <w:rsid w:val="00B045B1"/>
    <w:rsid w:val="00B047C5"/>
    <w:rsid w:val="00B0481C"/>
    <w:rsid w:val="00B04836"/>
    <w:rsid w:val="00B04879"/>
    <w:rsid w:val="00B049B8"/>
    <w:rsid w:val="00B04C38"/>
    <w:rsid w:val="00B04EEF"/>
    <w:rsid w:val="00B04EFD"/>
    <w:rsid w:val="00B05175"/>
    <w:rsid w:val="00B05212"/>
    <w:rsid w:val="00B0528E"/>
    <w:rsid w:val="00B0545B"/>
    <w:rsid w:val="00B054F2"/>
    <w:rsid w:val="00B055C3"/>
    <w:rsid w:val="00B0561D"/>
    <w:rsid w:val="00B0578E"/>
    <w:rsid w:val="00B0592E"/>
    <w:rsid w:val="00B05A41"/>
    <w:rsid w:val="00B05ADB"/>
    <w:rsid w:val="00B05AEF"/>
    <w:rsid w:val="00B05D32"/>
    <w:rsid w:val="00B05D49"/>
    <w:rsid w:val="00B05D63"/>
    <w:rsid w:val="00B05DEE"/>
    <w:rsid w:val="00B05E05"/>
    <w:rsid w:val="00B05E08"/>
    <w:rsid w:val="00B05EA0"/>
    <w:rsid w:val="00B06000"/>
    <w:rsid w:val="00B060D6"/>
    <w:rsid w:val="00B06127"/>
    <w:rsid w:val="00B06165"/>
    <w:rsid w:val="00B061A6"/>
    <w:rsid w:val="00B0629B"/>
    <w:rsid w:val="00B062D2"/>
    <w:rsid w:val="00B063CF"/>
    <w:rsid w:val="00B0675F"/>
    <w:rsid w:val="00B067C2"/>
    <w:rsid w:val="00B0696D"/>
    <w:rsid w:val="00B06AE7"/>
    <w:rsid w:val="00B06EB4"/>
    <w:rsid w:val="00B07087"/>
    <w:rsid w:val="00B07380"/>
    <w:rsid w:val="00B0738E"/>
    <w:rsid w:val="00B07464"/>
    <w:rsid w:val="00B074E7"/>
    <w:rsid w:val="00B07532"/>
    <w:rsid w:val="00B075FE"/>
    <w:rsid w:val="00B07602"/>
    <w:rsid w:val="00B07621"/>
    <w:rsid w:val="00B07863"/>
    <w:rsid w:val="00B07946"/>
    <w:rsid w:val="00B079AC"/>
    <w:rsid w:val="00B07A37"/>
    <w:rsid w:val="00B07B0C"/>
    <w:rsid w:val="00B07B8C"/>
    <w:rsid w:val="00B07CF0"/>
    <w:rsid w:val="00B07CFE"/>
    <w:rsid w:val="00B07D20"/>
    <w:rsid w:val="00B07D65"/>
    <w:rsid w:val="00B07DC2"/>
    <w:rsid w:val="00B07FAB"/>
    <w:rsid w:val="00B10087"/>
    <w:rsid w:val="00B10240"/>
    <w:rsid w:val="00B10253"/>
    <w:rsid w:val="00B1026D"/>
    <w:rsid w:val="00B1048D"/>
    <w:rsid w:val="00B10492"/>
    <w:rsid w:val="00B104CB"/>
    <w:rsid w:val="00B104DB"/>
    <w:rsid w:val="00B10558"/>
    <w:rsid w:val="00B10694"/>
    <w:rsid w:val="00B106EE"/>
    <w:rsid w:val="00B107F8"/>
    <w:rsid w:val="00B10832"/>
    <w:rsid w:val="00B10836"/>
    <w:rsid w:val="00B10855"/>
    <w:rsid w:val="00B10927"/>
    <w:rsid w:val="00B10990"/>
    <w:rsid w:val="00B109A0"/>
    <w:rsid w:val="00B10BD1"/>
    <w:rsid w:val="00B10E44"/>
    <w:rsid w:val="00B10F23"/>
    <w:rsid w:val="00B10F63"/>
    <w:rsid w:val="00B10FA5"/>
    <w:rsid w:val="00B11052"/>
    <w:rsid w:val="00B112A7"/>
    <w:rsid w:val="00B1143E"/>
    <w:rsid w:val="00B115A0"/>
    <w:rsid w:val="00B11624"/>
    <w:rsid w:val="00B11627"/>
    <w:rsid w:val="00B11727"/>
    <w:rsid w:val="00B118DE"/>
    <w:rsid w:val="00B119D6"/>
    <w:rsid w:val="00B119D8"/>
    <w:rsid w:val="00B11A53"/>
    <w:rsid w:val="00B11AB9"/>
    <w:rsid w:val="00B11B5A"/>
    <w:rsid w:val="00B11B65"/>
    <w:rsid w:val="00B11D11"/>
    <w:rsid w:val="00B11D17"/>
    <w:rsid w:val="00B11D18"/>
    <w:rsid w:val="00B11D2B"/>
    <w:rsid w:val="00B11D3A"/>
    <w:rsid w:val="00B11E17"/>
    <w:rsid w:val="00B11E4D"/>
    <w:rsid w:val="00B11E87"/>
    <w:rsid w:val="00B11EFF"/>
    <w:rsid w:val="00B11F88"/>
    <w:rsid w:val="00B11FFB"/>
    <w:rsid w:val="00B12040"/>
    <w:rsid w:val="00B12110"/>
    <w:rsid w:val="00B1236E"/>
    <w:rsid w:val="00B12401"/>
    <w:rsid w:val="00B1249C"/>
    <w:rsid w:val="00B12591"/>
    <w:rsid w:val="00B126CE"/>
    <w:rsid w:val="00B126D3"/>
    <w:rsid w:val="00B12867"/>
    <w:rsid w:val="00B128FB"/>
    <w:rsid w:val="00B12941"/>
    <w:rsid w:val="00B12977"/>
    <w:rsid w:val="00B129CD"/>
    <w:rsid w:val="00B12DDB"/>
    <w:rsid w:val="00B12E61"/>
    <w:rsid w:val="00B12F95"/>
    <w:rsid w:val="00B1330A"/>
    <w:rsid w:val="00B135FF"/>
    <w:rsid w:val="00B13728"/>
    <w:rsid w:val="00B13796"/>
    <w:rsid w:val="00B137FF"/>
    <w:rsid w:val="00B13891"/>
    <w:rsid w:val="00B13929"/>
    <w:rsid w:val="00B13963"/>
    <w:rsid w:val="00B13A13"/>
    <w:rsid w:val="00B13B1A"/>
    <w:rsid w:val="00B13B7F"/>
    <w:rsid w:val="00B13BD3"/>
    <w:rsid w:val="00B13BFB"/>
    <w:rsid w:val="00B13CFE"/>
    <w:rsid w:val="00B13D62"/>
    <w:rsid w:val="00B13E45"/>
    <w:rsid w:val="00B13E64"/>
    <w:rsid w:val="00B13F23"/>
    <w:rsid w:val="00B13F7B"/>
    <w:rsid w:val="00B1405E"/>
    <w:rsid w:val="00B140A5"/>
    <w:rsid w:val="00B140AF"/>
    <w:rsid w:val="00B142D3"/>
    <w:rsid w:val="00B142E6"/>
    <w:rsid w:val="00B1436A"/>
    <w:rsid w:val="00B14460"/>
    <w:rsid w:val="00B14481"/>
    <w:rsid w:val="00B1449A"/>
    <w:rsid w:val="00B145FE"/>
    <w:rsid w:val="00B14741"/>
    <w:rsid w:val="00B148E9"/>
    <w:rsid w:val="00B1496A"/>
    <w:rsid w:val="00B14B52"/>
    <w:rsid w:val="00B14BAC"/>
    <w:rsid w:val="00B14C1A"/>
    <w:rsid w:val="00B14DF9"/>
    <w:rsid w:val="00B14E86"/>
    <w:rsid w:val="00B14E99"/>
    <w:rsid w:val="00B14F63"/>
    <w:rsid w:val="00B1512C"/>
    <w:rsid w:val="00B1523B"/>
    <w:rsid w:val="00B1525B"/>
    <w:rsid w:val="00B15340"/>
    <w:rsid w:val="00B15491"/>
    <w:rsid w:val="00B1550B"/>
    <w:rsid w:val="00B1556C"/>
    <w:rsid w:val="00B1563A"/>
    <w:rsid w:val="00B1563B"/>
    <w:rsid w:val="00B1563E"/>
    <w:rsid w:val="00B1566A"/>
    <w:rsid w:val="00B156D5"/>
    <w:rsid w:val="00B159D6"/>
    <w:rsid w:val="00B15A68"/>
    <w:rsid w:val="00B15A88"/>
    <w:rsid w:val="00B15A8D"/>
    <w:rsid w:val="00B15BB0"/>
    <w:rsid w:val="00B15D6B"/>
    <w:rsid w:val="00B15D8D"/>
    <w:rsid w:val="00B15E81"/>
    <w:rsid w:val="00B15EA0"/>
    <w:rsid w:val="00B15F24"/>
    <w:rsid w:val="00B15FDC"/>
    <w:rsid w:val="00B16129"/>
    <w:rsid w:val="00B1616B"/>
    <w:rsid w:val="00B16240"/>
    <w:rsid w:val="00B16358"/>
    <w:rsid w:val="00B16363"/>
    <w:rsid w:val="00B164EA"/>
    <w:rsid w:val="00B16518"/>
    <w:rsid w:val="00B16579"/>
    <w:rsid w:val="00B16594"/>
    <w:rsid w:val="00B1662C"/>
    <w:rsid w:val="00B166BE"/>
    <w:rsid w:val="00B16775"/>
    <w:rsid w:val="00B16784"/>
    <w:rsid w:val="00B168A7"/>
    <w:rsid w:val="00B168D4"/>
    <w:rsid w:val="00B1692B"/>
    <w:rsid w:val="00B16960"/>
    <w:rsid w:val="00B16BCC"/>
    <w:rsid w:val="00B16C5A"/>
    <w:rsid w:val="00B16D7B"/>
    <w:rsid w:val="00B16EF3"/>
    <w:rsid w:val="00B17077"/>
    <w:rsid w:val="00B17167"/>
    <w:rsid w:val="00B173A5"/>
    <w:rsid w:val="00B17469"/>
    <w:rsid w:val="00B17657"/>
    <w:rsid w:val="00B176E0"/>
    <w:rsid w:val="00B17721"/>
    <w:rsid w:val="00B177BC"/>
    <w:rsid w:val="00B1781E"/>
    <w:rsid w:val="00B179CE"/>
    <w:rsid w:val="00B179D9"/>
    <w:rsid w:val="00B17A32"/>
    <w:rsid w:val="00B17A4C"/>
    <w:rsid w:val="00B17AC6"/>
    <w:rsid w:val="00B17BDA"/>
    <w:rsid w:val="00B17CA6"/>
    <w:rsid w:val="00B17ED1"/>
    <w:rsid w:val="00B200D3"/>
    <w:rsid w:val="00B201EA"/>
    <w:rsid w:val="00B20218"/>
    <w:rsid w:val="00B2022A"/>
    <w:rsid w:val="00B20264"/>
    <w:rsid w:val="00B20356"/>
    <w:rsid w:val="00B203B6"/>
    <w:rsid w:val="00B20418"/>
    <w:rsid w:val="00B20419"/>
    <w:rsid w:val="00B2063D"/>
    <w:rsid w:val="00B20727"/>
    <w:rsid w:val="00B20841"/>
    <w:rsid w:val="00B208D3"/>
    <w:rsid w:val="00B208D7"/>
    <w:rsid w:val="00B209BE"/>
    <w:rsid w:val="00B20A0C"/>
    <w:rsid w:val="00B20B59"/>
    <w:rsid w:val="00B20BC4"/>
    <w:rsid w:val="00B20C78"/>
    <w:rsid w:val="00B20D00"/>
    <w:rsid w:val="00B20D46"/>
    <w:rsid w:val="00B20DD1"/>
    <w:rsid w:val="00B20DE8"/>
    <w:rsid w:val="00B20E38"/>
    <w:rsid w:val="00B20E69"/>
    <w:rsid w:val="00B20E85"/>
    <w:rsid w:val="00B20E88"/>
    <w:rsid w:val="00B20F45"/>
    <w:rsid w:val="00B21128"/>
    <w:rsid w:val="00B2119F"/>
    <w:rsid w:val="00B211E1"/>
    <w:rsid w:val="00B2120E"/>
    <w:rsid w:val="00B2126C"/>
    <w:rsid w:val="00B21290"/>
    <w:rsid w:val="00B21313"/>
    <w:rsid w:val="00B214FF"/>
    <w:rsid w:val="00B21517"/>
    <w:rsid w:val="00B21699"/>
    <w:rsid w:val="00B21A3C"/>
    <w:rsid w:val="00B21BF4"/>
    <w:rsid w:val="00B21C46"/>
    <w:rsid w:val="00B21CA3"/>
    <w:rsid w:val="00B21D6F"/>
    <w:rsid w:val="00B21D8D"/>
    <w:rsid w:val="00B21DBB"/>
    <w:rsid w:val="00B21DBF"/>
    <w:rsid w:val="00B21DEC"/>
    <w:rsid w:val="00B21EA4"/>
    <w:rsid w:val="00B21F92"/>
    <w:rsid w:val="00B21FC3"/>
    <w:rsid w:val="00B2203E"/>
    <w:rsid w:val="00B22053"/>
    <w:rsid w:val="00B2209E"/>
    <w:rsid w:val="00B224FC"/>
    <w:rsid w:val="00B225E9"/>
    <w:rsid w:val="00B22665"/>
    <w:rsid w:val="00B22699"/>
    <w:rsid w:val="00B226A7"/>
    <w:rsid w:val="00B226B5"/>
    <w:rsid w:val="00B22775"/>
    <w:rsid w:val="00B22790"/>
    <w:rsid w:val="00B227EE"/>
    <w:rsid w:val="00B228F7"/>
    <w:rsid w:val="00B22A64"/>
    <w:rsid w:val="00B22AD8"/>
    <w:rsid w:val="00B22B84"/>
    <w:rsid w:val="00B22BB6"/>
    <w:rsid w:val="00B22BD4"/>
    <w:rsid w:val="00B22BF3"/>
    <w:rsid w:val="00B22D70"/>
    <w:rsid w:val="00B22DEA"/>
    <w:rsid w:val="00B22ED7"/>
    <w:rsid w:val="00B22EFC"/>
    <w:rsid w:val="00B22F81"/>
    <w:rsid w:val="00B22FBB"/>
    <w:rsid w:val="00B22FED"/>
    <w:rsid w:val="00B23052"/>
    <w:rsid w:val="00B230E7"/>
    <w:rsid w:val="00B231D7"/>
    <w:rsid w:val="00B231EF"/>
    <w:rsid w:val="00B232B1"/>
    <w:rsid w:val="00B2332D"/>
    <w:rsid w:val="00B233B9"/>
    <w:rsid w:val="00B2347D"/>
    <w:rsid w:val="00B23564"/>
    <w:rsid w:val="00B235A0"/>
    <w:rsid w:val="00B23602"/>
    <w:rsid w:val="00B23829"/>
    <w:rsid w:val="00B23892"/>
    <w:rsid w:val="00B2390B"/>
    <w:rsid w:val="00B23947"/>
    <w:rsid w:val="00B2399B"/>
    <w:rsid w:val="00B23AFD"/>
    <w:rsid w:val="00B23B5B"/>
    <w:rsid w:val="00B23C06"/>
    <w:rsid w:val="00B23C42"/>
    <w:rsid w:val="00B23D9D"/>
    <w:rsid w:val="00B23DFF"/>
    <w:rsid w:val="00B23E9D"/>
    <w:rsid w:val="00B23F51"/>
    <w:rsid w:val="00B23F67"/>
    <w:rsid w:val="00B23FDC"/>
    <w:rsid w:val="00B24050"/>
    <w:rsid w:val="00B240AE"/>
    <w:rsid w:val="00B240CF"/>
    <w:rsid w:val="00B24357"/>
    <w:rsid w:val="00B2435B"/>
    <w:rsid w:val="00B24372"/>
    <w:rsid w:val="00B244B3"/>
    <w:rsid w:val="00B24512"/>
    <w:rsid w:val="00B24534"/>
    <w:rsid w:val="00B2454F"/>
    <w:rsid w:val="00B24704"/>
    <w:rsid w:val="00B24831"/>
    <w:rsid w:val="00B24989"/>
    <w:rsid w:val="00B24A36"/>
    <w:rsid w:val="00B24BF7"/>
    <w:rsid w:val="00B24C75"/>
    <w:rsid w:val="00B24CC9"/>
    <w:rsid w:val="00B24DA0"/>
    <w:rsid w:val="00B24F28"/>
    <w:rsid w:val="00B24F66"/>
    <w:rsid w:val="00B2508B"/>
    <w:rsid w:val="00B25225"/>
    <w:rsid w:val="00B25617"/>
    <w:rsid w:val="00B256DC"/>
    <w:rsid w:val="00B257AE"/>
    <w:rsid w:val="00B257B9"/>
    <w:rsid w:val="00B25881"/>
    <w:rsid w:val="00B258C6"/>
    <w:rsid w:val="00B25969"/>
    <w:rsid w:val="00B25A0C"/>
    <w:rsid w:val="00B25A6A"/>
    <w:rsid w:val="00B25A90"/>
    <w:rsid w:val="00B25B63"/>
    <w:rsid w:val="00B25CA7"/>
    <w:rsid w:val="00B25E05"/>
    <w:rsid w:val="00B25F3C"/>
    <w:rsid w:val="00B25F3F"/>
    <w:rsid w:val="00B25F51"/>
    <w:rsid w:val="00B25F69"/>
    <w:rsid w:val="00B260BB"/>
    <w:rsid w:val="00B261F3"/>
    <w:rsid w:val="00B26364"/>
    <w:rsid w:val="00B263C7"/>
    <w:rsid w:val="00B26420"/>
    <w:rsid w:val="00B26602"/>
    <w:rsid w:val="00B2669A"/>
    <w:rsid w:val="00B268A6"/>
    <w:rsid w:val="00B2690B"/>
    <w:rsid w:val="00B26B45"/>
    <w:rsid w:val="00B26BEC"/>
    <w:rsid w:val="00B26C0F"/>
    <w:rsid w:val="00B26C2A"/>
    <w:rsid w:val="00B26C69"/>
    <w:rsid w:val="00B26C6D"/>
    <w:rsid w:val="00B26CCF"/>
    <w:rsid w:val="00B26E51"/>
    <w:rsid w:val="00B26ECF"/>
    <w:rsid w:val="00B272FD"/>
    <w:rsid w:val="00B2731F"/>
    <w:rsid w:val="00B274AC"/>
    <w:rsid w:val="00B27591"/>
    <w:rsid w:val="00B275EA"/>
    <w:rsid w:val="00B27872"/>
    <w:rsid w:val="00B278CA"/>
    <w:rsid w:val="00B27998"/>
    <w:rsid w:val="00B27A85"/>
    <w:rsid w:val="00B27B85"/>
    <w:rsid w:val="00B27D0A"/>
    <w:rsid w:val="00B27D1D"/>
    <w:rsid w:val="00B27DC1"/>
    <w:rsid w:val="00B27E82"/>
    <w:rsid w:val="00B27EC0"/>
    <w:rsid w:val="00B27F13"/>
    <w:rsid w:val="00B27F97"/>
    <w:rsid w:val="00B27FAC"/>
    <w:rsid w:val="00B302DC"/>
    <w:rsid w:val="00B302F6"/>
    <w:rsid w:val="00B304EC"/>
    <w:rsid w:val="00B305C3"/>
    <w:rsid w:val="00B30668"/>
    <w:rsid w:val="00B307D1"/>
    <w:rsid w:val="00B30879"/>
    <w:rsid w:val="00B308C9"/>
    <w:rsid w:val="00B30A4B"/>
    <w:rsid w:val="00B30C2E"/>
    <w:rsid w:val="00B30CB4"/>
    <w:rsid w:val="00B30DA7"/>
    <w:rsid w:val="00B30E09"/>
    <w:rsid w:val="00B30E9E"/>
    <w:rsid w:val="00B30EB6"/>
    <w:rsid w:val="00B30F1D"/>
    <w:rsid w:val="00B30F45"/>
    <w:rsid w:val="00B30F81"/>
    <w:rsid w:val="00B31082"/>
    <w:rsid w:val="00B3112B"/>
    <w:rsid w:val="00B31153"/>
    <w:rsid w:val="00B311E1"/>
    <w:rsid w:val="00B311F8"/>
    <w:rsid w:val="00B31298"/>
    <w:rsid w:val="00B31349"/>
    <w:rsid w:val="00B31376"/>
    <w:rsid w:val="00B314EC"/>
    <w:rsid w:val="00B314FA"/>
    <w:rsid w:val="00B315B4"/>
    <w:rsid w:val="00B31631"/>
    <w:rsid w:val="00B31662"/>
    <w:rsid w:val="00B31778"/>
    <w:rsid w:val="00B3180C"/>
    <w:rsid w:val="00B318FB"/>
    <w:rsid w:val="00B31ADC"/>
    <w:rsid w:val="00B31C6C"/>
    <w:rsid w:val="00B31D48"/>
    <w:rsid w:val="00B31EA9"/>
    <w:rsid w:val="00B31EAF"/>
    <w:rsid w:val="00B31F2A"/>
    <w:rsid w:val="00B31F8B"/>
    <w:rsid w:val="00B31FA4"/>
    <w:rsid w:val="00B31FFC"/>
    <w:rsid w:val="00B3200B"/>
    <w:rsid w:val="00B32110"/>
    <w:rsid w:val="00B32147"/>
    <w:rsid w:val="00B3221D"/>
    <w:rsid w:val="00B32315"/>
    <w:rsid w:val="00B32409"/>
    <w:rsid w:val="00B32416"/>
    <w:rsid w:val="00B3242F"/>
    <w:rsid w:val="00B325F1"/>
    <w:rsid w:val="00B32683"/>
    <w:rsid w:val="00B327F7"/>
    <w:rsid w:val="00B3293A"/>
    <w:rsid w:val="00B329DE"/>
    <w:rsid w:val="00B329F9"/>
    <w:rsid w:val="00B32A64"/>
    <w:rsid w:val="00B32C2A"/>
    <w:rsid w:val="00B32DFA"/>
    <w:rsid w:val="00B32E4E"/>
    <w:rsid w:val="00B32F57"/>
    <w:rsid w:val="00B330EE"/>
    <w:rsid w:val="00B331DD"/>
    <w:rsid w:val="00B3329A"/>
    <w:rsid w:val="00B332D8"/>
    <w:rsid w:val="00B33387"/>
    <w:rsid w:val="00B3354D"/>
    <w:rsid w:val="00B33595"/>
    <w:rsid w:val="00B335EB"/>
    <w:rsid w:val="00B33687"/>
    <w:rsid w:val="00B33720"/>
    <w:rsid w:val="00B3382E"/>
    <w:rsid w:val="00B3398A"/>
    <w:rsid w:val="00B3398D"/>
    <w:rsid w:val="00B33B0B"/>
    <w:rsid w:val="00B33BA7"/>
    <w:rsid w:val="00B33C29"/>
    <w:rsid w:val="00B33CC7"/>
    <w:rsid w:val="00B33CD3"/>
    <w:rsid w:val="00B33D47"/>
    <w:rsid w:val="00B33DF3"/>
    <w:rsid w:val="00B33DFF"/>
    <w:rsid w:val="00B33EA4"/>
    <w:rsid w:val="00B33FC1"/>
    <w:rsid w:val="00B34078"/>
    <w:rsid w:val="00B34192"/>
    <w:rsid w:val="00B34225"/>
    <w:rsid w:val="00B343F7"/>
    <w:rsid w:val="00B34426"/>
    <w:rsid w:val="00B3444A"/>
    <w:rsid w:val="00B344A1"/>
    <w:rsid w:val="00B34528"/>
    <w:rsid w:val="00B34598"/>
    <w:rsid w:val="00B3459A"/>
    <w:rsid w:val="00B345F0"/>
    <w:rsid w:val="00B34684"/>
    <w:rsid w:val="00B346B2"/>
    <w:rsid w:val="00B3476D"/>
    <w:rsid w:val="00B347AB"/>
    <w:rsid w:val="00B34811"/>
    <w:rsid w:val="00B3491A"/>
    <w:rsid w:val="00B349C4"/>
    <w:rsid w:val="00B34A9D"/>
    <w:rsid w:val="00B34B12"/>
    <w:rsid w:val="00B34B2F"/>
    <w:rsid w:val="00B34B32"/>
    <w:rsid w:val="00B34B3E"/>
    <w:rsid w:val="00B34BC2"/>
    <w:rsid w:val="00B34C38"/>
    <w:rsid w:val="00B34DC6"/>
    <w:rsid w:val="00B34DE1"/>
    <w:rsid w:val="00B34EE8"/>
    <w:rsid w:val="00B34F7D"/>
    <w:rsid w:val="00B35015"/>
    <w:rsid w:val="00B35176"/>
    <w:rsid w:val="00B3517A"/>
    <w:rsid w:val="00B351E2"/>
    <w:rsid w:val="00B352BB"/>
    <w:rsid w:val="00B35334"/>
    <w:rsid w:val="00B35393"/>
    <w:rsid w:val="00B354B1"/>
    <w:rsid w:val="00B3551C"/>
    <w:rsid w:val="00B3559E"/>
    <w:rsid w:val="00B3565E"/>
    <w:rsid w:val="00B3567F"/>
    <w:rsid w:val="00B3570E"/>
    <w:rsid w:val="00B3580F"/>
    <w:rsid w:val="00B359E9"/>
    <w:rsid w:val="00B35A71"/>
    <w:rsid w:val="00B35A98"/>
    <w:rsid w:val="00B35B4D"/>
    <w:rsid w:val="00B35D16"/>
    <w:rsid w:val="00B35DD1"/>
    <w:rsid w:val="00B35E08"/>
    <w:rsid w:val="00B35F97"/>
    <w:rsid w:val="00B3605C"/>
    <w:rsid w:val="00B36061"/>
    <w:rsid w:val="00B360C0"/>
    <w:rsid w:val="00B3610C"/>
    <w:rsid w:val="00B361B2"/>
    <w:rsid w:val="00B362F3"/>
    <w:rsid w:val="00B36308"/>
    <w:rsid w:val="00B3634F"/>
    <w:rsid w:val="00B3638E"/>
    <w:rsid w:val="00B364E6"/>
    <w:rsid w:val="00B36519"/>
    <w:rsid w:val="00B36598"/>
    <w:rsid w:val="00B36659"/>
    <w:rsid w:val="00B3672E"/>
    <w:rsid w:val="00B36A36"/>
    <w:rsid w:val="00B36AED"/>
    <w:rsid w:val="00B36B33"/>
    <w:rsid w:val="00B36BE9"/>
    <w:rsid w:val="00B36CB1"/>
    <w:rsid w:val="00B36DB9"/>
    <w:rsid w:val="00B36E88"/>
    <w:rsid w:val="00B36EEC"/>
    <w:rsid w:val="00B36FA1"/>
    <w:rsid w:val="00B36FEF"/>
    <w:rsid w:val="00B3702A"/>
    <w:rsid w:val="00B37050"/>
    <w:rsid w:val="00B37137"/>
    <w:rsid w:val="00B3724F"/>
    <w:rsid w:val="00B37331"/>
    <w:rsid w:val="00B373A1"/>
    <w:rsid w:val="00B373DB"/>
    <w:rsid w:val="00B37420"/>
    <w:rsid w:val="00B3742D"/>
    <w:rsid w:val="00B374C9"/>
    <w:rsid w:val="00B3771A"/>
    <w:rsid w:val="00B3774D"/>
    <w:rsid w:val="00B37A36"/>
    <w:rsid w:val="00B37A3D"/>
    <w:rsid w:val="00B37ABF"/>
    <w:rsid w:val="00B37ACB"/>
    <w:rsid w:val="00B37B75"/>
    <w:rsid w:val="00B37C0A"/>
    <w:rsid w:val="00B37C8C"/>
    <w:rsid w:val="00B37D99"/>
    <w:rsid w:val="00B37DC1"/>
    <w:rsid w:val="00B37E16"/>
    <w:rsid w:val="00B37F72"/>
    <w:rsid w:val="00B37F94"/>
    <w:rsid w:val="00B40096"/>
    <w:rsid w:val="00B400C9"/>
    <w:rsid w:val="00B400E7"/>
    <w:rsid w:val="00B40431"/>
    <w:rsid w:val="00B404F7"/>
    <w:rsid w:val="00B4062B"/>
    <w:rsid w:val="00B40740"/>
    <w:rsid w:val="00B407EC"/>
    <w:rsid w:val="00B40A03"/>
    <w:rsid w:val="00B40AA3"/>
    <w:rsid w:val="00B40AF7"/>
    <w:rsid w:val="00B40B0E"/>
    <w:rsid w:val="00B40C6F"/>
    <w:rsid w:val="00B40CF2"/>
    <w:rsid w:val="00B40DE2"/>
    <w:rsid w:val="00B40FDC"/>
    <w:rsid w:val="00B41009"/>
    <w:rsid w:val="00B4105E"/>
    <w:rsid w:val="00B410F4"/>
    <w:rsid w:val="00B4111B"/>
    <w:rsid w:val="00B411FB"/>
    <w:rsid w:val="00B4121B"/>
    <w:rsid w:val="00B41303"/>
    <w:rsid w:val="00B41473"/>
    <w:rsid w:val="00B414F4"/>
    <w:rsid w:val="00B4172C"/>
    <w:rsid w:val="00B41805"/>
    <w:rsid w:val="00B4183B"/>
    <w:rsid w:val="00B41A98"/>
    <w:rsid w:val="00B41BCB"/>
    <w:rsid w:val="00B41BEA"/>
    <w:rsid w:val="00B41BFB"/>
    <w:rsid w:val="00B41C08"/>
    <w:rsid w:val="00B41C7F"/>
    <w:rsid w:val="00B41EC8"/>
    <w:rsid w:val="00B41F20"/>
    <w:rsid w:val="00B41F6F"/>
    <w:rsid w:val="00B41F72"/>
    <w:rsid w:val="00B42016"/>
    <w:rsid w:val="00B4202B"/>
    <w:rsid w:val="00B42113"/>
    <w:rsid w:val="00B421B5"/>
    <w:rsid w:val="00B421F3"/>
    <w:rsid w:val="00B42235"/>
    <w:rsid w:val="00B42354"/>
    <w:rsid w:val="00B4237F"/>
    <w:rsid w:val="00B4238A"/>
    <w:rsid w:val="00B423D3"/>
    <w:rsid w:val="00B42436"/>
    <w:rsid w:val="00B42478"/>
    <w:rsid w:val="00B42563"/>
    <w:rsid w:val="00B42620"/>
    <w:rsid w:val="00B42628"/>
    <w:rsid w:val="00B4276D"/>
    <w:rsid w:val="00B428E5"/>
    <w:rsid w:val="00B42964"/>
    <w:rsid w:val="00B42993"/>
    <w:rsid w:val="00B42A33"/>
    <w:rsid w:val="00B42A9E"/>
    <w:rsid w:val="00B42B01"/>
    <w:rsid w:val="00B42B46"/>
    <w:rsid w:val="00B42BE6"/>
    <w:rsid w:val="00B42C54"/>
    <w:rsid w:val="00B42C94"/>
    <w:rsid w:val="00B42E98"/>
    <w:rsid w:val="00B42F03"/>
    <w:rsid w:val="00B43073"/>
    <w:rsid w:val="00B43093"/>
    <w:rsid w:val="00B43158"/>
    <w:rsid w:val="00B4322D"/>
    <w:rsid w:val="00B4323C"/>
    <w:rsid w:val="00B432A6"/>
    <w:rsid w:val="00B433FD"/>
    <w:rsid w:val="00B434E8"/>
    <w:rsid w:val="00B43639"/>
    <w:rsid w:val="00B43656"/>
    <w:rsid w:val="00B436D9"/>
    <w:rsid w:val="00B438C6"/>
    <w:rsid w:val="00B43C03"/>
    <w:rsid w:val="00B43D3F"/>
    <w:rsid w:val="00B43DB5"/>
    <w:rsid w:val="00B43EDA"/>
    <w:rsid w:val="00B43F1C"/>
    <w:rsid w:val="00B43FB3"/>
    <w:rsid w:val="00B44109"/>
    <w:rsid w:val="00B441E6"/>
    <w:rsid w:val="00B4421A"/>
    <w:rsid w:val="00B442C3"/>
    <w:rsid w:val="00B4438C"/>
    <w:rsid w:val="00B444B3"/>
    <w:rsid w:val="00B4452E"/>
    <w:rsid w:val="00B4478B"/>
    <w:rsid w:val="00B447A0"/>
    <w:rsid w:val="00B447C3"/>
    <w:rsid w:val="00B4480D"/>
    <w:rsid w:val="00B448FF"/>
    <w:rsid w:val="00B44985"/>
    <w:rsid w:val="00B449B3"/>
    <w:rsid w:val="00B449B6"/>
    <w:rsid w:val="00B44ABA"/>
    <w:rsid w:val="00B44BDB"/>
    <w:rsid w:val="00B44BE2"/>
    <w:rsid w:val="00B44BE9"/>
    <w:rsid w:val="00B44E34"/>
    <w:rsid w:val="00B44F7A"/>
    <w:rsid w:val="00B44FF1"/>
    <w:rsid w:val="00B4500C"/>
    <w:rsid w:val="00B45099"/>
    <w:rsid w:val="00B4513A"/>
    <w:rsid w:val="00B452A2"/>
    <w:rsid w:val="00B45430"/>
    <w:rsid w:val="00B454E6"/>
    <w:rsid w:val="00B45507"/>
    <w:rsid w:val="00B45548"/>
    <w:rsid w:val="00B457C2"/>
    <w:rsid w:val="00B45908"/>
    <w:rsid w:val="00B45A5F"/>
    <w:rsid w:val="00B45B00"/>
    <w:rsid w:val="00B45B95"/>
    <w:rsid w:val="00B45EC1"/>
    <w:rsid w:val="00B45F5E"/>
    <w:rsid w:val="00B4610C"/>
    <w:rsid w:val="00B46241"/>
    <w:rsid w:val="00B46269"/>
    <w:rsid w:val="00B4626B"/>
    <w:rsid w:val="00B464F1"/>
    <w:rsid w:val="00B46697"/>
    <w:rsid w:val="00B4676B"/>
    <w:rsid w:val="00B46875"/>
    <w:rsid w:val="00B46AB2"/>
    <w:rsid w:val="00B46ADC"/>
    <w:rsid w:val="00B46D14"/>
    <w:rsid w:val="00B46E05"/>
    <w:rsid w:val="00B46E42"/>
    <w:rsid w:val="00B46E81"/>
    <w:rsid w:val="00B46ED4"/>
    <w:rsid w:val="00B46FD2"/>
    <w:rsid w:val="00B4755A"/>
    <w:rsid w:val="00B476C7"/>
    <w:rsid w:val="00B47771"/>
    <w:rsid w:val="00B47783"/>
    <w:rsid w:val="00B477EC"/>
    <w:rsid w:val="00B478D3"/>
    <w:rsid w:val="00B478FC"/>
    <w:rsid w:val="00B4791C"/>
    <w:rsid w:val="00B4792E"/>
    <w:rsid w:val="00B47A50"/>
    <w:rsid w:val="00B47A75"/>
    <w:rsid w:val="00B47ABF"/>
    <w:rsid w:val="00B47B53"/>
    <w:rsid w:val="00B47D18"/>
    <w:rsid w:val="00B47DBF"/>
    <w:rsid w:val="00B47E5B"/>
    <w:rsid w:val="00B47E71"/>
    <w:rsid w:val="00B47F1D"/>
    <w:rsid w:val="00B5009F"/>
    <w:rsid w:val="00B50154"/>
    <w:rsid w:val="00B50422"/>
    <w:rsid w:val="00B50572"/>
    <w:rsid w:val="00B505A1"/>
    <w:rsid w:val="00B505A4"/>
    <w:rsid w:val="00B505F8"/>
    <w:rsid w:val="00B50686"/>
    <w:rsid w:val="00B506DC"/>
    <w:rsid w:val="00B5073E"/>
    <w:rsid w:val="00B50843"/>
    <w:rsid w:val="00B50863"/>
    <w:rsid w:val="00B508BB"/>
    <w:rsid w:val="00B509AE"/>
    <w:rsid w:val="00B50A80"/>
    <w:rsid w:val="00B50BB8"/>
    <w:rsid w:val="00B50C9A"/>
    <w:rsid w:val="00B50CA4"/>
    <w:rsid w:val="00B50DAB"/>
    <w:rsid w:val="00B50E7B"/>
    <w:rsid w:val="00B50F25"/>
    <w:rsid w:val="00B50F84"/>
    <w:rsid w:val="00B50FF2"/>
    <w:rsid w:val="00B51025"/>
    <w:rsid w:val="00B510BF"/>
    <w:rsid w:val="00B511FB"/>
    <w:rsid w:val="00B51269"/>
    <w:rsid w:val="00B512B8"/>
    <w:rsid w:val="00B5134E"/>
    <w:rsid w:val="00B5135E"/>
    <w:rsid w:val="00B513C7"/>
    <w:rsid w:val="00B5161C"/>
    <w:rsid w:val="00B5164C"/>
    <w:rsid w:val="00B51761"/>
    <w:rsid w:val="00B519D6"/>
    <w:rsid w:val="00B519DE"/>
    <w:rsid w:val="00B51A07"/>
    <w:rsid w:val="00B51ABC"/>
    <w:rsid w:val="00B51BDE"/>
    <w:rsid w:val="00B51BF4"/>
    <w:rsid w:val="00B51C05"/>
    <w:rsid w:val="00B51CC5"/>
    <w:rsid w:val="00B51D12"/>
    <w:rsid w:val="00B51E9F"/>
    <w:rsid w:val="00B51FBC"/>
    <w:rsid w:val="00B51FF8"/>
    <w:rsid w:val="00B52020"/>
    <w:rsid w:val="00B5206B"/>
    <w:rsid w:val="00B52121"/>
    <w:rsid w:val="00B521D7"/>
    <w:rsid w:val="00B521E2"/>
    <w:rsid w:val="00B523DF"/>
    <w:rsid w:val="00B5243A"/>
    <w:rsid w:val="00B524C2"/>
    <w:rsid w:val="00B524E4"/>
    <w:rsid w:val="00B52641"/>
    <w:rsid w:val="00B52695"/>
    <w:rsid w:val="00B52699"/>
    <w:rsid w:val="00B526F9"/>
    <w:rsid w:val="00B52954"/>
    <w:rsid w:val="00B52AB2"/>
    <w:rsid w:val="00B52BCA"/>
    <w:rsid w:val="00B52D1F"/>
    <w:rsid w:val="00B52D83"/>
    <w:rsid w:val="00B52E5C"/>
    <w:rsid w:val="00B52F9F"/>
    <w:rsid w:val="00B530D7"/>
    <w:rsid w:val="00B53177"/>
    <w:rsid w:val="00B53215"/>
    <w:rsid w:val="00B5321C"/>
    <w:rsid w:val="00B5327A"/>
    <w:rsid w:val="00B534D4"/>
    <w:rsid w:val="00B53502"/>
    <w:rsid w:val="00B53507"/>
    <w:rsid w:val="00B5354F"/>
    <w:rsid w:val="00B5361C"/>
    <w:rsid w:val="00B53647"/>
    <w:rsid w:val="00B5370B"/>
    <w:rsid w:val="00B53728"/>
    <w:rsid w:val="00B53780"/>
    <w:rsid w:val="00B537CF"/>
    <w:rsid w:val="00B53845"/>
    <w:rsid w:val="00B53A48"/>
    <w:rsid w:val="00B53B2F"/>
    <w:rsid w:val="00B53BCB"/>
    <w:rsid w:val="00B53CAF"/>
    <w:rsid w:val="00B53CDF"/>
    <w:rsid w:val="00B53D8A"/>
    <w:rsid w:val="00B54031"/>
    <w:rsid w:val="00B5405A"/>
    <w:rsid w:val="00B541A0"/>
    <w:rsid w:val="00B542E7"/>
    <w:rsid w:val="00B54386"/>
    <w:rsid w:val="00B5446A"/>
    <w:rsid w:val="00B54632"/>
    <w:rsid w:val="00B54670"/>
    <w:rsid w:val="00B5471D"/>
    <w:rsid w:val="00B54BCF"/>
    <w:rsid w:val="00B54BD1"/>
    <w:rsid w:val="00B54C90"/>
    <w:rsid w:val="00B54D27"/>
    <w:rsid w:val="00B54E60"/>
    <w:rsid w:val="00B54FC3"/>
    <w:rsid w:val="00B54FC6"/>
    <w:rsid w:val="00B55102"/>
    <w:rsid w:val="00B551C5"/>
    <w:rsid w:val="00B5523F"/>
    <w:rsid w:val="00B5542C"/>
    <w:rsid w:val="00B55436"/>
    <w:rsid w:val="00B5558C"/>
    <w:rsid w:val="00B55922"/>
    <w:rsid w:val="00B5598B"/>
    <w:rsid w:val="00B55A69"/>
    <w:rsid w:val="00B55AD1"/>
    <w:rsid w:val="00B55C39"/>
    <w:rsid w:val="00B55D4B"/>
    <w:rsid w:val="00B55D7F"/>
    <w:rsid w:val="00B55DE1"/>
    <w:rsid w:val="00B55E54"/>
    <w:rsid w:val="00B55E57"/>
    <w:rsid w:val="00B55EFE"/>
    <w:rsid w:val="00B55F59"/>
    <w:rsid w:val="00B55FA8"/>
    <w:rsid w:val="00B5603B"/>
    <w:rsid w:val="00B560C3"/>
    <w:rsid w:val="00B5612B"/>
    <w:rsid w:val="00B56162"/>
    <w:rsid w:val="00B561AC"/>
    <w:rsid w:val="00B56211"/>
    <w:rsid w:val="00B5623B"/>
    <w:rsid w:val="00B56317"/>
    <w:rsid w:val="00B56323"/>
    <w:rsid w:val="00B5634D"/>
    <w:rsid w:val="00B56491"/>
    <w:rsid w:val="00B564D6"/>
    <w:rsid w:val="00B5652C"/>
    <w:rsid w:val="00B56599"/>
    <w:rsid w:val="00B5687E"/>
    <w:rsid w:val="00B5697A"/>
    <w:rsid w:val="00B56980"/>
    <w:rsid w:val="00B569B8"/>
    <w:rsid w:val="00B56A1A"/>
    <w:rsid w:val="00B56DE5"/>
    <w:rsid w:val="00B56E79"/>
    <w:rsid w:val="00B570EC"/>
    <w:rsid w:val="00B571B0"/>
    <w:rsid w:val="00B571EB"/>
    <w:rsid w:val="00B5724F"/>
    <w:rsid w:val="00B5725A"/>
    <w:rsid w:val="00B5729A"/>
    <w:rsid w:val="00B572CA"/>
    <w:rsid w:val="00B572DD"/>
    <w:rsid w:val="00B57344"/>
    <w:rsid w:val="00B57461"/>
    <w:rsid w:val="00B57466"/>
    <w:rsid w:val="00B576C0"/>
    <w:rsid w:val="00B576CD"/>
    <w:rsid w:val="00B57726"/>
    <w:rsid w:val="00B577BA"/>
    <w:rsid w:val="00B5786F"/>
    <w:rsid w:val="00B57872"/>
    <w:rsid w:val="00B578F4"/>
    <w:rsid w:val="00B57955"/>
    <w:rsid w:val="00B57995"/>
    <w:rsid w:val="00B57CAC"/>
    <w:rsid w:val="00B57CE2"/>
    <w:rsid w:val="00B57CEC"/>
    <w:rsid w:val="00B57D3C"/>
    <w:rsid w:val="00B57D67"/>
    <w:rsid w:val="00B57E83"/>
    <w:rsid w:val="00B60011"/>
    <w:rsid w:val="00B6001D"/>
    <w:rsid w:val="00B60068"/>
    <w:rsid w:val="00B60070"/>
    <w:rsid w:val="00B600A0"/>
    <w:rsid w:val="00B601C2"/>
    <w:rsid w:val="00B601DF"/>
    <w:rsid w:val="00B60328"/>
    <w:rsid w:val="00B6035C"/>
    <w:rsid w:val="00B6039B"/>
    <w:rsid w:val="00B60450"/>
    <w:rsid w:val="00B604C4"/>
    <w:rsid w:val="00B604D2"/>
    <w:rsid w:val="00B606A7"/>
    <w:rsid w:val="00B60891"/>
    <w:rsid w:val="00B60AF4"/>
    <w:rsid w:val="00B60B18"/>
    <w:rsid w:val="00B60B4F"/>
    <w:rsid w:val="00B60C71"/>
    <w:rsid w:val="00B60CCC"/>
    <w:rsid w:val="00B60DB7"/>
    <w:rsid w:val="00B60F6E"/>
    <w:rsid w:val="00B60FE0"/>
    <w:rsid w:val="00B611B3"/>
    <w:rsid w:val="00B613AB"/>
    <w:rsid w:val="00B614FB"/>
    <w:rsid w:val="00B61501"/>
    <w:rsid w:val="00B615D3"/>
    <w:rsid w:val="00B6161B"/>
    <w:rsid w:val="00B61672"/>
    <w:rsid w:val="00B617FB"/>
    <w:rsid w:val="00B6181E"/>
    <w:rsid w:val="00B61858"/>
    <w:rsid w:val="00B61899"/>
    <w:rsid w:val="00B61AA7"/>
    <w:rsid w:val="00B61B5B"/>
    <w:rsid w:val="00B61B9B"/>
    <w:rsid w:val="00B61C3D"/>
    <w:rsid w:val="00B61FAC"/>
    <w:rsid w:val="00B61FCE"/>
    <w:rsid w:val="00B6205C"/>
    <w:rsid w:val="00B620DB"/>
    <w:rsid w:val="00B62152"/>
    <w:rsid w:val="00B621BE"/>
    <w:rsid w:val="00B621EB"/>
    <w:rsid w:val="00B62236"/>
    <w:rsid w:val="00B62244"/>
    <w:rsid w:val="00B623D5"/>
    <w:rsid w:val="00B624E9"/>
    <w:rsid w:val="00B62595"/>
    <w:rsid w:val="00B62729"/>
    <w:rsid w:val="00B62787"/>
    <w:rsid w:val="00B627D2"/>
    <w:rsid w:val="00B62860"/>
    <w:rsid w:val="00B6294C"/>
    <w:rsid w:val="00B62976"/>
    <w:rsid w:val="00B629CE"/>
    <w:rsid w:val="00B62A79"/>
    <w:rsid w:val="00B62AFC"/>
    <w:rsid w:val="00B62BE2"/>
    <w:rsid w:val="00B62C13"/>
    <w:rsid w:val="00B62CAB"/>
    <w:rsid w:val="00B62D6D"/>
    <w:rsid w:val="00B62D6E"/>
    <w:rsid w:val="00B62DD6"/>
    <w:rsid w:val="00B62F8B"/>
    <w:rsid w:val="00B630B8"/>
    <w:rsid w:val="00B63129"/>
    <w:rsid w:val="00B631ED"/>
    <w:rsid w:val="00B63394"/>
    <w:rsid w:val="00B63582"/>
    <w:rsid w:val="00B6359A"/>
    <w:rsid w:val="00B63695"/>
    <w:rsid w:val="00B637B2"/>
    <w:rsid w:val="00B6391F"/>
    <w:rsid w:val="00B63940"/>
    <w:rsid w:val="00B639EA"/>
    <w:rsid w:val="00B63E02"/>
    <w:rsid w:val="00B63E44"/>
    <w:rsid w:val="00B63E73"/>
    <w:rsid w:val="00B63E83"/>
    <w:rsid w:val="00B63EA4"/>
    <w:rsid w:val="00B63F1A"/>
    <w:rsid w:val="00B63F60"/>
    <w:rsid w:val="00B63F88"/>
    <w:rsid w:val="00B63FDE"/>
    <w:rsid w:val="00B63FE7"/>
    <w:rsid w:val="00B6401A"/>
    <w:rsid w:val="00B640FE"/>
    <w:rsid w:val="00B6436A"/>
    <w:rsid w:val="00B644E6"/>
    <w:rsid w:val="00B645D3"/>
    <w:rsid w:val="00B64644"/>
    <w:rsid w:val="00B646CB"/>
    <w:rsid w:val="00B647A7"/>
    <w:rsid w:val="00B6485E"/>
    <w:rsid w:val="00B64A02"/>
    <w:rsid w:val="00B64B4C"/>
    <w:rsid w:val="00B64C25"/>
    <w:rsid w:val="00B64C50"/>
    <w:rsid w:val="00B64C76"/>
    <w:rsid w:val="00B64D4B"/>
    <w:rsid w:val="00B64D87"/>
    <w:rsid w:val="00B64ED8"/>
    <w:rsid w:val="00B64FAE"/>
    <w:rsid w:val="00B65050"/>
    <w:rsid w:val="00B6509E"/>
    <w:rsid w:val="00B65319"/>
    <w:rsid w:val="00B653A7"/>
    <w:rsid w:val="00B654F8"/>
    <w:rsid w:val="00B65523"/>
    <w:rsid w:val="00B658F0"/>
    <w:rsid w:val="00B65944"/>
    <w:rsid w:val="00B6594B"/>
    <w:rsid w:val="00B659CA"/>
    <w:rsid w:val="00B65B4B"/>
    <w:rsid w:val="00B65BEE"/>
    <w:rsid w:val="00B65CAA"/>
    <w:rsid w:val="00B660A7"/>
    <w:rsid w:val="00B660D1"/>
    <w:rsid w:val="00B66296"/>
    <w:rsid w:val="00B6632F"/>
    <w:rsid w:val="00B6680B"/>
    <w:rsid w:val="00B66999"/>
    <w:rsid w:val="00B66B8D"/>
    <w:rsid w:val="00B66BF0"/>
    <w:rsid w:val="00B66C03"/>
    <w:rsid w:val="00B66C60"/>
    <w:rsid w:val="00B66E58"/>
    <w:rsid w:val="00B66F88"/>
    <w:rsid w:val="00B66FDA"/>
    <w:rsid w:val="00B66FDC"/>
    <w:rsid w:val="00B6703E"/>
    <w:rsid w:val="00B67085"/>
    <w:rsid w:val="00B670D3"/>
    <w:rsid w:val="00B670F9"/>
    <w:rsid w:val="00B6714A"/>
    <w:rsid w:val="00B67300"/>
    <w:rsid w:val="00B6731F"/>
    <w:rsid w:val="00B67359"/>
    <w:rsid w:val="00B673AD"/>
    <w:rsid w:val="00B6755E"/>
    <w:rsid w:val="00B6769A"/>
    <w:rsid w:val="00B676EB"/>
    <w:rsid w:val="00B67716"/>
    <w:rsid w:val="00B6773D"/>
    <w:rsid w:val="00B677EE"/>
    <w:rsid w:val="00B6782E"/>
    <w:rsid w:val="00B678E6"/>
    <w:rsid w:val="00B67989"/>
    <w:rsid w:val="00B679B5"/>
    <w:rsid w:val="00B679FD"/>
    <w:rsid w:val="00B67A1D"/>
    <w:rsid w:val="00B67A88"/>
    <w:rsid w:val="00B67AFF"/>
    <w:rsid w:val="00B67CA4"/>
    <w:rsid w:val="00B67CF3"/>
    <w:rsid w:val="00B67D61"/>
    <w:rsid w:val="00B67E62"/>
    <w:rsid w:val="00B67F82"/>
    <w:rsid w:val="00B7006F"/>
    <w:rsid w:val="00B70087"/>
    <w:rsid w:val="00B700BD"/>
    <w:rsid w:val="00B70129"/>
    <w:rsid w:val="00B70223"/>
    <w:rsid w:val="00B702D6"/>
    <w:rsid w:val="00B70308"/>
    <w:rsid w:val="00B703D4"/>
    <w:rsid w:val="00B70618"/>
    <w:rsid w:val="00B706A4"/>
    <w:rsid w:val="00B706C0"/>
    <w:rsid w:val="00B70712"/>
    <w:rsid w:val="00B707DA"/>
    <w:rsid w:val="00B70808"/>
    <w:rsid w:val="00B708C9"/>
    <w:rsid w:val="00B70939"/>
    <w:rsid w:val="00B7097E"/>
    <w:rsid w:val="00B709D2"/>
    <w:rsid w:val="00B70A02"/>
    <w:rsid w:val="00B70A19"/>
    <w:rsid w:val="00B70A49"/>
    <w:rsid w:val="00B70B1E"/>
    <w:rsid w:val="00B70B87"/>
    <w:rsid w:val="00B70BD4"/>
    <w:rsid w:val="00B70C22"/>
    <w:rsid w:val="00B70CAC"/>
    <w:rsid w:val="00B70CCF"/>
    <w:rsid w:val="00B70E30"/>
    <w:rsid w:val="00B70EE5"/>
    <w:rsid w:val="00B710E7"/>
    <w:rsid w:val="00B711B4"/>
    <w:rsid w:val="00B71365"/>
    <w:rsid w:val="00B715DE"/>
    <w:rsid w:val="00B715E9"/>
    <w:rsid w:val="00B71656"/>
    <w:rsid w:val="00B716F1"/>
    <w:rsid w:val="00B71703"/>
    <w:rsid w:val="00B7171D"/>
    <w:rsid w:val="00B71785"/>
    <w:rsid w:val="00B718A8"/>
    <w:rsid w:val="00B71945"/>
    <w:rsid w:val="00B71ADF"/>
    <w:rsid w:val="00B71B1B"/>
    <w:rsid w:val="00B71B62"/>
    <w:rsid w:val="00B71BD4"/>
    <w:rsid w:val="00B71F9C"/>
    <w:rsid w:val="00B71FA1"/>
    <w:rsid w:val="00B7203B"/>
    <w:rsid w:val="00B720C0"/>
    <w:rsid w:val="00B7220A"/>
    <w:rsid w:val="00B722B0"/>
    <w:rsid w:val="00B722C5"/>
    <w:rsid w:val="00B722F0"/>
    <w:rsid w:val="00B7238A"/>
    <w:rsid w:val="00B72532"/>
    <w:rsid w:val="00B72546"/>
    <w:rsid w:val="00B725BA"/>
    <w:rsid w:val="00B725F1"/>
    <w:rsid w:val="00B72714"/>
    <w:rsid w:val="00B72775"/>
    <w:rsid w:val="00B727A2"/>
    <w:rsid w:val="00B7281E"/>
    <w:rsid w:val="00B728A4"/>
    <w:rsid w:val="00B728E0"/>
    <w:rsid w:val="00B72A0A"/>
    <w:rsid w:val="00B72A39"/>
    <w:rsid w:val="00B72AE0"/>
    <w:rsid w:val="00B72B04"/>
    <w:rsid w:val="00B72D93"/>
    <w:rsid w:val="00B72E31"/>
    <w:rsid w:val="00B72E3E"/>
    <w:rsid w:val="00B72E4E"/>
    <w:rsid w:val="00B72EB8"/>
    <w:rsid w:val="00B72EC9"/>
    <w:rsid w:val="00B7308B"/>
    <w:rsid w:val="00B7309B"/>
    <w:rsid w:val="00B73137"/>
    <w:rsid w:val="00B7320A"/>
    <w:rsid w:val="00B73238"/>
    <w:rsid w:val="00B73386"/>
    <w:rsid w:val="00B733BB"/>
    <w:rsid w:val="00B73440"/>
    <w:rsid w:val="00B73444"/>
    <w:rsid w:val="00B734A2"/>
    <w:rsid w:val="00B735CF"/>
    <w:rsid w:val="00B73651"/>
    <w:rsid w:val="00B7370E"/>
    <w:rsid w:val="00B738EC"/>
    <w:rsid w:val="00B7394D"/>
    <w:rsid w:val="00B73A1D"/>
    <w:rsid w:val="00B73A4D"/>
    <w:rsid w:val="00B73A75"/>
    <w:rsid w:val="00B73AF1"/>
    <w:rsid w:val="00B73B4A"/>
    <w:rsid w:val="00B73BAD"/>
    <w:rsid w:val="00B73C1E"/>
    <w:rsid w:val="00B73D0A"/>
    <w:rsid w:val="00B73D96"/>
    <w:rsid w:val="00B73E96"/>
    <w:rsid w:val="00B73FC2"/>
    <w:rsid w:val="00B73FDF"/>
    <w:rsid w:val="00B7408A"/>
    <w:rsid w:val="00B740D5"/>
    <w:rsid w:val="00B745D5"/>
    <w:rsid w:val="00B74617"/>
    <w:rsid w:val="00B7465A"/>
    <w:rsid w:val="00B74726"/>
    <w:rsid w:val="00B747BA"/>
    <w:rsid w:val="00B7489F"/>
    <w:rsid w:val="00B74923"/>
    <w:rsid w:val="00B74931"/>
    <w:rsid w:val="00B749CD"/>
    <w:rsid w:val="00B74CF1"/>
    <w:rsid w:val="00B74D7E"/>
    <w:rsid w:val="00B74E0D"/>
    <w:rsid w:val="00B74E23"/>
    <w:rsid w:val="00B7502D"/>
    <w:rsid w:val="00B751B8"/>
    <w:rsid w:val="00B751C9"/>
    <w:rsid w:val="00B751FE"/>
    <w:rsid w:val="00B7529E"/>
    <w:rsid w:val="00B752A9"/>
    <w:rsid w:val="00B752E7"/>
    <w:rsid w:val="00B75301"/>
    <w:rsid w:val="00B75360"/>
    <w:rsid w:val="00B7537E"/>
    <w:rsid w:val="00B75577"/>
    <w:rsid w:val="00B755BA"/>
    <w:rsid w:val="00B755F9"/>
    <w:rsid w:val="00B7560C"/>
    <w:rsid w:val="00B7563D"/>
    <w:rsid w:val="00B75698"/>
    <w:rsid w:val="00B7578A"/>
    <w:rsid w:val="00B75828"/>
    <w:rsid w:val="00B758C6"/>
    <w:rsid w:val="00B7594E"/>
    <w:rsid w:val="00B75A5B"/>
    <w:rsid w:val="00B75C07"/>
    <w:rsid w:val="00B75C95"/>
    <w:rsid w:val="00B75DD1"/>
    <w:rsid w:val="00B75DE0"/>
    <w:rsid w:val="00B75EBB"/>
    <w:rsid w:val="00B75F83"/>
    <w:rsid w:val="00B76037"/>
    <w:rsid w:val="00B760D9"/>
    <w:rsid w:val="00B7610A"/>
    <w:rsid w:val="00B76128"/>
    <w:rsid w:val="00B762BA"/>
    <w:rsid w:val="00B762E2"/>
    <w:rsid w:val="00B762EF"/>
    <w:rsid w:val="00B76344"/>
    <w:rsid w:val="00B76595"/>
    <w:rsid w:val="00B766D1"/>
    <w:rsid w:val="00B76898"/>
    <w:rsid w:val="00B76928"/>
    <w:rsid w:val="00B769ED"/>
    <w:rsid w:val="00B76A10"/>
    <w:rsid w:val="00B76AF0"/>
    <w:rsid w:val="00B76B58"/>
    <w:rsid w:val="00B76C84"/>
    <w:rsid w:val="00B76C8D"/>
    <w:rsid w:val="00B76DDB"/>
    <w:rsid w:val="00B76EFB"/>
    <w:rsid w:val="00B76F88"/>
    <w:rsid w:val="00B77214"/>
    <w:rsid w:val="00B77261"/>
    <w:rsid w:val="00B77474"/>
    <w:rsid w:val="00B776FC"/>
    <w:rsid w:val="00B77783"/>
    <w:rsid w:val="00B7787E"/>
    <w:rsid w:val="00B77921"/>
    <w:rsid w:val="00B77991"/>
    <w:rsid w:val="00B779CF"/>
    <w:rsid w:val="00B77AD3"/>
    <w:rsid w:val="00B77B01"/>
    <w:rsid w:val="00B77B24"/>
    <w:rsid w:val="00B77B7D"/>
    <w:rsid w:val="00B77BFE"/>
    <w:rsid w:val="00B77C53"/>
    <w:rsid w:val="00B77C66"/>
    <w:rsid w:val="00B77CC1"/>
    <w:rsid w:val="00B77DDF"/>
    <w:rsid w:val="00B77F88"/>
    <w:rsid w:val="00B80122"/>
    <w:rsid w:val="00B80176"/>
    <w:rsid w:val="00B8018D"/>
    <w:rsid w:val="00B80194"/>
    <w:rsid w:val="00B802DF"/>
    <w:rsid w:val="00B802F1"/>
    <w:rsid w:val="00B8034E"/>
    <w:rsid w:val="00B8035E"/>
    <w:rsid w:val="00B804AF"/>
    <w:rsid w:val="00B805D0"/>
    <w:rsid w:val="00B805EE"/>
    <w:rsid w:val="00B80631"/>
    <w:rsid w:val="00B80772"/>
    <w:rsid w:val="00B80850"/>
    <w:rsid w:val="00B8094D"/>
    <w:rsid w:val="00B80967"/>
    <w:rsid w:val="00B809CF"/>
    <w:rsid w:val="00B80A31"/>
    <w:rsid w:val="00B80C40"/>
    <w:rsid w:val="00B80D2B"/>
    <w:rsid w:val="00B80D9A"/>
    <w:rsid w:val="00B80E47"/>
    <w:rsid w:val="00B80E6A"/>
    <w:rsid w:val="00B80E82"/>
    <w:rsid w:val="00B81035"/>
    <w:rsid w:val="00B810CF"/>
    <w:rsid w:val="00B810E2"/>
    <w:rsid w:val="00B81161"/>
    <w:rsid w:val="00B811ED"/>
    <w:rsid w:val="00B81226"/>
    <w:rsid w:val="00B812A0"/>
    <w:rsid w:val="00B812EE"/>
    <w:rsid w:val="00B81314"/>
    <w:rsid w:val="00B813D9"/>
    <w:rsid w:val="00B8142D"/>
    <w:rsid w:val="00B81539"/>
    <w:rsid w:val="00B81628"/>
    <w:rsid w:val="00B8173C"/>
    <w:rsid w:val="00B81B40"/>
    <w:rsid w:val="00B81BA1"/>
    <w:rsid w:val="00B81CAB"/>
    <w:rsid w:val="00B81DB9"/>
    <w:rsid w:val="00B81EC5"/>
    <w:rsid w:val="00B81F50"/>
    <w:rsid w:val="00B82079"/>
    <w:rsid w:val="00B8211F"/>
    <w:rsid w:val="00B82140"/>
    <w:rsid w:val="00B82143"/>
    <w:rsid w:val="00B82498"/>
    <w:rsid w:val="00B825B5"/>
    <w:rsid w:val="00B82763"/>
    <w:rsid w:val="00B82766"/>
    <w:rsid w:val="00B82816"/>
    <w:rsid w:val="00B82A65"/>
    <w:rsid w:val="00B82A97"/>
    <w:rsid w:val="00B82BB2"/>
    <w:rsid w:val="00B82BF0"/>
    <w:rsid w:val="00B82C31"/>
    <w:rsid w:val="00B82C71"/>
    <w:rsid w:val="00B82E30"/>
    <w:rsid w:val="00B82FCE"/>
    <w:rsid w:val="00B83022"/>
    <w:rsid w:val="00B8308F"/>
    <w:rsid w:val="00B8317F"/>
    <w:rsid w:val="00B831D6"/>
    <w:rsid w:val="00B831E5"/>
    <w:rsid w:val="00B831EB"/>
    <w:rsid w:val="00B8322D"/>
    <w:rsid w:val="00B832A4"/>
    <w:rsid w:val="00B833F9"/>
    <w:rsid w:val="00B8349C"/>
    <w:rsid w:val="00B8350B"/>
    <w:rsid w:val="00B8362D"/>
    <w:rsid w:val="00B83696"/>
    <w:rsid w:val="00B837E0"/>
    <w:rsid w:val="00B8381F"/>
    <w:rsid w:val="00B838EB"/>
    <w:rsid w:val="00B838FF"/>
    <w:rsid w:val="00B83915"/>
    <w:rsid w:val="00B83938"/>
    <w:rsid w:val="00B83950"/>
    <w:rsid w:val="00B83957"/>
    <w:rsid w:val="00B83D1A"/>
    <w:rsid w:val="00B83E4D"/>
    <w:rsid w:val="00B83EA8"/>
    <w:rsid w:val="00B83F6F"/>
    <w:rsid w:val="00B84209"/>
    <w:rsid w:val="00B84330"/>
    <w:rsid w:val="00B843DB"/>
    <w:rsid w:val="00B844C6"/>
    <w:rsid w:val="00B84521"/>
    <w:rsid w:val="00B8457A"/>
    <w:rsid w:val="00B84710"/>
    <w:rsid w:val="00B847DD"/>
    <w:rsid w:val="00B847DF"/>
    <w:rsid w:val="00B847FD"/>
    <w:rsid w:val="00B848DF"/>
    <w:rsid w:val="00B84A92"/>
    <w:rsid w:val="00B84B16"/>
    <w:rsid w:val="00B84BF2"/>
    <w:rsid w:val="00B84BF5"/>
    <w:rsid w:val="00B84C7C"/>
    <w:rsid w:val="00B84CC3"/>
    <w:rsid w:val="00B84DB3"/>
    <w:rsid w:val="00B84DC1"/>
    <w:rsid w:val="00B84FB4"/>
    <w:rsid w:val="00B85087"/>
    <w:rsid w:val="00B850D0"/>
    <w:rsid w:val="00B85169"/>
    <w:rsid w:val="00B8529E"/>
    <w:rsid w:val="00B8533D"/>
    <w:rsid w:val="00B853F0"/>
    <w:rsid w:val="00B85517"/>
    <w:rsid w:val="00B85529"/>
    <w:rsid w:val="00B855E7"/>
    <w:rsid w:val="00B85678"/>
    <w:rsid w:val="00B8586F"/>
    <w:rsid w:val="00B859A1"/>
    <w:rsid w:val="00B859B7"/>
    <w:rsid w:val="00B859D0"/>
    <w:rsid w:val="00B85A7B"/>
    <w:rsid w:val="00B85A9A"/>
    <w:rsid w:val="00B85AEE"/>
    <w:rsid w:val="00B85B70"/>
    <w:rsid w:val="00B85D2E"/>
    <w:rsid w:val="00B85EAF"/>
    <w:rsid w:val="00B85EFE"/>
    <w:rsid w:val="00B8606C"/>
    <w:rsid w:val="00B860E6"/>
    <w:rsid w:val="00B862B3"/>
    <w:rsid w:val="00B86326"/>
    <w:rsid w:val="00B86497"/>
    <w:rsid w:val="00B86504"/>
    <w:rsid w:val="00B8655C"/>
    <w:rsid w:val="00B86596"/>
    <w:rsid w:val="00B866AC"/>
    <w:rsid w:val="00B8671E"/>
    <w:rsid w:val="00B86729"/>
    <w:rsid w:val="00B8675F"/>
    <w:rsid w:val="00B867AB"/>
    <w:rsid w:val="00B867B2"/>
    <w:rsid w:val="00B8682E"/>
    <w:rsid w:val="00B868A1"/>
    <w:rsid w:val="00B86A21"/>
    <w:rsid w:val="00B86B02"/>
    <w:rsid w:val="00B86B4A"/>
    <w:rsid w:val="00B86D41"/>
    <w:rsid w:val="00B86E6C"/>
    <w:rsid w:val="00B86EE6"/>
    <w:rsid w:val="00B873E3"/>
    <w:rsid w:val="00B873F7"/>
    <w:rsid w:val="00B87461"/>
    <w:rsid w:val="00B8748E"/>
    <w:rsid w:val="00B874CD"/>
    <w:rsid w:val="00B874F4"/>
    <w:rsid w:val="00B875A0"/>
    <w:rsid w:val="00B87618"/>
    <w:rsid w:val="00B87760"/>
    <w:rsid w:val="00B87805"/>
    <w:rsid w:val="00B87864"/>
    <w:rsid w:val="00B879AA"/>
    <w:rsid w:val="00B87A2B"/>
    <w:rsid w:val="00B87ABC"/>
    <w:rsid w:val="00B87B38"/>
    <w:rsid w:val="00B87CDC"/>
    <w:rsid w:val="00B87E36"/>
    <w:rsid w:val="00B87EAD"/>
    <w:rsid w:val="00B87FF6"/>
    <w:rsid w:val="00B9022D"/>
    <w:rsid w:val="00B90241"/>
    <w:rsid w:val="00B9028C"/>
    <w:rsid w:val="00B903B8"/>
    <w:rsid w:val="00B9041F"/>
    <w:rsid w:val="00B90452"/>
    <w:rsid w:val="00B90542"/>
    <w:rsid w:val="00B905EB"/>
    <w:rsid w:val="00B9080C"/>
    <w:rsid w:val="00B9080F"/>
    <w:rsid w:val="00B90964"/>
    <w:rsid w:val="00B90A2B"/>
    <w:rsid w:val="00B90A9F"/>
    <w:rsid w:val="00B90AE2"/>
    <w:rsid w:val="00B90AFC"/>
    <w:rsid w:val="00B90D77"/>
    <w:rsid w:val="00B90DD6"/>
    <w:rsid w:val="00B9105A"/>
    <w:rsid w:val="00B91063"/>
    <w:rsid w:val="00B9110D"/>
    <w:rsid w:val="00B91156"/>
    <w:rsid w:val="00B9118A"/>
    <w:rsid w:val="00B911D3"/>
    <w:rsid w:val="00B913B7"/>
    <w:rsid w:val="00B91685"/>
    <w:rsid w:val="00B91745"/>
    <w:rsid w:val="00B91804"/>
    <w:rsid w:val="00B91866"/>
    <w:rsid w:val="00B91A31"/>
    <w:rsid w:val="00B91D04"/>
    <w:rsid w:val="00B91E02"/>
    <w:rsid w:val="00B91E1C"/>
    <w:rsid w:val="00B91EB2"/>
    <w:rsid w:val="00B91FD3"/>
    <w:rsid w:val="00B91FE8"/>
    <w:rsid w:val="00B92116"/>
    <w:rsid w:val="00B92212"/>
    <w:rsid w:val="00B92224"/>
    <w:rsid w:val="00B922C6"/>
    <w:rsid w:val="00B922D5"/>
    <w:rsid w:val="00B92310"/>
    <w:rsid w:val="00B92395"/>
    <w:rsid w:val="00B924A3"/>
    <w:rsid w:val="00B924CF"/>
    <w:rsid w:val="00B9256B"/>
    <w:rsid w:val="00B925AD"/>
    <w:rsid w:val="00B926DD"/>
    <w:rsid w:val="00B9280D"/>
    <w:rsid w:val="00B92869"/>
    <w:rsid w:val="00B928FD"/>
    <w:rsid w:val="00B92902"/>
    <w:rsid w:val="00B9291F"/>
    <w:rsid w:val="00B92953"/>
    <w:rsid w:val="00B92B2C"/>
    <w:rsid w:val="00B92DA9"/>
    <w:rsid w:val="00B92E08"/>
    <w:rsid w:val="00B92E44"/>
    <w:rsid w:val="00B93078"/>
    <w:rsid w:val="00B93248"/>
    <w:rsid w:val="00B932B4"/>
    <w:rsid w:val="00B9332C"/>
    <w:rsid w:val="00B9332F"/>
    <w:rsid w:val="00B9334E"/>
    <w:rsid w:val="00B933F1"/>
    <w:rsid w:val="00B933FB"/>
    <w:rsid w:val="00B93668"/>
    <w:rsid w:val="00B9372B"/>
    <w:rsid w:val="00B93986"/>
    <w:rsid w:val="00B939EE"/>
    <w:rsid w:val="00B93A66"/>
    <w:rsid w:val="00B93B32"/>
    <w:rsid w:val="00B93BDB"/>
    <w:rsid w:val="00B93C3F"/>
    <w:rsid w:val="00B93C96"/>
    <w:rsid w:val="00B93CDE"/>
    <w:rsid w:val="00B93D00"/>
    <w:rsid w:val="00B93D26"/>
    <w:rsid w:val="00B93D27"/>
    <w:rsid w:val="00B93D2B"/>
    <w:rsid w:val="00B93E17"/>
    <w:rsid w:val="00B93FA6"/>
    <w:rsid w:val="00B93FBF"/>
    <w:rsid w:val="00B9412C"/>
    <w:rsid w:val="00B94130"/>
    <w:rsid w:val="00B94138"/>
    <w:rsid w:val="00B94156"/>
    <w:rsid w:val="00B941B4"/>
    <w:rsid w:val="00B941DD"/>
    <w:rsid w:val="00B94212"/>
    <w:rsid w:val="00B942D9"/>
    <w:rsid w:val="00B9436A"/>
    <w:rsid w:val="00B94482"/>
    <w:rsid w:val="00B944B1"/>
    <w:rsid w:val="00B94546"/>
    <w:rsid w:val="00B945A2"/>
    <w:rsid w:val="00B9482B"/>
    <w:rsid w:val="00B94991"/>
    <w:rsid w:val="00B94B1F"/>
    <w:rsid w:val="00B94B27"/>
    <w:rsid w:val="00B94CDF"/>
    <w:rsid w:val="00B94D39"/>
    <w:rsid w:val="00B94E92"/>
    <w:rsid w:val="00B94FBB"/>
    <w:rsid w:val="00B9507C"/>
    <w:rsid w:val="00B95098"/>
    <w:rsid w:val="00B950AE"/>
    <w:rsid w:val="00B951A4"/>
    <w:rsid w:val="00B952FF"/>
    <w:rsid w:val="00B954AB"/>
    <w:rsid w:val="00B9552D"/>
    <w:rsid w:val="00B955C9"/>
    <w:rsid w:val="00B95660"/>
    <w:rsid w:val="00B956BA"/>
    <w:rsid w:val="00B957AD"/>
    <w:rsid w:val="00B9583E"/>
    <w:rsid w:val="00B95989"/>
    <w:rsid w:val="00B95CF2"/>
    <w:rsid w:val="00B95CF8"/>
    <w:rsid w:val="00B95D3A"/>
    <w:rsid w:val="00B95D59"/>
    <w:rsid w:val="00B95ECB"/>
    <w:rsid w:val="00B96240"/>
    <w:rsid w:val="00B96264"/>
    <w:rsid w:val="00B9628F"/>
    <w:rsid w:val="00B96353"/>
    <w:rsid w:val="00B96453"/>
    <w:rsid w:val="00B96514"/>
    <w:rsid w:val="00B965D8"/>
    <w:rsid w:val="00B967C8"/>
    <w:rsid w:val="00B96845"/>
    <w:rsid w:val="00B968D9"/>
    <w:rsid w:val="00B96933"/>
    <w:rsid w:val="00B969B6"/>
    <w:rsid w:val="00B969F5"/>
    <w:rsid w:val="00B96BBC"/>
    <w:rsid w:val="00B96EBE"/>
    <w:rsid w:val="00B96F91"/>
    <w:rsid w:val="00B97044"/>
    <w:rsid w:val="00B97075"/>
    <w:rsid w:val="00B970F3"/>
    <w:rsid w:val="00B97249"/>
    <w:rsid w:val="00B972B3"/>
    <w:rsid w:val="00B974B8"/>
    <w:rsid w:val="00B97537"/>
    <w:rsid w:val="00B97570"/>
    <w:rsid w:val="00B9759D"/>
    <w:rsid w:val="00B97766"/>
    <w:rsid w:val="00B97854"/>
    <w:rsid w:val="00B97861"/>
    <w:rsid w:val="00B97A28"/>
    <w:rsid w:val="00B97AC4"/>
    <w:rsid w:val="00B97ADB"/>
    <w:rsid w:val="00B97D16"/>
    <w:rsid w:val="00B97D29"/>
    <w:rsid w:val="00B97D3C"/>
    <w:rsid w:val="00B97E71"/>
    <w:rsid w:val="00BA01A5"/>
    <w:rsid w:val="00BA0247"/>
    <w:rsid w:val="00BA0496"/>
    <w:rsid w:val="00BA051D"/>
    <w:rsid w:val="00BA0763"/>
    <w:rsid w:val="00BA08C8"/>
    <w:rsid w:val="00BA09A9"/>
    <w:rsid w:val="00BA0A80"/>
    <w:rsid w:val="00BA0B3E"/>
    <w:rsid w:val="00BA0BFA"/>
    <w:rsid w:val="00BA0D2C"/>
    <w:rsid w:val="00BA0DAC"/>
    <w:rsid w:val="00BA0DD2"/>
    <w:rsid w:val="00BA0EA5"/>
    <w:rsid w:val="00BA1126"/>
    <w:rsid w:val="00BA1365"/>
    <w:rsid w:val="00BA1407"/>
    <w:rsid w:val="00BA1418"/>
    <w:rsid w:val="00BA1431"/>
    <w:rsid w:val="00BA14C6"/>
    <w:rsid w:val="00BA156B"/>
    <w:rsid w:val="00BA15AD"/>
    <w:rsid w:val="00BA16C4"/>
    <w:rsid w:val="00BA1743"/>
    <w:rsid w:val="00BA179A"/>
    <w:rsid w:val="00BA1867"/>
    <w:rsid w:val="00BA189D"/>
    <w:rsid w:val="00BA190D"/>
    <w:rsid w:val="00BA19D1"/>
    <w:rsid w:val="00BA19E4"/>
    <w:rsid w:val="00BA1A39"/>
    <w:rsid w:val="00BA1A8A"/>
    <w:rsid w:val="00BA1AAF"/>
    <w:rsid w:val="00BA1E49"/>
    <w:rsid w:val="00BA1F26"/>
    <w:rsid w:val="00BA1F6C"/>
    <w:rsid w:val="00BA2028"/>
    <w:rsid w:val="00BA2207"/>
    <w:rsid w:val="00BA2234"/>
    <w:rsid w:val="00BA2259"/>
    <w:rsid w:val="00BA230C"/>
    <w:rsid w:val="00BA2361"/>
    <w:rsid w:val="00BA23A9"/>
    <w:rsid w:val="00BA23DF"/>
    <w:rsid w:val="00BA2442"/>
    <w:rsid w:val="00BA2587"/>
    <w:rsid w:val="00BA25C2"/>
    <w:rsid w:val="00BA25D5"/>
    <w:rsid w:val="00BA25FA"/>
    <w:rsid w:val="00BA2771"/>
    <w:rsid w:val="00BA27A2"/>
    <w:rsid w:val="00BA28ED"/>
    <w:rsid w:val="00BA2A36"/>
    <w:rsid w:val="00BA2A7F"/>
    <w:rsid w:val="00BA2A83"/>
    <w:rsid w:val="00BA2B16"/>
    <w:rsid w:val="00BA2CAC"/>
    <w:rsid w:val="00BA2D87"/>
    <w:rsid w:val="00BA2DBB"/>
    <w:rsid w:val="00BA2DED"/>
    <w:rsid w:val="00BA2E93"/>
    <w:rsid w:val="00BA2EED"/>
    <w:rsid w:val="00BA3067"/>
    <w:rsid w:val="00BA30C6"/>
    <w:rsid w:val="00BA312A"/>
    <w:rsid w:val="00BA313D"/>
    <w:rsid w:val="00BA328C"/>
    <w:rsid w:val="00BA32DF"/>
    <w:rsid w:val="00BA3355"/>
    <w:rsid w:val="00BA3363"/>
    <w:rsid w:val="00BA365A"/>
    <w:rsid w:val="00BA36AB"/>
    <w:rsid w:val="00BA3722"/>
    <w:rsid w:val="00BA3888"/>
    <w:rsid w:val="00BA38D1"/>
    <w:rsid w:val="00BA3A4D"/>
    <w:rsid w:val="00BA3A82"/>
    <w:rsid w:val="00BA3AB7"/>
    <w:rsid w:val="00BA3B02"/>
    <w:rsid w:val="00BA3C5B"/>
    <w:rsid w:val="00BA3ED9"/>
    <w:rsid w:val="00BA40E0"/>
    <w:rsid w:val="00BA4137"/>
    <w:rsid w:val="00BA42E2"/>
    <w:rsid w:val="00BA430A"/>
    <w:rsid w:val="00BA438C"/>
    <w:rsid w:val="00BA439A"/>
    <w:rsid w:val="00BA45B6"/>
    <w:rsid w:val="00BA4628"/>
    <w:rsid w:val="00BA47AF"/>
    <w:rsid w:val="00BA4806"/>
    <w:rsid w:val="00BA484D"/>
    <w:rsid w:val="00BA48BC"/>
    <w:rsid w:val="00BA49F1"/>
    <w:rsid w:val="00BA4B6E"/>
    <w:rsid w:val="00BA4CC9"/>
    <w:rsid w:val="00BA4E73"/>
    <w:rsid w:val="00BA4E90"/>
    <w:rsid w:val="00BA4F02"/>
    <w:rsid w:val="00BA5065"/>
    <w:rsid w:val="00BA5253"/>
    <w:rsid w:val="00BA52AA"/>
    <w:rsid w:val="00BA52E9"/>
    <w:rsid w:val="00BA52F5"/>
    <w:rsid w:val="00BA5318"/>
    <w:rsid w:val="00BA5391"/>
    <w:rsid w:val="00BA53C3"/>
    <w:rsid w:val="00BA5405"/>
    <w:rsid w:val="00BA5492"/>
    <w:rsid w:val="00BA54DD"/>
    <w:rsid w:val="00BA55A6"/>
    <w:rsid w:val="00BA55AE"/>
    <w:rsid w:val="00BA567B"/>
    <w:rsid w:val="00BA56D0"/>
    <w:rsid w:val="00BA5734"/>
    <w:rsid w:val="00BA5737"/>
    <w:rsid w:val="00BA5847"/>
    <w:rsid w:val="00BA5864"/>
    <w:rsid w:val="00BA5951"/>
    <w:rsid w:val="00BA5AAE"/>
    <w:rsid w:val="00BA5AE0"/>
    <w:rsid w:val="00BA5B0B"/>
    <w:rsid w:val="00BA5B2D"/>
    <w:rsid w:val="00BA5C43"/>
    <w:rsid w:val="00BA5DBA"/>
    <w:rsid w:val="00BA5E20"/>
    <w:rsid w:val="00BA5FDB"/>
    <w:rsid w:val="00BA60DA"/>
    <w:rsid w:val="00BA60FF"/>
    <w:rsid w:val="00BA61EA"/>
    <w:rsid w:val="00BA6243"/>
    <w:rsid w:val="00BA6300"/>
    <w:rsid w:val="00BA6390"/>
    <w:rsid w:val="00BA6443"/>
    <w:rsid w:val="00BA64AC"/>
    <w:rsid w:val="00BA64B9"/>
    <w:rsid w:val="00BA6544"/>
    <w:rsid w:val="00BA6793"/>
    <w:rsid w:val="00BA67D2"/>
    <w:rsid w:val="00BA6A8A"/>
    <w:rsid w:val="00BA6A8B"/>
    <w:rsid w:val="00BA6ACB"/>
    <w:rsid w:val="00BA6C2D"/>
    <w:rsid w:val="00BA6E62"/>
    <w:rsid w:val="00BA6F1F"/>
    <w:rsid w:val="00BA6F39"/>
    <w:rsid w:val="00BA7054"/>
    <w:rsid w:val="00BA715D"/>
    <w:rsid w:val="00BA7593"/>
    <w:rsid w:val="00BA7657"/>
    <w:rsid w:val="00BA7674"/>
    <w:rsid w:val="00BA77FE"/>
    <w:rsid w:val="00BA79B2"/>
    <w:rsid w:val="00BA7B61"/>
    <w:rsid w:val="00BA7D6C"/>
    <w:rsid w:val="00BA7DC2"/>
    <w:rsid w:val="00BA7EF3"/>
    <w:rsid w:val="00BA7FF7"/>
    <w:rsid w:val="00BB00A4"/>
    <w:rsid w:val="00BB0200"/>
    <w:rsid w:val="00BB035A"/>
    <w:rsid w:val="00BB0424"/>
    <w:rsid w:val="00BB0475"/>
    <w:rsid w:val="00BB04D1"/>
    <w:rsid w:val="00BB0733"/>
    <w:rsid w:val="00BB0C03"/>
    <w:rsid w:val="00BB0CD4"/>
    <w:rsid w:val="00BB0D55"/>
    <w:rsid w:val="00BB0DF4"/>
    <w:rsid w:val="00BB0F40"/>
    <w:rsid w:val="00BB11AC"/>
    <w:rsid w:val="00BB134F"/>
    <w:rsid w:val="00BB1371"/>
    <w:rsid w:val="00BB13E2"/>
    <w:rsid w:val="00BB142D"/>
    <w:rsid w:val="00BB1437"/>
    <w:rsid w:val="00BB1555"/>
    <w:rsid w:val="00BB1624"/>
    <w:rsid w:val="00BB164A"/>
    <w:rsid w:val="00BB16A6"/>
    <w:rsid w:val="00BB17AE"/>
    <w:rsid w:val="00BB187A"/>
    <w:rsid w:val="00BB188A"/>
    <w:rsid w:val="00BB1895"/>
    <w:rsid w:val="00BB18A5"/>
    <w:rsid w:val="00BB18BF"/>
    <w:rsid w:val="00BB18DD"/>
    <w:rsid w:val="00BB1926"/>
    <w:rsid w:val="00BB1992"/>
    <w:rsid w:val="00BB1A5A"/>
    <w:rsid w:val="00BB1B4E"/>
    <w:rsid w:val="00BB1C19"/>
    <w:rsid w:val="00BB1C88"/>
    <w:rsid w:val="00BB2078"/>
    <w:rsid w:val="00BB2149"/>
    <w:rsid w:val="00BB229B"/>
    <w:rsid w:val="00BB2571"/>
    <w:rsid w:val="00BB26BA"/>
    <w:rsid w:val="00BB27F4"/>
    <w:rsid w:val="00BB2834"/>
    <w:rsid w:val="00BB2866"/>
    <w:rsid w:val="00BB295E"/>
    <w:rsid w:val="00BB2981"/>
    <w:rsid w:val="00BB2A20"/>
    <w:rsid w:val="00BB2A62"/>
    <w:rsid w:val="00BB2C23"/>
    <w:rsid w:val="00BB2DD1"/>
    <w:rsid w:val="00BB2F91"/>
    <w:rsid w:val="00BB3045"/>
    <w:rsid w:val="00BB3115"/>
    <w:rsid w:val="00BB3292"/>
    <w:rsid w:val="00BB3319"/>
    <w:rsid w:val="00BB3408"/>
    <w:rsid w:val="00BB3496"/>
    <w:rsid w:val="00BB353E"/>
    <w:rsid w:val="00BB35D0"/>
    <w:rsid w:val="00BB374D"/>
    <w:rsid w:val="00BB37A0"/>
    <w:rsid w:val="00BB3834"/>
    <w:rsid w:val="00BB3899"/>
    <w:rsid w:val="00BB397D"/>
    <w:rsid w:val="00BB3998"/>
    <w:rsid w:val="00BB39A0"/>
    <w:rsid w:val="00BB39A4"/>
    <w:rsid w:val="00BB39C8"/>
    <w:rsid w:val="00BB3A69"/>
    <w:rsid w:val="00BB3A6A"/>
    <w:rsid w:val="00BB3AC2"/>
    <w:rsid w:val="00BB3F1D"/>
    <w:rsid w:val="00BB3F98"/>
    <w:rsid w:val="00BB407D"/>
    <w:rsid w:val="00BB4427"/>
    <w:rsid w:val="00BB442E"/>
    <w:rsid w:val="00BB445E"/>
    <w:rsid w:val="00BB44C6"/>
    <w:rsid w:val="00BB44C8"/>
    <w:rsid w:val="00BB4518"/>
    <w:rsid w:val="00BB451A"/>
    <w:rsid w:val="00BB4531"/>
    <w:rsid w:val="00BB4539"/>
    <w:rsid w:val="00BB45F3"/>
    <w:rsid w:val="00BB468B"/>
    <w:rsid w:val="00BB46E6"/>
    <w:rsid w:val="00BB486B"/>
    <w:rsid w:val="00BB4A15"/>
    <w:rsid w:val="00BB4B2D"/>
    <w:rsid w:val="00BB4B34"/>
    <w:rsid w:val="00BB4BB7"/>
    <w:rsid w:val="00BB4D42"/>
    <w:rsid w:val="00BB4E81"/>
    <w:rsid w:val="00BB4EB3"/>
    <w:rsid w:val="00BB516F"/>
    <w:rsid w:val="00BB5276"/>
    <w:rsid w:val="00BB542C"/>
    <w:rsid w:val="00BB55C5"/>
    <w:rsid w:val="00BB564E"/>
    <w:rsid w:val="00BB5936"/>
    <w:rsid w:val="00BB5993"/>
    <w:rsid w:val="00BB599B"/>
    <w:rsid w:val="00BB5A78"/>
    <w:rsid w:val="00BB5B85"/>
    <w:rsid w:val="00BB5BE9"/>
    <w:rsid w:val="00BB5CA7"/>
    <w:rsid w:val="00BB5CF7"/>
    <w:rsid w:val="00BB5D20"/>
    <w:rsid w:val="00BB5DC2"/>
    <w:rsid w:val="00BB5E06"/>
    <w:rsid w:val="00BB5EED"/>
    <w:rsid w:val="00BB5F0E"/>
    <w:rsid w:val="00BB5F81"/>
    <w:rsid w:val="00BB5F9D"/>
    <w:rsid w:val="00BB622F"/>
    <w:rsid w:val="00BB646D"/>
    <w:rsid w:val="00BB6472"/>
    <w:rsid w:val="00BB64BC"/>
    <w:rsid w:val="00BB64E2"/>
    <w:rsid w:val="00BB674F"/>
    <w:rsid w:val="00BB682C"/>
    <w:rsid w:val="00BB690F"/>
    <w:rsid w:val="00BB6C60"/>
    <w:rsid w:val="00BB6CCB"/>
    <w:rsid w:val="00BB6DA1"/>
    <w:rsid w:val="00BB6EB4"/>
    <w:rsid w:val="00BB6F3F"/>
    <w:rsid w:val="00BB7043"/>
    <w:rsid w:val="00BB709C"/>
    <w:rsid w:val="00BB7112"/>
    <w:rsid w:val="00BB7192"/>
    <w:rsid w:val="00BB7298"/>
    <w:rsid w:val="00BB72AB"/>
    <w:rsid w:val="00BB733B"/>
    <w:rsid w:val="00BB7345"/>
    <w:rsid w:val="00BB73BE"/>
    <w:rsid w:val="00BB74E3"/>
    <w:rsid w:val="00BB7691"/>
    <w:rsid w:val="00BB77D7"/>
    <w:rsid w:val="00BB79D5"/>
    <w:rsid w:val="00BB7A07"/>
    <w:rsid w:val="00BB7AB5"/>
    <w:rsid w:val="00BB7AFF"/>
    <w:rsid w:val="00BB7BA7"/>
    <w:rsid w:val="00BB7BC1"/>
    <w:rsid w:val="00BB7D9B"/>
    <w:rsid w:val="00BB7DC0"/>
    <w:rsid w:val="00BB7E4E"/>
    <w:rsid w:val="00BC00D6"/>
    <w:rsid w:val="00BC00EF"/>
    <w:rsid w:val="00BC01AB"/>
    <w:rsid w:val="00BC01AC"/>
    <w:rsid w:val="00BC028A"/>
    <w:rsid w:val="00BC02C9"/>
    <w:rsid w:val="00BC02D9"/>
    <w:rsid w:val="00BC02F2"/>
    <w:rsid w:val="00BC051A"/>
    <w:rsid w:val="00BC05F0"/>
    <w:rsid w:val="00BC0623"/>
    <w:rsid w:val="00BC0650"/>
    <w:rsid w:val="00BC070D"/>
    <w:rsid w:val="00BC0781"/>
    <w:rsid w:val="00BC07B6"/>
    <w:rsid w:val="00BC07FE"/>
    <w:rsid w:val="00BC085C"/>
    <w:rsid w:val="00BC08D6"/>
    <w:rsid w:val="00BC0961"/>
    <w:rsid w:val="00BC0A33"/>
    <w:rsid w:val="00BC0A39"/>
    <w:rsid w:val="00BC0A6B"/>
    <w:rsid w:val="00BC0A8B"/>
    <w:rsid w:val="00BC0AB5"/>
    <w:rsid w:val="00BC0AC8"/>
    <w:rsid w:val="00BC0B1A"/>
    <w:rsid w:val="00BC0B1D"/>
    <w:rsid w:val="00BC0B36"/>
    <w:rsid w:val="00BC0C29"/>
    <w:rsid w:val="00BC0C30"/>
    <w:rsid w:val="00BC0D6A"/>
    <w:rsid w:val="00BC0E39"/>
    <w:rsid w:val="00BC0E3B"/>
    <w:rsid w:val="00BC0E4A"/>
    <w:rsid w:val="00BC0EC3"/>
    <w:rsid w:val="00BC0EEC"/>
    <w:rsid w:val="00BC0F0D"/>
    <w:rsid w:val="00BC0F60"/>
    <w:rsid w:val="00BC1325"/>
    <w:rsid w:val="00BC13F6"/>
    <w:rsid w:val="00BC14CD"/>
    <w:rsid w:val="00BC1566"/>
    <w:rsid w:val="00BC158C"/>
    <w:rsid w:val="00BC15D5"/>
    <w:rsid w:val="00BC16DE"/>
    <w:rsid w:val="00BC181B"/>
    <w:rsid w:val="00BC19BB"/>
    <w:rsid w:val="00BC19F4"/>
    <w:rsid w:val="00BC1C7E"/>
    <w:rsid w:val="00BC1C89"/>
    <w:rsid w:val="00BC1C8F"/>
    <w:rsid w:val="00BC1D31"/>
    <w:rsid w:val="00BC1D7F"/>
    <w:rsid w:val="00BC1EF8"/>
    <w:rsid w:val="00BC1F29"/>
    <w:rsid w:val="00BC1F37"/>
    <w:rsid w:val="00BC205C"/>
    <w:rsid w:val="00BC207C"/>
    <w:rsid w:val="00BC20BE"/>
    <w:rsid w:val="00BC21BC"/>
    <w:rsid w:val="00BC2456"/>
    <w:rsid w:val="00BC2639"/>
    <w:rsid w:val="00BC263C"/>
    <w:rsid w:val="00BC2797"/>
    <w:rsid w:val="00BC27C4"/>
    <w:rsid w:val="00BC28B0"/>
    <w:rsid w:val="00BC290A"/>
    <w:rsid w:val="00BC29CF"/>
    <w:rsid w:val="00BC2A1A"/>
    <w:rsid w:val="00BC2B59"/>
    <w:rsid w:val="00BC2C2C"/>
    <w:rsid w:val="00BC2D34"/>
    <w:rsid w:val="00BC2DB8"/>
    <w:rsid w:val="00BC2DD3"/>
    <w:rsid w:val="00BC2E78"/>
    <w:rsid w:val="00BC2E82"/>
    <w:rsid w:val="00BC2F94"/>
    <w:rsid w:val="00BC30DC"/>
    <w:rsid w:val="00BC30FB"/>
    <w:rsid w:val="00BC311E"/>
    <w:rsid w:val="00BC3167"/>
    <w:rsid w:val="00BC3179"/>
    <w:rsid w:val="00BC31C6"/>
    <w:rsid w:val="00BC3283"/>
    <w:rsid w:val="00BC32F7"/>
    <w:rsid w:val="00BC3326"/>
    <w:rsid w:val="00BC33C2"/>
    <w:rsid w:val="00BC3522"/>
    <w:rsid w:val="00BC3539"/>
    <w:rsid w:val="00BC3741"/>
    <w:rsid w:val="00BC37EE"/>
    <w:rsid w:val="00BC37FD"/>
    <w:rsid w:val="00BC383B"/>
    <w:rsid w:val="00BC3962"/>
    <w:rsid w:val="00BC3BB9"/>
    <w:rsid w:val="00BC3CC9"/>
    <w:rsid w:val="00BC3D13"/>
    <w:rsid w:val="00BC3D30"/>
    <w:rsid w:val="00BC3EB2"/>
    <w:rsid w:val="00BC3F9D"/>
    <w:rsid w:val="00BC4061"/>
    <w:rsid w:val="00BC407B"/>
    <w:rsid w:val="00BC4259"/>
    <w:rsid w:val="00BC43E0"/>
    <w:rsid w:val="00BC43E5"/>
    <w:rsid w:val="00BC441E"/>
    <w:rsid w:val="00BC4428"/>
    <w:rsid w:val="00BC44AD"/>
    <w:rsid w:val="00BC46AF"/>
    <w:rsid w:val="00BC47F4"/>
    <w:rsid w:val="00BC482F"/>
    <w:rsid w:val="00BC484C"/>
    <w:rsid w:val="00BC487B"/>
    <w:rsid w:val="00BC4928"/>
    <w:rsid w:val="00BC49D5"/>
    <w:rsid w:val="00BC49E6"/>
    <w:rsid w:val="00BC4AC8"/>
    <w:rsid w:val="00BC4B0C"/>
    <w:rsid w:val="00BC4B11"/>
    <w:rsid w:val="00BC4C43"/>
    <w:rsid w:val="00BC4C8A"/>
    <w:rsid w:val="00BC4D81"/>
    <w:rsid w:val="00BC4DEA"/>
    <w:rsid w:val="00BC4E2E"/>
    <w:rsid w:val="00BC4E44"/>
    <w:rsid w:val="00BC5038"/>
    <w:rsid w:val="00BC5073"/>
    <w:rsid w:val="00BC51E2"/>
    <w:rsid w:val="00BC535B"/>
    <w:rsid w:val="00BC5364"/>
    <w:rsid w:val="00BC544B"/>
    <w:rsid w:val="00BC5474"/>
    <w:rsid w:val="00BC549D"/>
    <w:rsid w:val="00BC549E"/>
    <w:rsid w:val="00BC55D8"/>
    <w:rsid w:val="00BC566D"/>
    <w:rsid w:val="00BC56FD"/>
    <w:rsid w:val="00BC5716"/>
    <w:rsid w:val="00BC572D"/>
    <w:rsid w:val="00BC574D"/>
    <w:rsid w:val="00BC5951"/>
    <w:rsid w:val="00BC5C41"/>
    <w:rsid w:val="00BC5CC6"/>
    <w:rsid w:val="00BC5EF1"/>
    <w:rsid w:val="00BC5F07"/>
    <w:rsid w:val="00BC6006"/>
    <w:rsid w:val="00BC600F"/>
    <w:rsid w:val="00BC60F0"/>
    <w:rsid w:val="00BC6158"/>
    <w:rsid w:val="00BC639B"/>
    <w:rsid w:val="00BC63C3"/>
    <w:rsid w:val="00BC6492"/>
    <w:rsid w:val="00BC64D7"/>
    <w:rsid w:val="00BC65F6"/>
    <w:rsid w:val="00BC6650"/>
    <w:rsid w:val="00BC66C0"/>
    <w:rsid w:val="00BC66D2"/>
    <w:rsid w:val="00BC6717"/>
    <w:rsid w:val="00BC69A9"/>
    <w:rsid w:val="00BC69C8"/>
    <w:rsid w:val="00BC6A2C"/>
    <w:rsid w:val="00BC6A73"/>
    <w:rsid w:val="00BC6B5B"/>
    <w:rsid w:val="00BC6C21"/>
    <w:rsid w:val="00BC6C62"/>
    <w:rsid w:val="00BC6C72"/>
    <w:rsid w:val="00BC6CCA"/>
    <w:rsid w:val="00BC6D08"/>
    <w:rsid w:val="00BC6DA5"/>
    <w:rsid w:val="00BC6FA0"/>
    <w:rsid w:val="00BC7028"/>
    <w:rsid w:val="00BC712F"/>
    <w:rsid w:val="00BC7188"/>
    <w:rsid w:val="00BC71DF"/>
    <w:rsid w:val="00BC7316"/>
    <w:rsid w:val="00BC73E4"/>
    <w:rsid w:val="00BC7419"/>
    <w:rsid w:val="00BC74A5"/>
    <w:rsid w:val="00BC7620"/>
    <w:rsid w:val="00BC7641"/>
    <w:rsid w:val="00BC76EE"/>
    <w:rsid w:val="00BC7711"/>
    <w:rsid w:val="00BC7941"/>
    <w:rsid w:val="00BC7969"/>
    <w:rsid w:val="00BC7979"/>
    <w:rsid w:val="00BC79BA"/>
    <w:rsid w:val="00BC7B6B"/>
    <w:rsid w:val="00BC7BCF"/>
    <w:rsid w:val="00BC7C38"/>
    <w:rsid w:val="00BC7D8D"/>
    <w:rsid w:val="00BC7DA4"/>
    <w:rsid w:val="00BC7EDF"/>
    <w:rsid w:val="00BC7F6B"/>
    <w:rsid w:val="00BC7FE1"/>
    <w:rsid w:val="00BD0165"/>
    <w:rsid w:val="00BD0218"/>
    <w:rsid w:val="00BD0276"/>
    <w:rsid w:val="00BD02E3"/>
    <w:rsid w:val="00BD0396"/>
    <w:rsid w:val="00BD0546"/>
    <w:rsid w:val="00BD05A8"/>
    <w:rsid w:val="00BD079A"/>
    <w:rsid w:val="00BD0839"/>
    <w:rsid w:val="00BD08FC"/>
    <w:rsid w:val="00BD0977"/>
    <w:rsid w:val="00BD09B0"/>
    <w:rsid w:val="00BD0A8D"/>
    <w:rsid w:val="00BD0C28"/>
    <w:rsid w:val="00BD0C32"/>
    <w:rsid w:val="00BD0D0C"/>
    <w:rsid w:val="00BD0D61"/>
    <w:rsid w:val="00BD0DEC"/>
    <w:rsid w:val="00BD0E10"/>
    <w:rsid w:val="00BD0E18"/>
    <w:rsid w:val="00BD0F5C"/>
    <w:rsid w:val="00BD0F75"/>
    <w:rsid w:val="00BD0FA3"/>
    <w:rsid w:val="00BD1017"/>
    <w:rsid w:val="00BD108D"/>
    <w:rsid w:val="00BD10A5"/>
    <w:rsid w:val="00BD10CC"/>
    <w:rsid w:val="00BD10F6"/>
    <w:rsid w:val="00BD12AF"/>
    <w:rsid w:val="00BD153D"/>
    <w:rsid w:val="00BD1541"/>
    <w:rsid w:val="00BD1549"/>
    <w:rsid w:val="00BD159B"/>
    <w:rsid w:val="00BD1688"/>
    <w:rsid w:val="00BD184B"/>
    <w:rsid w:val="00BD1933"/>
    <w:rsid w:val="00BD193F"/>
    <w:rsid w:val="00BD198C"/>
    <w:rsid w:val="00BD1A78"/>
    <w:rsid w:val="00BD1CA5"/>
    <w:rsid w:val="00BD1FA3"/>
    <w:rsid w:val="00BD206E"/>
    <w:rsid w:val="00BD215E"/>
    <w:rsid w:val="00BD21CC"/>
    <w:rsid w:val="00BD225F"/>
    <w:rsid w:val="00BD271A"/>
    <w:rsid w:val="00BD274C"/>
    <w:rsid w:val="00BD279B"/>
    <w:rsid w:val="00BD29A8"/>
    <w:rsid w:val="00BD2A02"/>
    <w:rsid w:val="00BD2A82"/>
    <w:rsid w:val="00BD2AFC"/>
    <w:rsid w:val="00BD2B4E"/>
    <w:rsid w:val="00BD2C4E"/>
    <w:rsid w:val="00BD2CD5"/>
    <w:rsid w:val="00BD2DA1"/>
    <w:rsid w:val="00BD2DB8"/>
    <w:rsid w:val="00BD2E75"/>
    <w:rsid w:val="00BD2EE3"/>
    <w:rsid w:val="00BD2F59"/>
    <w:rsid w:val="00BD30D7"/>
    <w:rsid w:val="00BD31C1"/>
    <w:rsid w:val="00BD3211"/>
    <w:rsid w:val="00BD3278"/>
    <w:rsid w:val="00BD3378"/>
    <w:rsid w:val="00BD345C"/>
    <w:rsid w:val="00BD359E"/>
    <w:rsid w:val="00BD363E"/>
    <w:rsid w:val="00BD3673"/>
    <w:rsid w:val="00BD36E7"/>
    <w:rsid w:val="00BD36FA"/>
    <w:rsid w:val="00BD371F"/>
    <w:rsid w:val="00BD3741"/>
    <w:rsid w:val="00BD37AD"/>
    <w:rsid w:val="00BD37C1"/>
    <w:rsid w:val="00BD38BE"/>
    <w:rsid w:val="00BD3964"/>
    <w:rsid w:val="00BD39E6"/>
    <w:rsid w:val="00BD3AB7"/>
    <w:rsid w:val="00BD3B14"/>
    <w:rsid w:val="00BD3B8A"/>
    <w:rsid w:val="00BD3C0D"/>
    <w:rsid w:val="00BD3DB8"/>
    <w:rsid w:val="00BD3E47"/>
    <w:rsid w:val="00BD3EB6"/>
    <w:rsid w:val="00BD3EFA"/>
    <w:rsid w:val="00BD4087"/>
    <w:rsid w:val="00BD409E"/>
    <w:rsid w:val="00BD4114"/>
    <w:rsid w:val="00BD4181"/>
    <w:rsid w:val="00BD41BA"/>
    <w:rsid w:val="00BD42C6"/>
    <w:rsid w:val="00BD42EF"/>
    <w:rsid w:val="00BD4364"/>
    <w:rsid w:val="00BD4368"/>
    <w:rsid w:val="00BD438A"/>
    <w:rsid w:val="00BD4438"/>
    <w:rsid w:val="00BD4445"/>
    <w:rsid w:val="00BD4510"/>
    <w:rsid w:val="00BD4523"/>
    <w:rsid w:val="00BD45EA"/>
    <w:rsid w:val="00BD49B4"/>
    <w:rsid w:val="00BD4A4C"/>
    <w:rsid w:val="00BD4BE0"/>
    <w:rsid w:val="00BD4CA9"/>
    <w:rsid w:val="00BD4D9E"/>
    <w:rsid w:val="00BD4DBB"/>
    <w:rsid w:val="00BD4EC7"/>
    <w:rsid w:val="00BD4F1A"/>
    <w:rsid w:val="00BD4F1D"/>
    <w:rsid w:val="00BD4F2C"/>
    <w:rsid w:val="00BD4FA2"/>
    <w:rsid w:val="00BD4FE4"/>
    <w:rsid w:val="00BD505C"/>
    <w:rsid w:val="00BD51E7"/>
    <w:rsid w:val="00BD5201"/>
    <w:rsid w:val="00BD5493"/>
    <w:rsid w:val="00BD5585"/>
    <w:rsid w:val="00BD55B4"/>
    <w:rsid w:val="00BD5610"/>
    <w:rsid w:val="00BD57C6"/>
    <w:rsid w:val="00BD59B4"/>
    <w:rsid w:val="00BD5A26"/>
    <w:rsid w:val="00BD5AFB"/>
    <w:rsid w:val="00BD5B63"/>
    <w:rsid w:val="00BD5BC0"/>
    <w:rsid w:val="00BD5BD3"/>
    <w:rsid w:val="00BD5E59"/>
    <w:rsid w:val="00BD5FE5"/>
    <w:rsid w:val="00BD6051"/>
    <w:rsid w:val="00BD6060"/>
    <w:rsid w:val="00BD6215"/>
    <w:rsid w:val="00BD62FF"/>
    <w:rsid w:val="00BD638B"/>
    <w:rsid w:val="00BD63AA"/>
    <w:rsid w:val="00BD6427"/>
    <w:rsid w:val="00BD64F9"/>
    <w:rsid w:val="00BD652B"/>
    <w:rsid w:val="00BD65B1"/>
    <w:rsid w:val="00BD65E5"/>
    <w:rsid w:val="00BD6637"/>
    <w:rsid w:val="00BD66AF"/>
    <w:rsid w:val="00BD6978"/>
    <w:rsid w:val="00BD69E1"/>
    <w:rsid w:val="00BD6A06"/>
    <w:rsid w:val="00BD6A13"/>
    <w:rsid w:val="00BD6AFC"/>
    <w:rsid w:val="00BD6BCE"/>
    <w:rsid w:val="00BD6BD8"/>
    <w:rsid w:val="00BD6BE1"/>
    <w:rsid w:val="00BD6CFA"/>
    <w:rsid w:val="00BD6DA8"/>
    <w:rsid w:val="00BD6DE9"/>
    <w:rsid w:val="00BD6ECA"/>
    <w:rsid w:val="00BD711B"/>
    <w:rsid w:val="00BD716E"/>
    <w:rsid w:val="00BD71C5"/>
    <w:rsid w:val="00BD7441"/>
    <w:rsid w:val="00BD7587"/>
    <w:rsid w:val="00BD764F"/>
    <w:rsid w:val="00BD7674"/>
    <w:rsid w:val="00BD767D"/>
    <w:rsid w:val="00BD771F"/>
    <w:rsid w:val="00BD7797"/>
    <w:rsid w:val="00BD77C3"/>
    <w:rsid w:val="00BD78CC"/>
    <w:rsid w:val="00BD792A"/>
    <w:rsid w:val="00BD793B"/>
    <w:rsid w:val="00BD79B9"/>
    <w:rsid w:val="00BD79BD"/>
    <w:rsid w:val="00BD7B85"/>
    <w:rsid w:val="00BD7C06"/>
    <w:rsid w:val="00BD7CB6"/>
    <w:rsid w:val="00BD7D4F"/>
    <w:rsid w:val="00BD7D68"/>
    <w:rsid w:val="00BD7DA2"/>
    <w:rsid w:val="00BD7E00"/>
    <w:rsid w:val="00BD7F20"/>
    <w:rsid w:val="00BD7F86"/>
    <w:rsid w:val="00BD7FC9"/>
    <w:rsid w:val="00BE0062"/>
    <w:rsid w:val="00BE00F2"/>
    <w:rsid w:val="00BE0155"/>
    <w:rsid w:val="00BE023C"/>
    <w:rsid w:val="00BE02B5"/>
    <w:rsid w:val="00BE02F3"/>
    <w:rsid w:val="00BE0458"/>
    <w:rsid w:val="00BE0545"/>
    <w:rsid w:val="00BE06A8"/>
    <w:rsid w:val="00BE06E0"/>
    <w:rsid w:val="00BE0722"/>
    <w:rsid w:val="00BE07C6"/>
    <w:rsid w:val="00BE08DF"/>
    <w:rsid w:val="00BE09C1"/>
    <w:rsid w:val="00BE0C35"/>
    <w:rsid w:val="00BE0CA2"/>
    <w:rsid w:val="00BE0D22"/>
    <w:rsid w:val="00BE0E68"/>
    <w:rsid w:val="00BE0EFA"/>
    <w:rsid w:val="00BE0F68"/>
    <w:rsid w:val="00BE0FB4"/>
    <w:rsid w:val="00BE115A"/>
    <w:rsid w:val="00BE1179"/>
    <w:rsid w:val="00BE1239"/>
    <w:rsid w:val="00BE1495"/>
    <w:rsid w:val="00BE1557"/>
    <w:rsid w:val="00BE15A2"/>
    <w:rsid w:val="00BE16B9"/>
    <w:rsid w:val="00BE1833"/>
    <w:rsid w:val="00BE190E"/>
    <w:rsid w:val="00BE19B2"/>
    <w:rsid w:val="00BE1AED"/>
    <w:rsid w:val="00BE1B9E"/>
    <w:rsid w:val="00BE1CF5"/>
    <w:rsid w:val="00BE1EC7"/>
    <w:rsid w:val="00BE1EF3"/>
    <w:rsid w:val="00BE2076"/>
    <w:rsid w:val="00BE20BF"/>
    <w:rsid w:val="00BE2272"/>
    <w:rsid w:val="00BE227A"/>
    <w:rsid w:val="00BE22A9"/>
    <w:rsid w:val="00BE23D7"/>
    <w:rsid w:val="00BE250A"/>
    <w:rsid w:val="00BE25AC"/>
    <w:rsid w:val="00BE268C"/>
    <w:rsid w:val="00BE28C2"/>
    <w:rsid w:val="00BE2917"/>
    <w:rsid w:val="00BE2B9E"/>
    <w:rsid w:val="00BE2BBA"/>
    <w:rsid w:val="00BE2C97"/>
    <w:rsid w:val="00BE2D10"/>
    <w:rsid w:val="00BE2D5C"/>
    <w:rsid w:val="00BE2E91"/>
    <w:rsid w:val="00BE2F12"/>
    <w:rsid w:val="00BE2F21"/>
    <w:rsid w:val="00BE2F3A"/>
    <w:rsid w:val="00BE2FD6"/>
    <w:rsid w:val="00BE2FE5"/>
    <w:rsid w:val="00BE304C"/>
    <w:rsid w:val="00BE30C5"/>
    <w:rsid w:val="00BE3144"/>
    <w:rsid w:val="00BE3191"/>
    <w:rsid w:val="00BE32B5"/>
    <w:rsid w:val="00BE3319"/>
    <w:rsid w:val="00BE336C"/>
    <w:rsid w:val="00BE33BF"/>
    <w:rsid w:val="00BE33CD"/>
    <w:rsid w:val="00BE356D"/>
    <w:rsid w:val="00BE3676"/>
    <w:rsid w:val="00BE36C6"/>
    <w:rsid w:val="00BE3768"/>
    <w:rsid w:val="00BE3853"/>
    <w:rsid w:val="00BE38A3"/>
    <w:rsid w:val="00BE38DA"/>
    <w:rsid w:val="00BE38F8"/>
    <w:rsid w:val="00BE3906"/>
    <w:rsid w:val="00BE39AF"/>
    <w:rsid w:val="00BE39C5"/>
    <w:rsid w:val="00BE3A0F"/>
    <w:rsid w:val="00BE3A2A"/>
    <w:rsid w:val="00BE3B22"/>
    <w:rsid w:val="00BE3B72"/>
    <w:rsid w:val="00BE3C38"/>
    <w:rsid w:val="00BE3C82"/>
    <w:rsid w:val="00BE3CF4"/>
    <w:rsid w:val="00BE3D28"/>
    <w:rsid w:val="00BE3D5B"/>
    <w:rsid w:val="00BE3D95"/>
    <w:rsid w:val="00BE3E32"/>
    <w:rsid w:val="00BE3EB9"/>
    <w:rsid w:val="00BE4073"/>
    <w:rsid w:val="00BE4136"/>
    <w:rsid w:val="00BE4169"/>
    <w:rsid w:val="00BE42D9"/>
    <w:rsid w:val="00BE4416"/>
    <w:rsid w:val="00BE441B"/>
    <w:rsid w:val="00BE44A4"/>
    <w:rsid w:val="00BE4623"/>
    <w:rsid w:val="00BE4978"/>
    <w:rsid w:val="00BE49F7"/>
    <w:rsid w:val="00BE4A0B"/>
    <w:rsid w:val="00BE4BF3"/>
    <w:rsid w:val="00BE4C24"/>
    <w:rsid w:val="00BE4C4C"/>
    <w:rsid w:val="00BE4D3C"/>
    <w:rsid w:val="00BE4D9A"/>
    <w:rsid w:val="00BE4DEB"/>
    <w:rsid w:val="00BE5035"/>
    <w:rsid w:val="00BE52CD"/>
    <w:rsid w:val="00BE5492"/>
    <w:rsid w:val="00BE55C5"/>
    <w:rsid w:val="00BE56FD"/>
    <w:rsid w:val="00BE574A"/>
    <w:rsid w:val="00BE57CE"/>
    <w:rsid w:val="00BE588E"/>
    <w:rsid w:val="00BE5C88"/>
    <w:rsid w:val="00BE5CCD"/>
    <w:rsid w:val="00BE5D3E"/>
    <w:rsid w:val="00BE5E7D"/>
    <w:rsid w:val="00BE6019"/>
    <w:rsid w:val="00BE6100"/>
    <w:rsid w:val="00BE61BE"/>
    <w:rsid w:val="00BE63B0"/>
    <w:rsid w:val="00BE6407"/>
    <w:rsid w:val="00BE6463"/>
    <w:rsid w:val="00BE6519"/>
    <w:rsid w:val="00BE65D1"/>
    <w:rsid w:val="00BE68D0"/>
    <w:rsid w:val="00BE6923"/>
    <w:rsid w:val="00BE693C"/>
    <w:rsid w:val="00BE6963"/>
    <w:rsid w:val="00BE698D"/>
    <w:rsid w:val="00BE69C3"/>
    <w:rsid w:val="00BE69F9"/>
    <w:rsid w:val="00BE6A27"/>
    <w:rsid w:val="00BE6A40"/>
    <w:rsid w:val="00BE6A97"/>
    <w:rsid w:val="00BE6B90"/>
    <w:rsid w:val="00BE6D1F"/>
    <w:rsid w:val="00BE6D75"/>
    <w:rsid w:val="00BE6D96"/>
    <w:rsid w:val="00BE6D9D"/>
    <w:rsid w:val="00BE6E9C"/>
    <w:rsid w:val="00BE6FA9"/>
    <w:rsid w:val="00BE6FF4"/>
    <w:rsid w:val="00BE7073"/>
    <w:rsid w:val="00BE7145"/>
    <w:rsid w:val="00BE714A"/>
    <w:rsid w:val="00BE7269"/>
    <w:rsid w:val="00BE72BD"/>
    <w:rsid w:val="00BE72D3"/>
    <w:rsid w:val="00BE72F0"/>
    <w:rsid w:val="00BE7540"/>
    <w:rsid w:val="00BE75FF"/>
    <w:rsid w:val="00BE761B"/>
    <w:rsid w:val="00BE77F8"/>
    <w:rsid w:val="00BE7985"/>
    <w:rsid w:val="00BE7991"/>
    <w:rsid w:val="00BE7A3B"/>
    <w:rsid w:val="00BE7D0B"/>
    <w:rsid w:val="00BE7DB7"/>
    <w:rsid w:val="00BE7F86"/>
    <w:rsid w:val="00BE7FED"/>
    <w:rsid w:val="00BF0107"/>
    <w:rsid w:val="00BF01B6"/>
    <w:rsid w:val="00BF025F"/>
    <w:rsid w:val="00BF031E"/>
    <w:rsid w:val="00BF041E"/>
    <w:rsid w:val="00BF051A"/>
    <w:rsid w:val="00BF053D"/>
    <w:rsid w:val="00BF05F0"/>
    <w:rsid w:val="00BF05F1"/>
    <w:rsid w:val="00BF070E"/>
    <w:rsid w:val="00BF070F"/>
    <w:rsid w:val="00BF0732"/>
    <w:rsid w:val="00BF077C"/>
    <w:rsid w:val="00BF0935"/>
    <w:rsid w:val="00BF0AE6"/>
    <w:rsid w:val="00BF0B83"/>
    <w:rsid w:val="00BF0C26"/>
    <w:rsid w:val="00BF0C42"/>
    <w:rsid w:val="00BF0C79"/>
    <w:rsid w:val="00BF0CB5"/>
    <w:rsid w:val="00BF0FA4"/>
    <w:rsid w:val="00BF10BA"/>
    <w:rsid w:val="00BF10D2"/>
    <w:rsid w:val="00BF11FD"/>
    <w:rsid w:val="00BF1303"/>
    <w:rsid w:val="00BF1385"/>
    <w:rsid w:val="00BF13E1"/>
    <w:rsid w:val="00BF13E8"/>
    <w:rsid w:val="00BF14C8"/>
    <w:rsid w:val="00BF1698"/>
    <w:rsid w:val="00BF16F4"/>
    <w:rsid w:val="00BF1720"/>
    <w:rsid w:val="00BF17EF"/>
    <w:rsid w:val="00BF1A22"/>
    <w:rsid w:val="00BF1A46"/>
    <w:rsid w:val="00BF1D21"/>
    <w:rsid w:val="00BF1EDF"/>
    <w:rsid w:val="00BF2033"/>
    <w:rsid w:val="00BF20C7"/>
    <w:rsid w:val="00BF20D5"/>
    <w:rsid w:val="00BF2271"/>
    <w:rsid w:val="00BF25AC"/>
    <w:rsid w:val="00BF25EB"/>
    <w:rsid w:val="00BF2620"/>
    <w:rsid w:val="00BF2625"/>
    <w:rsid w:val="00BF26E2"/>
    <w:rsid w:val="00BF2887"/>
    <w:rsid w:val="00BF29E3"/>
    <w:rsid w:val="00BF2BBE"/>
    <w:rsid w:val="00BF2C26"/>
    <w:rsid w:val="00BF2C30"/>
    <w:rsid w:val="00BF2D58"/>
    <w:rsid w:val="00BF2E3A"/>
    <w:rsid w:val="00BF2FA3"/>
    <w:rsid w:val="00BF2FC9"/>
    <w:rsid w:val="00BF30BB"/>
    <w:rsid w:val="00BF3159"/>
    <w:rsid w:val="00BF31FB"/>
    <w:rsid w:val="00BF329A"/>
    <w:rsid w:val="00BF3327"/>
    <w:rsid w:val="00BF333D"/>
    <w:rsid w:val="00BF335A"/>
    <w:rsid w:val="00BF33AA"/>
    <w:rsid w:val="00BF34E0"/>
    <w:rsid w:val="00BF3662"/>
    <w:rsid w:val="00BF3802"/>
    <w:rsid w:val="00BF3993"/>
    <w:rsid w:val="00BF39B3"/>
    <w:rsid w:val="00BF3ADD"/>
    <w:rsid w:val="00BF3C10"/>
    <w:rsid w:val="00BF3C26"/>
    <w:rsid w:val="00BF3C31"/>
    <w:rsid w:val="00BF3C3C"/>
    <w:rsid w:val="00BF3C7C"/>
    <w:rsid w:val="00BF3C90"/>
    <w:rsid w:val="00BF3CCD"/>
    <w:rsid w:val="00BF3DA9"/>
    <w:rsid w:val="00BF3DEC"/>
    <w:rsid w:val="00BF3F3B"/>
    <w:rsid w:val="00BF4100"/>
    <w:rsid w:val="00BF4140"/>
    <w:rsid w:val="00BF415B"/>
    <w:rsid w:val="00BF4470"/>
    <w:rsid w:val="00BF4580"/>
    <w:rsid w:val="00BF459E"/>
    <w:rsid w:val="00BF4676"/>
    <w:rsid w:val="00BF469F"/>
    <w:rsid w:val="00BF476B"/>
    <w:rsid w:val="00BF4866"/>
    <w:rsid w:val="00BF48A1"/>
    <w:rsid w:val="00BF49C2"/>
    <w:rsid w:val="00BF49CD"/>
    <w:rsid w:val="00BF4A17"/>
    <w:rsid w:val="00BF4B28"/>
    <w:rsid w:val="00BF4D3E"/>
    <w:rsid w:val="00BF4E0C"/>
    <w:rsid w:val="00BF4F77"/>
    <w:rsid w:val="00BF5009"/>
    <w:rsid w:val="00BF503F"/>
    <w:rsid w:val="00BF5252"/>
    <w:rsid w:val="00BF52A2"/>
    <w:rsid w:val="00BF55C8"/>
    <w:rsid w:val="00BF55FA"/>
    <w:rsid w:val="00BF569A"/>
    <w:rsid w:val="00BF5743"/>
    <w:rsid w:val="00BF5814"/>
    <w:rsid w:val="00BF588C"/>
    <w:rsid w:val="00BF58E0"/>
    <w:rsid w:val="00BF59C7"/>
    <w:rsid w:val="00BF5A8B"/>
    <w:rsid w:val="00BF5AB2"/>
    <w:rsid w:val="00BF5AD6"/>
    <w:rsid w:val="00BF5B10"/>
    <w:rsid w:val="00BF5B67"/>
    <w:rsid w:val="00BF5CFB"/>
    <w:rsid w:val="00BF5D57"/>
    <w:rsid w:val="00BF5DE5"/>
    <w:rsid w:val="00BF5E79"/>
    <w:rsid w:val="00BF5FF2"/>
    <w:rsid w:val="00BF60EC"/>
    <w:rsid w:val="00BF614B"/>
    <w:rsid w:val="00BF614D"/>
    <w:rsid w:val="00BF617A"/>
    <w:rsid w:val="00BF61F3"/>
    <w:rsid w:val="00BF6231"/>
    <w:rsid w:val="00BF62B5"/>
    <w:rsid w:val="00BF62E3"/>
    <w:rsid w:val="00BF6391"/>
    <w:rsid w:val="00BF6398"/>
    <w:rsid w:val="00BF6429"/>
    <w:rsid w:val="00BF647B"/>
    <w:rsid w:val="00BF6519"/>
    <w:rsid w:val="00BF6525"/>
    <w:rsid w:val="00BF65F3"/>
    <w:rsid w:val="00BF66D4"/>
    <w:rsid w:val="00BF68AA"/>
    <w:rsid w:val="00BF6983"/>
    <w:rsid w:val="00BF6A7B"/>
    <w:rsid w:val="00BF6C1E"/>
    <w:rsid w:val="00BF6D5D"/>
    <w:rsid w:val="00BF6E5E"/>
    <w:rsid w:val="00BF6EA7"/>
    <w:rsid w:val="00BF7098"/>
    <w:rsid w:val="00BF714D"/>
    <w:rsid w:val="00BF72E4"/>
    <w:rsid w:val="00BF7329"/>
    <w:rsid w:val="00BF735D"/>
    <w:rsid w:val="00BF740B"/>
    <w:rsid w:val="00BF7491"/>
    <w:rsid w:val="00BF7517"/>
    <w:rsid w:val="00BF7588"/>
    <w:rsid w:val="00BF764A"/>
    <w:rsid w:val="00BF7662"/>
    <w:rsid w:val="00BF76EB"/>
    <w:rsid w:val="00BF7885"/>
    <w:rsid w:val="00BF789C"/>
    <w:rsid w:val="00BF79B5"/>
    <w:rsid w:val="00BF79E1"/>
    <w:rsid w:val="00BF7AA3"/>
    <w:rsid w:val="00BF7B3C"/>
    <w:rsid w:val="00BF7E0B"/>
    <w:rsid w:val="00BF7F55"/>
    <w:rsid w:val="00C00115"/>
    <w:rsid w:val="00C0012E"/>
    <w:rsid w:val="00C001AC"/>
    <w:rsid w:val="00C001C6"/>
    <w:rsid w:val="00C00280"/>
    <w:rsid w:val="00C0032A"/>
    <w:rsid w:val="00C0035A"/>
    <w:rsid w:val="00C0037B"/>
    <w:rsid w:val="00C0042A"/>
    <w:rsid w:val="00C004BB"/>
    <w:rsid w:val="00C00513"/>
    <w:rsid w:val="00C0063C"/>
    <w:rsid w:val="00C0076A"/>
    <w:rsid w:val="00C008D2"/>
    <w:rsid w:val="00C00A2B"/>
    <w:rsid w:val="00C00A92"/>
    <w:rsid w:val="00C00ADA"/>
    <w:rsid w:val="00C00B36"/>
    <w:rsid w:val="00C00C1F"/>
    <w:rsid w:val="00C00CB2"/>
    <w:rsid w:val="00C00CEE"/>
    <w:rsid w:val="00C00D60"/>
    <w:rsid w:val="00C00EFD"/>
    <w:rsid w:val="00C00FDC"/>
    <w:rsid w:val="00C010AC"/>
    <w:rsid w:val="00C01119"/>
    <w:rsid w:val="00C0117C"/>
    <w:rsid w:val="00C012E0"/>
    <w:rsid w:val="00C0133E"/>
    <w:rsid w:val="00C013E9"/>
    <w:rsid w:val="00C0145D"/>
    <w:rsid w:val="00C0147B"/>
    <w:rsid w:val="00C014D1"/>
    <w:rsid w:val="00C014D5"/>
    <w:rsid w:val="00C015AF"/>
    <w:rsid w:val="00C015B3"/>
    <w:rsid w:val="00C01634"/>
    <w:rsid w:val="00C016E4"/>
    <w:rsid w:val="00C01763"/>
    <w:rsid w:val="00C018DE"/>
    <w:rsid w:val="00C019BC"/>
    <w:rsid w:val="00C01AB5"/>
    <w:rsid w:val="00C01B12"/>
    <w:rsid w:val="00C01CE3"/>
    <w:rsid w:val="00C01D3C"/>
    <w:rsid w:val="00C01D4C"/>
    <w:rsid w:val="00C01D67"/>
    <w:rsid w:val="00C01DE8"/>
    <w:rsid w:val="00C01E4C"/>
    <w:rsid w:val="00C01E80"/>
    <w:rsid w:val="00C01EE5"/>
    <w:rsid w:val="00C01F58"/>
    <w:rsid w:val="00C01F79"/>
    <w:rsid w:val="00C02124"/>
    <w:rsid w:val="00C021A8"/>
    <w:rsid w:val="00C02340"/>
    <w:rsid w:val="00C02409"/>
    <w:rsid w:val="00C025F8"/>
    <w:rsid w:val="00C027FB"/>
    <w:rsid w:val="00C02811"/>
    <w:rsid w:val="00C02967"/>
    <w:rsid w:val="00C029E2"/>
    <w:rsid w:val="00C02AF1"/>
    <w:rsid w:val="00C02B19"/>
    <w:rsid w:val="00C02B3A"/>
    <w:rsid w:val="00C02B7A"/>
    <w:rsid w:val="00C02CFB"/>
    <w:rsid w:val="00C02D5F"/>
    <w:rsid w:val="00C02DC4"/>
    <w:rsid w:val="00C02FE9"/>
    <w:rsid w:val="00C0318D"/>
    <w:rsid w:val="00C0332C"/>
    <w:rsid w:val="00C03363"/>
    <w:rsid w:val="00C0336E"/>
    <w:rsid w:val="00C03505"/>
    <w:rsid w:val="00C0354C"/>
    <w:rsid w:val="00C03574"/>
    <w:rsid w:val="00C0365D"/>
    <w:rsid w:val="00C036A8"/>
    <w:rsid w:val="00C036DF"/>
    <w:rsid w:val="00C03904"/>
    <w:rsid w:val="00C03913"/>
    <w:rsid w:val="00C03940"/>
    <w:rsid w:val="00C03960"/>
    <w:rsid w:val="00C03A8D"/>
    <w:rsid w:val="00C03B0E"/>
    <w:rsid w:val="00C03B13"/>
    <w:rsid w:val="00C03B90"/>
    <w:rsid w:val="00C03BC6"/>
    <w:rsid w:val="00C03BFC"/>
    <w:rsid w:val="00C03C63"/>
    <w:rsid w:val="00C03E2E"/>
    <w:rsid w:val="00C0402A"/>
    <w:rsid w:val="00C0406D"/>
    <w:rsid w:val="00C04154"/>
    <w:rsid w:val="00C04374"/>
    <w:rsid w:val="00C044B9"/>
    <w:rsid w:val="00C0457F"/>
    <w:rsid w:val="00C045FF"/>
    <w:rsid w:val="00C046D6"/>
    <w:rsid w:val="00C0477A"/>
    <w:rsid w:val="00C04889"/>
    <w:rsid w:val="00C04955"/>
    <w:rsid w:val="00C04A9A"/>
    <w:rsid w:val="00C04AF5"/>
    <w:rsid w:val="00C04C37"/>
    <w:rsid w:val="00C04CA7"/>
    <w:rsid w:val="00C04E07"/>
    <w:rsid w:val="00C04F52"/>
    <w:rsid w:val="00C05131"/>
    <w:rsid w:val="00C0519B"/>
    <w:rsid w:val="00C051AD"/>
    <w:rsid w:val="00C053A8"/>
    <w:rsid w:val="00C053FD"/>
    <w:rsid w:val="00C05505"/>
    <w:rsid w:val="00C05630"/>
    <w:rsid w:val="00C0563B"/>
    <w:rsid w:val="00C05684"/>
    <w:rsid w:val="00C05731"/>
    <w:rsid w:val="00C058B5"/>
    <w:rsid w:val="00C05949"/>
    <w:rsid w:val="00C05A9C"/>
    <w:rsid w:val="00C05C1D"/>
    <w:rsid w:val="00C05D72"/>
    <w:rsid w:val="00C05DB0"/>
    <w:rsid w:val="00C05EC8"/>
    <w:rsid w:val="00C060CF"/>
    <w:rsid w:val="00C060F0"/>
    <w:rsid w:val="00C061A6"/>
    <w:rsid w:val="00C061EE"/>
    <w:rsid w:val="00C0621C"/>
    <w:rsid w:val="00C06278"/>
    <w:rsid w:val="00C062C5"/>
    <w:rsid w:val="00C0630F"/>
    <w:rsid w:val="00C06393"/>
    <w:rsid w:val="00C06440"/>
    <w:rsid w:val="00C064D9"/>
    <w:rsid w:val="00C06517"/>
    <w:rsid w:val="00C067B4"/>
    <w:rsid w:val="00C06805"/>
    <w:rsid w:val="00C0683E"/>
    <w:rsid w:val="00C06866"/>
    <w:rsid w:val="00C0687E"/>
    <w:rsid w:val="00C06899"/>
    <w:rsid w:val="00C06A2E"/>
    <w:rsid w:val="00C06A5A"/>
    <w:rsid w:val="00C06ABF"/>
    <w:rsid w:val="00C06AC4"/>
    <w:rsid w:val="00C06AF5"/>
    <w:rsid w:val="00C06B1D"/>
    <w:rsid w:val="00C06B90"/>
    <w:rsid w:val="00C06BEA"/>
    <w:rsid w:val="00C06CAE"/>
    <w:rsid w:val="00C06CD0"/>
    <w:rsid w:val="00C06E7F"/>
    <w:rsid w:val="00C06F6A"/>
    <w:rsid w:val="00C070A8"/>
    <w:rsid w:val="00C0716B"/>
    <w:rsid w:val="00C07182"/>
    <w:rsid w:val="00C071A8"/>
    <w:rsid w:val="00C071CA"/>
    <w:rsid w:val="00C07213"/>
    <w:rsid w:val="00C0722B"/>
    <w:rsid w:val="00C07277"/>
    <w:rsid w:val="00C072D0"/>
    <w:rsid w:val="00C072DB"/>
    <w:rsid w:val="00C076BC"/>
    <w:rsid w:val="00C077FB"/>
    <w:rsid w:val="00C0784A"/>
    <w:rsid w:val="00C078AB"/>
    <w:rsid w:val="00C0796F"/>
    <w:rsid w:val="00C079AC"/>
    <w:rsid w:val="00C07A19"/>
    <w:rsid w:val="00C07A5B"/>
    <w:rsid w:val="00C07B94"/>
    <w:rsid w:val="00C07C84"/>
    <w:rsid w:val="00C07DC1"/>
    <w:rsid w:val="00C07DF6"/>
    <w:rsid w:val="00C07ECA"/>
    <w:rsid w:val="00C07F31"/>
    <w:rsid w:val="00C07F5D"/>
    <w:rsid w:val="00C10040"/>
    <w:rsid w:val="00C100E2"/>
    <w:rsid w:val="00C10116"/>
    <w:rsid w:val="00C1015C"/>
    <w:rsid w:val="00C101A6"/>
    <w:rsid w:val="00C103FB"/>
    <w:rsid w:val="00C1042C"/>
    <w:rsid w:val="00C10801"/>
    <w:rsid w:val="00C10882"/>
    <w:rsid w:val="00C108FF"/>
    <w:rsid w:val="00C1092B"/>
    <w:rsid w:val="00C10A01"/>
    <w:rsid w:val="00C10A08"/>
    <w:rsid w:val="00C10B1C"/>
    <w:rsid w:val="00C10C15"/>
    <w:rsid w:val="00C10C6D"/>
    <w:rsid w:val="00C10C7E"/>
    <w:rsid w:val="00C10D77"/>
    <w:rsid w:val="00C10DFC"/>
    <w:rsid w:val="00C10EDE"/>
    <w:rsid w:val="00C10EE3"/>
    <w:rsid w:val="00C10FF2"/>
    <w:rsid w:val="00C11008"/>
    <w:rsid w:val="00C11037"/>
    <w:rsid w:val="00C111B9"/>
    <w:rsid w:val="00C111F3"/>
    <w:rsid w:val="00C1140D"/>
    <w:rsid w:val="00C114C6"/>
    <w:rsid w:val="00C115FC"/>
    <w:rsid w:val="00C1162E"/>
    <w:rsid w:val="00C11673"/>
    <w:rsid w:val="00C11882"/>
    <w:rsid w:val="00C118E6"/>
    <w:rsid w:val="00C11930"/>
    <w:rsid w:val="00C11997"/>
    <w:rsid w:val="00C11BC4"/>
    <w:rsid w:val="00C11BDD"/>
    <w:rsid w:val="00C11C08"/>
    <w:rsid w:val="00C11D7D"/>
    <w:rsid w:val="00C11E87"/>
    <w:rsid w:val="00C11F3D"/>
    <w:rsid w:val="00C12164"/>
    <w:rsid w:val="00C121E8"/>
    <w:rsid w:val="00C121F7"/>
    <w:rsid w:val="00C12240"/>
    <w:rsid w:val="00C12289"/>
    <w:rsid w:val="00C122A3"/>
    <w:rsid w:val="00C124B1"/>
    <w:rsid w:val="00C125AB"/>
    <w:rsid w:val="00C125DA"/>
    <w:rsid w:val="00C126DB"/>
    <w:rsid w:val="00C12703"/>
    <w:rsid w:val="00C12744"/>
    <w:rsid w:val="00C12767"/>
    <w:rsid w:val="00C1276B"/>
    <w:rsid w:val="00C128BA"/>
    <w:rsid w:val="00C128C0"/>
    <w:rsid w:val="00C12956"/>
    <w:rsid w:val="00C129B6"/>
    <w:rsid w:val="00C12B5B"/>
    <w:rsid w:val="00C12BB5"/>
    <w:rsid w:val="00C12BC3"/>
    <w:rsid w:val="00C12BD8"/>
    <w:rsid w:val="00C12D74"/>
    <w:rsid w:val="00C12E4C"/>
    <w:rsid w:val="00C13149"/>
    <w:rsid w:val="00C131EA"/>
    <w:rsid w:val="00C1327B"/>
    <w:rsid w:val="00C132D0"/>
    <w:rsid w:val="00C133C1"/>
    <w:rsid w:val="00C13481"/>
    <w:rsid w:val="00C134FF"/>
    <w:rsid w:val="00C135EC"/>
    <w:rsid w:val="00C138C9"/>
    <w:rsid w:val="00C13906"/>
    <w:rsid w:val="00C13942"/>
    <w:rsid w:val="00C13BC7"/>
    <w:rsid w:val="00C13C66"/>
    <w:rsid w:val="00C13D16"/>
    <w:rsid w:val="00C13F58"/>
    <w:rsid w:val="00C13F6E"/>
    <w:rsid w:val="00C13FC1"/>
    <w:rsid w:val="00C1404B"/>
    <w:rsid w:val="00C140B7"/>
    <w:rsid w:val="00C1425B"/>
    <w:rsid w:val="00C14320"/>
    <w:rsid w:val="00C143B6"/>
    <w:rsid w:val="00C1476C"/>
    <w:rsid w:val="00C14830"/>
    <w:rsid w:val="00C1484A"/>
    <w:rsid w:val="00C14897"/>
    <w:rsid w:val="00C14B4A"/>
    <w:rsid w:val="00C14C1A"/>
    <w:rsid w:val="00C14CAF"/>
    <w:rsid w:val="00C14CB6"/>
    <w:rsid w:val="00C14CF0"/>
    <w:rsid w:val="00C14FFC"/>
    <w:rsid w:val="00C15105"/>
    <w:rsid w:val="00C15260"/>
    <w:rsid w:val="00C152B8"/>
    <w:rsid w:val="00C152C0"/>
    <w:rsid w:val="00C152CD"/>
    <w:rsid w:val="00C1532E"/>
    <w:rsid w:val="00C15490"/>
    <w:rsid w:val="00C15496"/>
    <w:rsid w:val="00C15660"/>
    <w:rsid w:val="00C1574A"/>
    <w:rsid w:val="00C1587E"/>
    <w:rsid w:val="00C158A3"/>
    <w:rsid w:val="00C15928"/>
    <w:rsid w:val="00C15932"/>
    <w:rsid w:val="00C15945"/>
    <w:rsid w:val="00C159AD"/>
    <w:rsid w:val="00C159E3"/>
    <w:rsid w:val="00C15A14"/>
    <w:rsid w:val="00C15A42"/>
    <w:rsid w:val="00C15A8D"/>
    <w:rsid w:val="00C15C18"/>
    <w:rsid w:val="00C15E41"/>
    <w:rsid w:val="00C15FAC"/>
    <w:rsid w:val="00C16092"/>
    <w:rsid w:val="00C1611E"/>
    <w:rsid w:val="00C1624B"/>
    <w:rsid w:val="00C1625B"/>
    <w:rsid w:val="00C162A0"/>
    <w:rsid w:val="00C1636D"/>
    <w:rsid w:val="00C163C5"/>
    <w:rsid w:val="00C16494"/>
    <w:rsid w:val="00C16573"/>
    <w:rsid w:val="00C16641"/>
    <w:rsid w:val="00C16667"/>
    <w:rsid w:val="00C1676E"/>
    <w:rsid w:val="00C167D7"/>
    <w:rsid w:val="00C1682D"/>
    <w:rsid w:val="00C168F0"/>
    <w:rsid w:val="00C168FE"/>
    <w:rsid w:val="00C1696A"/>
    <w:rsid w:val="00C169FE"/>
    <w:rsid w:val="00C16A8F"/>
    <w:rsid w:val="00C16A9B"/>
    <w:rsid w:val="00C16A9F"/>
    <w:rsid w:val="00C16ACF"/>
    <w:rsid w:val="00C16B28"/>
    <w:rsid w:val="00C16B5D"/>
    <w:rsid w:val="00C16BE5"/>
    <w:rsid w:val="00C16C65"/>
    <w:rsid w:val="00C16C82"/>
    <w:rsid w:val="00C16C9E"/>
    <w:rsid w:val="00C16CF6"/>
    <w:rsid w:val="00C16D8A"/>
    <w:rsid w:val="00C16DB0"/>
    <w:rsid w:val="00C16E8C"/>
    <w:rsid w:val="00C16F0C"/>
    <w:rsid w:val="00C170B9"/>
    <w:rsid w:val="00C17184"/>
    <w:rsid w:val="00C172A9"/>
    <w:rsid w:val="00C173CD"/>
    <w:rsid w:val="00C174D7"/>
    <w:rsid w:val="00C175D0"/>
    <w:rsid w:val="00C17659"/>
    <w:rsid w:val="00C176BE"/>
    <w:rsid w:val="00C1783C"/>
    <w:rsid w:val="00C178CB"/>
    <w:rsid w:val="00C178CD"/>
    <w:rsid w:val="00C178F1"/>
    <w:rsid w:val="00C178FE"/>
    <w:rsid w:val="00C17CAB"/>
    <w:rsid w:val="00C17CCC"/>
    <w:rsid w:val="00C17CE9"/>
    <w:rsid w:val="00C17D06"/>
    <w:rsid w:val="00C17D08"/>
    <w:rsid w:val="00C17DE4"/>
    <w:rsid w:val="00C17EEE"/>
    <w:rsid w:val="00C17F13"/>
    <w:rsid w:val="00C17FB3"/>
    <w:rsid w:val="00C2027F"/>
    <w:rsid w:val="00C202B4"/>
    <w:rsid w:val="00C20336"/>
    <w:rsid w:val="00C20631"/>
    <w:rsid w:val="00C20682"/>
    <w:rsid w:val="00C20699"/>
    <w:rsid w:val="00C2071E"/>
    <w:rsid w:val="00C20768"/>
    <w:rsid w:val="00C20858"/>
    <w:rsid w:val="00C20873"/>
    <w:rsid w:val="00C2097B"/>
    <w:rsid w:val="00C20990"/>
    <w:rsid w:val="00C20BE6"/>
    <w:rsid w:val="00C20C9D"/>
    <w:rsid w:val="00C20CAB"/>
    <w:rsid w:val="00C20CB0"/>
    <w:rsid w:val="00C20D28"/>
    <w:rsid w:val="00C20E86"/>
    <w:rsid w:val="00C21093"/>
    <w:rsid w:val="00C21184"/>
    <w:rsid w:val="00C21237"/>
    <w:rsid w:val="00C21306"/>
    <w:rsid w:val="00C21431"/>
    <w:rsid w:val="00C21437"/>
    <w:rsid w:val="00C21654"/>
    <w:rsid w:val="00C21735"/>
    <w:rsid w:val="00C21838"/>
    <w:rsid w:val="00C21930"/>
    <w:rsid w:val="00C219A0"/>
    <w:rsid w:val="00C21A01"/>
    <w:rsid w:val="00C21A40"/>
    <w:rsid w:val="00C21AD9"/>
    <w:rsid w:val="00C21B2F"/>
    <w:rsid w:val="00C21C1C"/>
    <w:rsid w:val="00C21C20"/>
    <w:rsid w:val="00C21CC6"/>
    <w:rsid w:val="00C21D44"/>
    <w:rsid w:val="00C21E45"/>
    <w:rsid w:val="00C21ED3"/>
    <w:rsid w:val="00C21F6E"/>
    <w:rsid w:val="00C22079"/>
    <w:rsid w:val="00C220FD"/>
    <w:rsid w:val="00C2217B"/>
    <w:rsid w:val="00C222A0"/>
    <w:rsid w:val="00C222EF"/>
    <w:rsid w:val="00C2234C"/>
    <w:rsid w:val="00C2240E"/>
    <w:rsid w:val="00C22425"/>
    <w:rsid w:val="00C2255A"/>
    <w:rsid w:val="00C2255D"/>
    <w:rsid w:val="00C2263B"/>
    <w:rsid w:val="00C22691"/>
    <w:rsid w:val="00C226F6"/>
    <w:rsid w:val="00C2277F"/>
    <w:rsid w:val="00C227B8"/>
    <w:rsid w:val="00C228A3"/>
    <w:rsid w:val="00C228F2"/>
    <w:rsid w:val="00C22927"/>
    <w:rsid w:val="00C229CF"/>
    <w:rsid w:val="00C22C15"/>
    <w:rsid w:val="00C22CAB"/>
    <w:rsid w:val="00C22CFD"/>
    <w:rsid w:val="00C22E16"/>
    <w:rsid w:val="00C22E4E"/>
    <w:rsid w:val="00C22FE0"/>
    <w:rsid w:val="00C23001"/>
    <w:rsid w:val="00C232DC"/>
    <w:rsid w:val="00C232F2"/>
    <w:rsid w:val="00C233A5"/>
    <w:rsid w:val="00C2341B"/>
    <w:rsid w:val="00C23650"/>
    <w:rsid w:val="00C2376F"/>
    <w:rsid w:val="00C239B2"/>
    <w:rsid w:val="00C239C7"/>
    <w:rsid w:val="00C23A42"/>
    <w:rsid w:val="00C23BF5"/>
    <w:rsid w:val="00C23DE3"/>
    <w:rsid w:val="00C23EC1"/>
    <w:rsid w:val="00C23F7C"/>
    <w:rsid w:val="00C23F90"/>
    <w:rsid w:val="00C23FE8"/>
    <w:rsid w:val="00C23FFF"/>
    <w:rsid w:val="00C24041"/>
    <w:rsid w:val="00C240AA"/>
    <w:rsid w:val="00C24121"/>
    <w:rsid w:val="00C24468"/>
    <w:rsid w:val="00C2449F"/>
    <w:rsid w:val="00C246A9"/>
    <w:rsid w:val="00C24727"/>
    <w:rsid w:val="00C24754"/>
    <w:rsid w:val="00C2479B"/>
    <w:rsid w:val="00C24855"/>
    <w:rsid w:val="00C24869"/>
    <w:rsid w:val="00C24876"/>
    <w:rsid w:val="00C2493E"/>
    <w:rsid w:val="00C24A02"/>
    <w:rsid w:val="00C24C47"/>
    <w:rsid w:val="00C24D2E"/>
    <w:rsid w:val="00C24D33"/>
    <w:rsid w:val="00C24F3D"/>
    <w:rsid w:val="00C24F96"/>
    <w:rsid w:val="00C25017"/>
    <w:rsid w:val="00C2513F"/>
    <w:rsid w:val="00C251B1"/>
    <w:rsid w:val="00C25328"/>
    <w:rsid w:val="00C25490"/>
    <w:rsid w:val="00C254F2"/>
    <w:rsid w:val="00C2556C"/>
    <w:rsid w:val="00C255D6"/>
    <w:rsid w:val="00C25649"/>
    <w:rsid w:val="00C25675"/>
    <w:rsid w:val="00C256E5"/>
    <w:rsid w:val="00C2579F"/>
    <w:rsid w:val="00C257AB"/>
    <w:rsid w:val="00C2590B"/>
    <w:rsid w:val="00C25BB5"/>
    <w:rsid w:val="00C25BD0"/>
    <w:rsid w:val="00C25D58"/>
    <w:rsid w:val="00C25F3B"/>
    <w:rsid w:val="00C25F5B"/>
    <w:rsid w:val="00C2614D"/>
    <w:rsid w:val="00C2626B"/>
    <w:rsid w:val="00C263AF"/>
    <w:rsid w:val="00C26412"/>
    <w:rsid w:val="00C2646F"/>
    <w:rsid w:val="00C26495"/>
    <w:rsid w:val="00C264C6"/>
    <w:rsid w:val="00C26570"/>
    <w:rsid w:val="00C26585"/>
    <w:rsid w:val="00C26681"/>
    <w:rsid w:val="00C26715"/>
    <w:rsid w:val="00C2675E"/>
    <w:rsid w:val="00C2679E"/>
    <w:rsid w:val="00C268F6"/>
    <w:rsid w:val="00C26AB8"/>
    <w:rsid w:val="00C26B53"/>
    <w:rsid w:val="00C26C14"/>
    <w:rsid w:val="00C26C31"/>
    <w:rsid w:val="00C26E69"/>
    <w:rsid w:val="00C26E76"/>
    <w:rsid w:val="00C26F9A"/>
    <w:rsid w:val="00C272D5"/>
    <w:rsid w:val="00C27305"/>
    <w:rsid w:val="00C2742A"/>
    <w:rsid w:val="00C27579"/>
    <w:rsid w:val="00C27653"/>
    <w:rsid w:val="00C2768C"/>
    <w:rsid w:val="00C27694"/>
    <w:rsid w:val="00C27814"/>
    <w:rsid w:val="00C27848"/>
    <w:rsid w:val="00C2785C"/>
    <w:rsid w:val="00C278A1"/>
    <w:rsid w:val="00C278DD"/>
    <w:rsid w:val="00C278FC"/>
    <w:rsid w:val="00C27AA5"/>
    <w:rsid w:val="00C27ADF"/>
    <w:rsid w:val="00C27B01"/>
    <w:rsid w:val="00C27B34"/>
    <w:rsid w:val="00C27BA7"/>
    <w:rsid w:val="00C27C2F"/>
    <w:rsid w:val="00C27DA1"/>
    <w:rsid w:val="00C27F28"/>
    <w:rsid w:val="00C30012"/>
    <w:rsid w:val="00C30035"/>
    <w:rsid w:val="00C300A6"/>
    <w:rsid w:val="00C302C8"/>
    <w:rsid w:val="00C3036E"/>
    <w:rsid w:val="00C303DF"/>
    <w:rsid w:val="00C3045C"/>
    <w:rsid w:val="00C30492"/>
    <w:rsid w:val="00C3055A"/>
    <w:rsid w:val="00C30591"/>
    <w:rsid w:val="00C305E5"/>
    <w:rsid w:val="00C30651"/>
    <w:rsid w:val="00C3068C"/>
    <w:rsid w:val="00C30800"/>
    <w:rsid w:val="00C30A76"/>
    <w:rsid w:val="00C30AB6"/>
    <w:rsid w:val="00C30C8D"/>
    <w:rsid w:val="00C30CD5"/>
    <w:rsid w:val="00C30DCA"/>
    <w:rsid w:val="00C30E68"/>
    <w:rsid w:val="00C30F14"/>
    <w:rsid w:val="00C30F69"/>
    <w:rsid w:val="00C30F8B"/>
    <w:rsid w:val="00C310C1"/>
    <w:rsid w:val="00C3110D"/>
    <w:rsid w:val="00C3117F"/>
    <w:rsid w:val="00C31341"/>
    <w:rsid w:val="00C31346"/>
    <w:rsid w:val="00C31419"/>
    <w:rsid w:val="00C314B2"/>
    <w:rsid w:val="00C31505"/>
    <w:rsid w:val="00C31533"/>
    <w:rsid w:val="00C315FF"/>
    <w:rsid w:val="00C31635"/>
    <w:rsid w:val="00C316D3"/>
    <w:rsid w:val="00C317BA"/>
    <w:rsid w:val="00C3183C"/>
    <w:rsid w:val="00C318E7"/>
    <w:rsid w:val="00C3192C"/>
    <w:rsid w:val="00C31A80"/>
    <w:rsid w:val="00C31ABA"/>
    <w:rsid w:val="00C31B13"/>
    <w:rsid w:val="00C31B19"/>
    <w:rsid w:val="00C31C49"/>
    <w:rsid w:val="00C31C4D"/>
    <w:rsid w:val="00C31C73"/>
    <w:rsid w:val="00C31C90"/>
    <w:rsid w:val="00C31CA7"/>
    <w:rsid w:val="00C31CA9"/>
    <w:rsid w:val="00C31CBD"/>
    <w:rsid w:val="00C31D5A"/>
    <w:rsid w:val="00C31F5E"/>
    <w:rsid w:val="00C320A1"/>
    <w:rsid w:val="00C320E7"/>
    <w:rsid w:val="00C3210A"/>
    <w:rsid w:val="00C3216E"/>
    <w:rsid w:val="00C32218"/>
    <w:rsid w:val="00C32274"/>
    <w:rsid w:val="00C3241B"/>
    <w:rsid w:val="00C325D0"/>
    <w:rsid w:val="00C32627"/>
    <w:rsid w:val="00C32758"/>
    <w:rsid w:val="00C327E3"/>
    <w:rsid w:val="00C327E5"/>
    <w:rsid w:val="00C327EE"/>
    <w:rsid w:val="00C327EF"/>
    <w:rsid w:val="00C327F9"/>
    <w:rsid w:val="00C32994"/>
    <w:rsid w:val="00C32A34"/>
    <w:rsid w:val="00C32B01"/>
    <w:rsid w:val="00C32CC7"/>
    <w:rsid w:val="00C32E04"/>
    <w:rsid w:val="00C32F6A"/>
    <w:rsid w:val="00C330F4"/>
    <w:rsid w:val="00C3316C"/>
    <w:rsid w:val="00C33247"/>
    <w:rsid w:val="00C332A3"/>
    <w:rsid w:val="00C3330E"/>
    <w:rsid w:val="00C33354"/>
    <w:rsid w:val="00C33365"/>
    <w:rsid w:val="00C33368"/>
    <w:rsid w:val="00C3336B"/>
    <w:rsid w:val="00C335F7"/>
    <w:rsid w:val="00C33615"/>
    <w:rsid w:val="00C33622"/>
    <w:rsid w:val="00C3365E"/>
    <w:rsid w:val="00C33758"/>
    <w:rsid w:val="00C3383F"/>
    <w:rsid w:val="00C338AF"/>
    <w:rsid w:val="00C33965"/>
    <w:rsid w:val="00C33A6B"/>
    <w:rsid w:val="00C33ADD"/>
    <w:rsid w:val="00C33C27"/>
    <w:rsid w:val="00C33C5E"/>
    <w:rsid w:val="00C33D3F"/>
    <w:rsid w:val="00C33D74"/>
    <w:rsid w:val="00C33E1C"/>
    <w:rsid w:val="00C33FF2"/>
    <w:rsid w:val="00C34080"/>
    <w:rsid w:val="00C341CA"/>
    <w:rsid w:val="00C34309"/>
    <w:rsid w:val="00C34343"/>
    <w:rsid w:val="00C34355"/>
    <w:rsid w:val="00C343BC"/>
    <w:rsid w:val="00C343FC"/>
    <w:rsid w:val="00C344CA"/>
    <w:rsid w:val="00C344FF"/>
    <w:rsid w:val="00C3459A"/>
    <w:rsid w:val="00C34616"/>
    <w:rsid w:val="00C3473F"/>
    <w:rsid w:val="00C34753"/>
    <w:rsid w:val="00C347F1"/>
    <w:rsid w:val="00C34A86"/>
    <w:rsid w:val="00C34A9A"/>
    <w:rsid w:val="00C34B14"/>
    <w:rsid w:val="00C34B50"/>
    <w:rsid w:val="00C34C3B"/>
    <w:rsid w:val="00C34DEF"/>
    <w:rsid w:val="00C34E0F"/>
    <w:rsid w:val="00C34EE1"/>
    <w:rsid w:val="00C34F80"/>
    <w:rsid w:val="00C34F8F"/>
    <w:rsid w:val="00C3513E"/>
    <w:rsid w:val="00C3516A"/>
    <w:rsid w:val="00C35399"/>
    <w:rsid w:val="00C353F5"/>
    <w:rsid w:val="00C3544F"/>
    <w:rsid w:val="00C35585"/>
    <w:rsid w:val="00C355D8"/>
    <w:rsid w:val="00C35625"/>
    <w:rsid w:val="00C356AF"/>
    <w:rsid w:val="00C358CE"/>
    <w:rsid w:val="00C358D9"/>
    <w:rsid w:val="00C35A24"/>
    <w:rsid w:val="00C35A98"/>
    <w:rsid w:val="00C35AC4"/>
    <w:rsid w:val="00C35BDA"/>
    <w:rsid w:val="00C35CFF"/>
    <w:rsid w:val="00C35D64"/>
    <w:rsid w:val="00C35DBE"/>
    <w:rsid w:val="00C35E27"/>
    <w:rsid w:val="00C35F9E"/>
    <w:rsid w:val="00C3600A"/>
    <w:rsid w:val="00C3604B"/>
    <w:rsid w:val="00C360AC"/>
    <w:rsid w:val="00C36118"/>
    <w:rsid w:val="00C362F1"/>
    <w:rsid w:val="00C3632F"/>
    <w:rsid w:val="00C363CC"/>
    <w:rsid w:val="00C363DF"/>
    <w:rsid w:val="00C364AD"/>
    <w:rsid w:val="00C365AB"/>
    <w:rsid w:val="00C365D8"/>
    <w:rsid w:val="00C36704"/>
    <w:rsid w:val="00C36718"/>
    <w:rsid w:val="00C3671E"/>
    <w:rsid w:val="00C36775"/>
    <w:rsid w:val="00C36796"/>
    <w:rsid w:val="00C36797"/>
    <w:rsid w:val="00C36A4F"/>
    <w:rsid w:val="00C36CA6"/>
    <w:rsid w:val="00C36DBC"/>
    <w:rsid w:val="00C36DE0"/>
    <w:rsid w:val="00C36E46"/>
    <w:rsid w:val="00C36FA4"/>
    <w:rsid w:val="00C37093"/>
    <w:rsid w:val="00C3718E"/>
    <w:rsid w:val="00C371AB"/>
    <w:rsid w:val="00C371F1"/>
    <w:rsid w:val="00C372A7"/>
    <w:rsid w:val="00C37394"/>
    <w:rsid w:val="00C373A8"/>
    <w:rsid w:val="00C373CA"/>
    <w:rsid w:val="00C3750A"/>
    <w:rsid w:val="00C3752B"/>
    <w:rsid w:val="00C37556"/>
    <w:rsid w:val="00C376E5"/>
    <w:rsid w:val="00C3776F"/>
    <w:rsid w:val="00C37773"/>
    <w:rsid w:val="00C3781E"/>
    <w:rsid w:val="00C37843"/>
    <w:rsid w:val="00C378BF"/>
    <w:rsid w:val="00C37980"/>
    <w:rsid w:val="00C37A08"/>
    <w:rsid w:val="00C37A3C"/>
    <w:rsid w:val="00C37E40"/>
    <w:rsid w:val="00C37EAC"/>
    <w:rsid w:val="00C37F13"/>
    <w:rsid w:val="00C3EDBD"/>
    <w:rsid w:val="00C40137"/>
    <w:rsid w:val="00C403BA"/>
    <w:rsid w:val="00C403F6"/>
    <w:rsid w:val="00C40415"/>
    <w:rsid w:val="00C4045D"/>
    <w:rsid w:val="00C4050B"/>
    <w:rsid w:val="00C40525"/>
    <w:rsid w:val="00C406B7"/>
    <w:rsid w:val="00C407D7"/>
    <w:rsid w:val="00C40864"/>
    <w:rsid w:val="00C40878"/>
    <w:rsid w:val="00C40897"/>
    <w:rsid w:val="00C408C0"/>
    <w:rsid w:val="00C408FF"/>
    <w:rsid w:val="00C40920"/>
    <w:rsid w:val="00C40A87"/>
    <w:rsid w:val="00C40D02"/>
    <w:rsid w:val="00C40D97"/>
    <w:rsid w:val="00C40F86"/>
    <w:rsid w:val="00C40F87"/>
    <w:rsid w:val="00C40FB6"/>
    <w:rsid w:val="00C411B8"/>
    <w:rsid w:val="00C41274"/>
    <w:rsid w:val="00C412FA"/>
    <w:rsid w:val="00C41380"/>
    <w:rsid w:val="00C4150A"/>
    <w:rsid w:val="00C416D4"/>
    <w:rsid w:val="00C41894"/>
    <w:rsid w:val="00C4191F"/>
    <w:rsid w:val="00C41966"/>
    <w:rsid w:val="00C41978"/>
    <w:rsid w:val="00C41A01"/>
    <w:rsid w:val="00C41A0A"/>
    <w:rsid w:val="00C41A9B"/>
    <w:rsid w:val="00C41B10"/>
    <w:rsid w:val="00C41C15"/>
    <w:rsid w:val="00C41C60"/>
    <w:rsid w:val="00C4203B"/>
    <w:rsid w:val="00C420B0"/>
    <w:rsid w:val="00C420F2"/>
    <w:rsid w:val="00C421E5"/>
    <w:rsid w:val="00C42279"/>
    <w:rsid w:val="00C422F4"/>
    <w:rsid w:val="00C42321"/>
    <w:rsid w:val="00C42489"/>
    <w:rsid w:val="00C424CC"/>
    <w:rsid w:val="00C4252F"/>
    <w:rsid w:val="00C425E3"/>
    <w:rsid w:val="00C4267F"/>
    <w:rsid w:val="00C427E3"/>
    <w:rsid w:val="00C427F7"/>
    <w:rsid w:val="00C4298E"/>
    <w:rsid w:val="00C42BD1"/>
    <w:rsid w:val="00C42C4E"/>
    <w:rsid w:val="00C42C85"/>
    <w:rsid w:val="00C42D95"/>
    <w:rsid w:val="00C42EC9"/>
    <w:rsid w:val="00C43098"/>
    <w:rsid w:val="00C430AA"/>
    <w:rsid w:val="00C430C5"/>
    <w:rsid w:val="00C43124"/>
    <w:rsid w:val="00C43247"/>
    <w:rsid w:val="00C43281"/>
    <w:rsid w:val="00C43325"/>
    <w:rsid w:val="00C434DD"/>
    <w:rsid w:val="00C43531"/>
    <w:rsid w:val="00C4355C"/>
    <w:rsid w:val="00C436F2"/>
    <w:rsid w:val="00C439F2"/>
    <w:rsid w:val="00C43C6C"/>
    <w:rsid w:val="00C43CC0"/>
    <w:rsid w:val="00C43CD0"/>
    <w:rsid w:val="00C43D68"/>
    <w:rsid w:val="00C43D84"/>
    <w:rsid w:val="00C43F27"/>
    <w:rsid w:val="00C43F7B"/>
    <w:rsid w:val="00C4402A"/>
    <w:rsid w:val="00C44212"/>
    <w:rsid w:val="00C442BF"/>
    <w:rsid w:val="00C4430B"/>
    <w:rsid w:val="00C4436D"/>
    <w:rsid w:val="00C4437E"/>
    <w:rsid w:val="00C443AF"/>
    <w:rsid w:val="00C4440D"/>
    <w:rsid w:val="00C44428"/>
    <w:rsid w:val="00C4459A"/>
    <w:rsid w:val="00C445AF"/>
    <w:rsid w:val="00C44639"/>
    <w:rsid w:val="00C44780"/>
    <w:rsid w:val="00C44B5F"/>
    <w:rsid w:val="00C44C80"/>
    <w:rsid w:val="00C44CE4"/>
    <w:rsid w:val="00C44D6E"/>
    <w:rsid w:val="00C44D7B"/>
    <w:rsid w:val="00C44E4A"/>
    <w:rsid w:val="00C44FF2"/>
    <w:rsid w:val="00C4504C"/>
    <w:rsid w:val="00C452A4"/>
    <w:rsid w:val="00C452DB"/>
    <w:rsid w:val="00C4545F"/>
    <w:rsid w:val="00C454E2"/>
    <w:rsid w:val="00C45510"/>
    <w:rsid w:val="00C45595"/>
    <w:rsid w:val="00C456F6"/>
    <w:rsid w:val="00C45798"/>
    <w:rsid w:val="00C45937"/>
    <w:rsid w:val="00C459E0"/>
    <w:rsid w:val="00C45AE2"/>
    <w:rsid w:val="00C45B1E"/>
    <w:rsid w:val="00C45D9A"/>
    <w:rsid w:val="00C45DFB"/>
    <w:rsid w:val="00C45E78"/>
    <w:rsid w:val="00C45EB5"/>
    <w:rsid w:val="00C45ED5"/>
    <w:rsid w:val="00C45F70"/>
    <w:rsid w:val="00C46024"/>
    <w:rsid w:val="00C46120"/>
    <w:rsid w:val="00C46238"/>
    <w:rsid w:val="00C46323"/>
    <w:rsid w:val="00C4648F"/>
    <w:rsid w:val="00C46536"/>
    <w:rsid w:val="00C4669B"/>
    <w:rsid w:val="00C46776"/>
    <w:rsid w:val="00C468A1"/>
    <w:rsid w:val="00C46998"/>
    <w:rsid w:val="00C46A22"/>
    <w:rsid w:val="00C46A5F"/>
    <w:rsid w:val="00C46B09"/>
    <w:rsid w:val="00C46B76"/>
    <w:rsid w:val="00C46C4C"/>
    <w:rsid w:val="00C46CA1"/>
    <w:rsid w:val="00C46DBB"/>
    <w:rsid w:val="00C46DF2"/>
    <w:rsid w:val="00C47182"/>
    <w:rsid w:val="00C471FC"/>
    <w:rsid w:val="00C473D0"/>
    <w:rsid w:val="00C474B3"/>
    <w:rsid w:val="00C474C6"/>
    <w:rsid w:val="00C475FA"/>
    <w:rsid w:val="00C47753"/>
    <w:rsid w:val="00C477BA"/>
    <w:rsid w:val="00C478FF"/>
    <w:rsid w:val="00C4796F"/>
    <w:rsid w:val="00C479C2"/>
    <w:rsid w:val="00C479F8"/>
    <w:rsid w:val="00C47A96"/>
    <w:rsid w:val="00C47AAE"/>
    <w:rsid w:val="00C47C63"/>
    <w:rsid w:val="00C47CE6"/>
    <w:rsid w:val="00C47CF1"/>
    <w:rsid w:val="00C47E2D"/>
    <w:rsid w:val="00C47E60"/>
    <w:rsid w:val="00C47EA3"/>
    <w:rsid w:val="00C47ED5"/>
    <w:rsid w:val="00C47F82"/>
    <w:rsid w:val="00C47FEE"/>
    <w:rsid w:val="00C50005"/>
    <w:rsid w:val="00C500AC"/>
    <w:rsid w:val="00C500C2"/>
    <w:rsid w:val="00C50104"/>
    <w:rsid w:val="00C50218"/>
    <w:rsid w:val="00C502BD"/>
    <w:rsid w:val="00C503AF"/>
    <w:rsid w:val="00C503BB"/>
    <w:rsid w:val="00C50515"/>
    <w:rsid w:val="00C5051A"/>
    <w:rsid w:val="00C505E7"/>
    <w:rsid w:val="00C506A9"/>
    <w:rsid w:val="00C506AD"/>
    <w:rsid w:val="00C5074F"/>
    <w:rsid w:val="00C508CC"/>
    <w:rsid w:val="00C50969"/>
    <w:rsid w:val="00C50BB2"/>
    <w:rsid w:val="00C50BB6"/>
    <w:rsid w:val="00C50C21"/>
    <w:rsid w:val="00C50C57"/>
    <w:rsid w:val="00C50C76"/>
    <w:rsid w:val="00C50E1B"/>
    <w:rsid w:val="00C50E94"/>
    <w:rsid w:val="00C5100F"/>
    <w:rsid w:val="00C5104F"/>
    <w:rsid w:val="00C51115"/>
    <w:rsid w:val="00C51169"/>
    <w:rsid w:val="00C511DB"/>
    <w:rsid w:val="00C512B0"/>
    <w:rsid w:val="00C512D6"/>
    <w:rsid w:val="00C51361"/>
    <w:rsid w:val="00C513BC"/>
    <w:rsid w:val="00C513F8"/>
    <w:rsid w:val="00C514A1"/>
    <w:rsid w:val="00C51568"/>
    <w:rsid w:val="00C5160F"/>
    <w:rsid w:val="00C518E7"/>
    <w:rsid w:val="00C51A32"/>
    <w:rsid w:val="00C51A92"/>
    <w:rsid w:val="00C51AD2"/>
    <w:rsid w:val="00C51AD8"/>
    <w:rsid w:val="00C51B74"/>
    <w:rsid w:val="00C51BD0"/>
    <w:rsid w:val="00C51C21"/>
    <w:rsid w:val="00C51C89"/>
    <w:rsid w:val="00C51D7D"/>
    <w:rsid w:val="00C51E1E"/>
    <w:rsid w:val="00C52063"/>
    <w:rsid w:val="00C5241F"/>
    <w:rsid w:val="00C52498"/>
    <w:rsid w:val="00C524AA"/>
    <w:rsid w:val="00C524CF"/>
    <w:rsid w:val="00C52503"/>
    <w:rsid w:val="00C52625"/>
    <w:rsid w:val="00C5262A"/>
    <w:rsid w:val="00C529ED"/>
    <w:rsid w:val="00C52C07"/>
    <w:rsid w:val="00C52D03"/>
    <w:rsid w:val="00C52D31"/>
    <w:rsid w:val="00C52E0E"/>
    <w:rsid w:val="00C52F77"/>
    <w:rsid w:val="00C53257"/>
    <w:rsid w:val="00C532B3"/>
    <w:rsid w:val="00C53310"/>
    <w:rsid w:val="00C533A1"/>
    <w:rsid w:val="00C533A5"/>
    <w:rsid w:val="00C53434"/>
    <w:rsid w:val="00C5354D"/>
    <w:rsid w:val="00C5367D"/>
    <w:rsid w:val="00C536BE"/>
    <w:rsid w:val="00C5381C"/>
    <w:rsid w:val="00C53851"/>
    <w:rsid w:val="00C538B1"/>
    <w:rsid w:val="00C53A4F"/>
    <w:rsid w:val="00C53B92"/>
    <w:rsid w:val="00C53CFD"/>
    <w:rsid w:val="00C53D34"/>
    <w:rsid w:val="00C53E1B"/>
    <w:rsid w:val="00C53EA3"/>
    <w:rsid w:val="00C53F8F"/>
    <w:rsid w:val="00C54011"/>
    <w:rsid w:val="00C5406F"/>
    <w:rsid w:val="00C541C8"/>
    <w:rsid w:val="00C543BC"/>
    <w:rsid w:val="00C544BD"/>
    <w:rsid w:val="00C545DB"/>
    <w:rsid w:val="00C546DD"/>
    <w:rsid w:val="00C54A08"/>
    <w:rsid w:val="00C54B2E"/>
    <w:rsid w:val="00C54B77"/>
    <w:rsid w:val="00C54CAC"/>
    <w:rsid w:val="00C54DB7"/>
    <w:rsid w:val="00C54DC8"/>
    <w:rsid w:val="00C54E19"/>
    <w:rsid w:val="00C54F58"/>
    <w:rsid w:val="00C54F66"/>
    <w:rsid w:val="00C55088"/>
    <w:rsid w:val="00C5509D"/>
    <w:rsid w:val="00C55204"/>
    <w:rsid w:val="00C552CF"/>
    <w:rsid w:val="00C55485"/>
    <w:rsid w:val="00C55486"/>
    <w:rsid w:val="00C555A1"/>
    <w:rsid w:val="00C555DD"/>
    <w:rsid w:val="00C555E4"/>
    <w:rsid w:val="00C556B7"/>
    <w:rsid w:val="00C558C5"/>
    <w:rsid w:val="00C55977"/>
    <w:rsid w:val="00C55A48"/>
    <w:rsid w:val="00C55A59"/>
    <w:rsid w:val="00C55AEC"/>
    <w:rsid w:val="00C55B88"/>
    <w:rsid w:val="00C55E44"/>
    <w:rsid w:val="00C5606C"/>
    <w:rsid w:val="00C56176"/>
    <w:rsid w:val="00C5625F"/>
    <w:rsid w:val="00C56294"/>
    <w:rsid w:val="00C562F9"/>
    <w:rsid w:val="00C56370"/>
    <w:rsid w:val="00C566EF"/>
    <w:rsid w:val="00C56719"/>
    <w:rsid w:val="00C567D6"/>
    <w:rsid w:val="00C56809"/>
    <w:rsid w:val="00C5688C"/>
    <w:rsid w:val="00C569F6"/>
    <w:rsid w:val="00C56B1B"/>
    <w:rsid w:val="00C56CB8"/>
    <w:rsid w:val="00C56D1A"/>
    <w:rsid w:val="00C56DDF"/>
    <w:rsid w:val="00C56E71"/>
    <w:rsid w:val="00C5704D"/>
    <w:rsid w:val="00C57126"/>
    <w:rsid w:val="00C571BD"/>
    <w:rsid w:val="00C573A2"/>
    <w:rsid w:val="00C5740B"/>
    <w:rsid w:val="00C5743C"/>
    <w:rsid w:val="00C5751A"/>
    <w:rsid w:val="00C5759F"/>
    <w:rsid w:val="00C576A4"/>
    <w:rsid w:val="00C576E5"/>
    <w:rsid w:val="00C5779C"/>
    <w:rsid w:val="00C57824"/>
    <w:rsid w:val="00C5798A"/>
    <w:rsid w:val="00C57AFA"/>
    <w:rsid w:val="00C57C1E"/>
    <w:rsid w:val="00C57CCE"/>
    <w:rsid w:val="00C57E00"/>
    <w:rsid w:val="00C57F50"/>
    <w:rsid w:val="00C600CF"/>
    <w:rsid w:val="00C60242"/>
    <w:rsid w:val="00C60318"/>
    <w:rsid w:val="00C60350"/>
    <w:rsid w:val="00C604FD"/>
    <w:rsid w:val="00C605A6"/>
    <w:rsid w:val="00C6074B"/>
    <w:rsid w:val="00C60787"/>
    <w:rsid w:val="00C60789"/>
    <w:rsid w:val="00C607C5"/>
    <w:rsid w:val="00C609C2"/>
    <w:rsid w:val="00C60AC2"/>
    <w:rsid w:val="00C60AD2"/>
    <w:rsid w:val="00C60B6D"/>
    <w:rsid w:val="00C60BA1"/>
    <w:rsid w:val="00C60BAA"/>
    <w:rsid w:val="00C60F01"/>
    <w:rsid w:val="00C60F21"/>
    <w:rsid w:val="00C61260"/>
    <w:rsid w:val="00C612EE"/>
    <w:rsid w:val="00C614F7"/>
    <w:rsid w:val="00C614FD"/>
    <w:rsid w:val="00C616DB"/>
    <w:rsid w:val="00C61869"/>
    <w:rsid w:val="00C618AC"/>
    <w:rsid w:val="00C6195B"/>
    <w:rsid w:val="00C61C97"/>
    <w:rsid w:val="00C61D0E"/>
    <w:rsid w:val="00C61EB4"/>
    <w:rsid w:val="00C6200C"/>
    <w:rsid w:val="00C6203A"/>
    <w:rsid w:val="00C620C1"/>
    <w:rsid w:val="00C6224D"/>
    <w:rsid w:val="00C6228A"/>
    <w:rsid w:val="00C622AA"/>
    <w:rsid w:val="00C623EF"/>
    <w:rsid w:val="00C623F4"/>
    <w:rsid w:val="00C6240C"/>
    <w:rsid w:val="00C6247C"/>
    <w:rsid w:val="00C624CC"/>
    <w:rsid w:val="00C62541"/>
    <w:rsid w:val="00C625D7"/>
    <w:rsid w:val="00C62653"/>
    <w:rsid w:val="00C6267F"/>
    <w:rsid w:val="00C627A1"/>
    <w:rsid w:val="00C6286D"/>
    <w:rsid w:val="00C628EA"/>
    <w:rsid w:val="00C62981"/>
    <w:rsid w:val="00C62B67"/>
    <w:rsid w:val="00C62BD4"/>
    <w:rsid w:val="00C62BDC"/>
    <w:rsid w:val="00C62C00"/>
    <w:rsid w:val="00C62C25"/>
    <w:rsid w:val="00C62E01"/>
    <w:rsid w:val="00C62E9E"/>
    <w:rsid w:val="00C62F18"/>
    <w:rsid w:val="00C62F9D"/>
    <w:rsid w:val="00C630F3"/>
    <w:rsid w:val="00C63101"/>
    <w:rsid w:val="00C63129"/>
    <w:rsid w:val="00C631A0"/>
    <w:rsid w:val="00C631E4"/>
    <w:rsid w:val="00C63352"/>
    <w:rsid w:val="00C633C2"/>
    <w:rsid w:val="00C633E5"/>
    <w:rsid w:val="00C63541"/>
    <w:rsid w:val="00C636F6"/>
    <w:rsid w:val="00C637BE"/>
    <w:rsid w:val="00C63849"/>
    <w:rsid w:val="00C638FB"/>
    <w:rsid w:val="00C63A88"/>
    <w:rsid w:val="00C63AF2"/>
    <w:rsid w:val="00C63CC0"/>
    <w:rsid w:val="00C63D51"/>
    <w:rsid w:val="00C63DBA"/>
    <w:rsid w:val="00C63E07"/>
    <w:rsid w:val="00C63F41"/>
    <w:rsid w:val="00C63F8D"/>
    <w:rsid w:val="00C6403D"/>
    <w:rsid w:val="00C642FA"/>
    <w:rsid w:val="00C645B8"/>
    <w:rsid w:val="00C6460D"/>
    <w:rsid w:val="00C6478A"/>
    <w:rsid w:val="00C648C8"/>
    <w:rsid w:val="00C6499B"/>
    <w:rsid w:val="00C64A77"/>
    <w:rsid w:val="00C64B81"/>
    <w:rsid w:val="00C64B83"/>
    <w:rsid w:val="00C64C79"/>
    <w:rsid w:val="00C64DB2"/>
    <w:rsid w:val="00C64E86"/>
    <w:rsid w:val="00C64F53"/>
    <w:rsid w:val="00C65074"/>
    <w:rsid w:val="00C65148"/>
    <w:rsid w:val="00C651F2"/>
    <w:rsid w:val="00C65206"/>
    <w:rsid w:val="00C65284"/>
    <w:rsid w:val="00C65318"/>
    <w:rsid w:val="00C653E2"/>
    <w:rsid w:val="00C65608"/>
    <w:rsid w:val="00C65636"/>
    <w:rsid w:val="00C65656"/>
    <w:rsid w:val="00C656DF"/>
    <w:rsid w:val="00C656F0"/>
    <w:rsid w:val="00C659D7"/>
    <w:rsid w:val="00C65A7B"/>
    <w:rsid w:val="00C65AEC"/>
    <w:rsid w:val="00C65C35"/>
    <w:rsid w:val="00C65C36"/>
    <w:rsid w:val="00C65CFC"/>
    <w:rsid w:val="00C65D04"/>
    <w:rsid w:val="00C65DC3"/>
    <w:rsid w:val="00C65EF0"/>
    <w:rsid w:val="00C6608F"/>
    <w:rsid w:val="00C660FE"/>
    <w:rsid w:val="00C661E6"/>
    <w:rsid w:val="00C661F3"/>
    <w:rsid w:val="00C66451"/>
    <w:rsid w:val="00C66481"/>
    <w:rsid w:val="00C664F2"/>
    <w:rsid w:val="00C66578"/>
    <w:rsid w:val="00C665AF"/>
    <w:rsid w:val="00C6662E"/>
    <w:rsid w:val="00C666B6"/>
    <w:rsid w:val="00C666EF"/>
    <w:rsid w:val="00C6678F"/>
    <w:rsid w:val="00C668BF"/>
    <w:rsid w:val="00C668FB"/>
    <w:rsid w:val="00C66941"/>
    <w:rsid w:val="00C66A41"/>
    <w:rsid w:val="00C66B27"/>
    <w:rsid w:val="00C66B74"/>
    <w:rsid w:val="00C66B76"/>
    <w:rsid w:val="00C66B78"/>
    <w:rsid w:val="00C66BA4"/>
    <w:rsid w:val="00C66BF3"/>
    <w:rsid w:val="00C66C31"/>
    <w:rsid w:val="00C66C92"/>
    <w:rsid w:val="00C66D57"/>
    <w:rsid w:val="00C66DE0"/>
    <w:rsid w:val="00C66F7F"/>
    <w:rsid w:val="00C67124"/>
    <w:rsid w:val="00C673E5"/>
    <w:rsid w:val="00C67458"/>
    <w:rsid w:val="00C6747B"/>
    <w:rsid w:val="00C675DF"/>
    <w:rsid w:val="00C6769E"/>
    <w:rsid w:val="00C677CB"/>
    <w:rsid w:val="00C67884"/>
    <w:rsid w:val="00C678CA"/>
    <w:rsid w:val="00C67B53"/>
    <w:rsid w:val="00C67B88"/>
    <w:rsid w:val="00C67BF9"/>
    <w:rsid w:val="00C67C34"/>
    <w:rsid w:val="00C67F7A"/>
    <w:rsid w:val="00C700BC"/>
    <w:rsid w:val="00C7021F"/>
    <w:rsid w:val="00C7028B"/>
    <w:rsid w:val="00C70293"/>
    <w:rsid w:val="00C702DF"/>
    <w:rsid w:val="00C70358"/>
    <w:rsid w:val="00C7045A"/>
    <w:rsid w:val="00C70526"/>
    <w:rsid w:val="00C7055D"/>
    <w:rsid w:val="00C7061D"/>
    <w:rsid w:val="00C70686"/>
    <w:rsid w:val="00C7070E"/>
    <w:rsid w:val="00C707B0"/>
    <w:rsid w:val="00C707FB"/>
    <w:rsid w:val="00C70810"/>
    <w:rsid w:val="00C70835"/>
    <w:rsid w:val="00C708EE"/>
    <w:rsid w:val="00C7093C"/>
    <w:rsid w:val="00C709E6"/>
    <w:rsid w:val="00C70A3E"/>
    <w:rsid w:val="00C70B8A"/>
    <w:rsid w:val="00C70BA0"/>
    <w:rsid w:val="00C70BA9"/>
    <w:rsid w:val="00C70C11"/>
    <w:rsid w:val="00C70C33"/>
    <w:rsid w:val="00C70D12"/>
    <w:rsid w:val="00C70D46"/>
    <w:rsid w:val="00C70D82"/>
    <w:rsid w:val="00C70E1B"/>
    <w:rsid w:val="00C70F25"/>
    <w:rsid w:val="00C70F9F"/>
    <w:rsid w:val="00C70FC7"/>
    <w:rsid w:val="00C70FD4"/>
    <w:rsid w:val="00C71011"/>
    <w:rsid w:val="00C710B7"/>
    <w:rsid w:val="00C712D0"/>
    <w:rsid w:val="00C713A1"/>
    <w:rsid w:val="00C7140A"/>
    <w:rsid w:val="00C71427"/>
    <w:rsid w:val="00C7159A"/>
    <w:rsid w:val="00C71768"/>
    <w:rsid w:val="00C71794"/>
    <w:rsid w:val="00C717E5"/>
    <w:rsid w:val="00C718B2"/>
    <w:rsid w:val="00C718E1"/>
    <w:rsid w:val="00C718E4"/>
    <w:rsid w:val="00C719CF"/>
    <w:rsid w:val="00C719FC"/>
    <w:rsid w:val="00C71CB4"/>
    <w:rsid w:val="00C71DAF"/>
    <w:rsid w:val="00C71E98"/>
    <w:rsid w:val="00C71FA8"/>
    <w:rsid w:val="00C71FAE"/>
    <w:rsid w:val="00C721FE"/>
    <w:rsid w:val="00C722B2"/>
    <w:rsid w:val="00C7239D"/>
    <w:rsid w:val="00C723FC"/>
    <w:rsid w:val="00C72432"/>
    <w:rsid w:val="00C724F5"/>
    <w:rsid w:val="00C7257F"/>
    <w:rsid w:val="00C725BB"/>
    <w:rsid w:val="00C72636"/>
    <w:rsid w:val="00C726C2"/>
    <w:rsid w:val="00C72809"/>
    <w:rsid w:val="00C729B1"/>
    <w:rsid w:val="00C72A0B"/>
    <w:rsid w:val="00C72B46"/>
    <w:rsid w:val="00C72B8B"/>
    <w:rsid w:val="00C72D9A"/>
    <w:rsid w:val="00C72E60"/>
    <w:rsid w:val="00C72EC5"/>
    <w:rsid w:val="00C72ECB"/>
    <w:rsid w:val="00C73009"/>
    <w:rsid w:val="00C73035"/>
    <w:rsid w:val="00C7307B"/>
    <w:rsid w:val="00C731CE"/>
    <w:rsid w:val="00C733AB"/>
    <w:rsid w:val="00C73441"/>
    <w:rsid w:val="00C73494"/>
    <w:rsid w:val="00C73643"/>
    <w:rsid w:val="00C73699"/>
    <w:rsid w:val="00C736A8"/>
    <w:rsid w:val="00C73775"/>
    <w:rsid w:val="00C73867"/>
    <w:rsid w:val="00C73AC6"/>
    <w:rsid w:val="00C73BC4"/>
    <w:rsid w:val="00C73BD3"/>
    <w:rsid w:val="00C73BDF"/>
    <w:rsid w:val="00C73C33"/>
    <w:rsid w:val="00C73CD4"/>
    <w:rsid w:val="00C73E0F"/>
    <w:rsid w:val="00C73E94"/>
    <w:rsid w:val="00C73F88"/>
    <w:rsid w:val="00C73FBB"/>
    <w:rsid w:val="00C73FC6"/>
    <w:rsid w:val="00C7406C"/>
    <w:rsid w:val="00C7409D"/>
    <w:rsid w:val="00C740A3"/>
    <w:rsid w:val="00C74130"/>
    <w:rsid w:val="00C74493"/>
    <w:rsid w:val="00C744F7"/>
    <w:rsid w:val="00C745EE"/>
    <w:rsid w:val="00C7460E"/>
    <w:rsid w:val="00C746E8"/>
    <w:rsid w:val="00C747C2"/>
    <w:rsid w:val="00C74843"/>
    <w:rsid w:val="00C748B2"/>
    <w:rsid w:val="00C748DF"/>
    <w:rsid w:val="00C7490D"/>
    <w:rsid w:val="00C74972"/>
    <w:rsid w:val="00C74A00"/>
    <w:rsid w:val="00C74AA7"/>
    <w:rsid w:val="00C74BB1"/>
    <w:rsid w:val="00C74CB6"/>
    <w:rsid w:val="00C74CC9"/>
    <w:rsid w:val="00C74D00"/>
    <w:rsid w:val="00C74D3F"/>
    <w:rsid w:val="00C74DFB"/>
    <w:rsid w:val="00C74E0B"/>
    <w:rsid w:val="00C74E0C"/>
    <w:rsid w:val="00C74E0F"/>
    <w:rsid w:val="00C74E2D"/>
    <w:rsid w:val="00C74E46"/>
    <w:rsid w:val="00C74F42"/>
    <w:rsid w:val="00C75037"/>
    <w:rsid w:val="00C75177"/>
    <w:rsid w:val="00C751FC"/>
    <w:rsid w:val="00C75255"/>
    <w:rsid w:val="00C75276"/>
    <w:rsid w:val="00C7547D"/>
    <w:rsid w:val="00C754A4"/>
    <w:rsid w:val="00C755BC"/>
    <w:rsid w:val="00C75620"/>
    <w:rsid w:val="00C7566B"/>
    <w:rsid w:val="00C7570F"/>
    <w:rsid w:val="00C75729"/>
    <w:rsid w:val="00C759E1"/>
    <w:rsid w:val="00C75ABE"/>
    <w:rsid w:val="00C75B18"/>
    <w:rsid w:val="00C75BAE"/>
    <w:rsid w:val="00C75BB1"/>
    <w:rsid w:val="00C75BF6"/>
    <w:rsid w:val="00C75C3D"/>
    <w:rsid w:val="00C75C6B"/>
    <w:rsid w:val="00C75D8B"/>
    <w:rsid w:val="00C75D9D"/>
    <w:rsid w:val="00C75E04"/>
    <w:rsid w:val="00C75EF7"/>
    <w:rsid w:val="00C7600C"/>
    <w:rsid w:val="00C76096"/>
    <w:rsid w:val="00C761BF"/>
    <w:rsid w:val="00C76278"/>
    <w:rsid w:val="00C76284"/>
    <w:rsid w:val="00C763EF"/>
    <w:rsid w:val="00C76515"/>
    <w:rsid w:val="00C76588"/>
    <w:rsid w:val="00C76595"/>
    <w:rsid w:val="00C765C2"/>
    <w:rsid w:val="00C766AD"/>
    <w:rsid w:val="00C76910"/>
    <w:rsid w:val="00C76A8E"/>
    <w:rsid w:val="00C76BA9"/>
    <w:rsid w:val="00C76C11"/>
    <w:rsid w:val="00C76C33"/>
    <w:rsid w:val="00C76C6F"/>
    <w:rsid w:val="00C76D17"/>
    <w:rsid w:val="00C76D3B"/>
    <w:rsid w:val="00C76DCD"/>
    <w:rsid w:val="00C77021"/>
    <w:rsid w:val="00C77085"/>
    <w:rsid w:val="00C7708B"/>
    <w:rsid w:val="00C770DA"/>
    <w:rsid w:val="00C770E7"/>
    <w:rsid w:val="00C771C9"/>
    <w:rsid w:val="00C773BE"/>
    <w:rsid w:val="00C7743A"/>
    <w:rsid w:val="00C77467"/>
    <w:rsid w:val="00C77493"/>
    <w:rsid w:val="00C774EC"/>
    <w:rsid w:val="00C774F2"/>
    <w:rsid w:val="00C77521"/>
    <w:rsid w:val="00C77552"/>
    <w:rsid w:val="00C77700"/>
    <w:rsid w:val="00C77A22"/>
    <w:rsid w:val="00C77A2A"/>
    <w:rsid w:val="00C77AB6"/>
    <w:rsid w:val="00C77AD6"/>
    <w:rsid w:val="00C77C34"/>
    <w:rsid w:val="00C77CE4"/>
    <w:rsid w:val="00C77D60"/>
    <w:rsid w:val="00C77DF3"/>
    <w:rsid w:val="00C77E9A"/>
    <w:rsid w:val="00C77F4B"/>
    <w:rsid w:val="00C77F50"/>
    <w:rsid w:val="00C77FA7"/>
    <w:rsid w:val="00C797AA"/>
    <w:rsid w:val="00C801C1"/>
    <w:rsid w:val="00C801DE"/>
    <w:rsid w:val="00C801ED"/>
    <w:rsid w:val="00C80202"/>
    <w:rsid w:val="00C802AA"/>
    <w:rsid w:val="00C802B5"/>
    <w:rsid w:val="00C80360"/>
    <w:rsid w:val="00C804ED"/>
    <w:rsid w:val="00C805F6"/>
    <w:rsid w:val="00C80755"/>
    <w:rsid w:val="00C807F2"/>
    <w:rsid w:val="00C80888"/>
    <w:rsid w:val="00C8088B"/>
    <w:rsid w:val="00C808EA"/>
    <w:rsid w:val="00C80A9E"/>
    <w:rsid w:val="00C80AAA"/>
    <w:rsid w:val="00C80AB4"/>
    <w:rsid w:val="00C80B0D"/>
    <w:rsid w:val="00C80B47"/>
    <w:rsid w:val="00C80BD8"/>
    <w:rsid w:val="00C80BED"/>
    <w:rsid w:val="00C80C7E"/>
    <w:rsid w:val="00C80CE6"/>
    <w:rsid w:val="00C80D52"/>
    <w:rsid w:val="00C80E2F"/>
    <w:rsid w:val="00C80E6E"/>
    <w:rsid w:val="00C80EC4"/>
    <w:rsid w:val="00C80EFF"/>
    <w:rsid w:val="00C80F0C"/>
    <w:rsid w:val="00C80FF8"/>
    <w:rsid w:val="00C8123A"/>
    <w:rsid w:val="00C8138D"/>
    <w:rsid w:val="00C813F5"/>
    <w:rsid w:val="00C81489"/>
    <w:rsid w:val="00C8158F"/>
    <w:rsid w:val="00C8175B"/>
    <w:rsid w:val="00C8176B"/>
    <w:rsid w:val="00C818F3"/>
    <w:rsid w:val="00C81985"/>
    <w:rsid w:val="00C819A6"/>
    <w:rsid w:val="00C819B7"/>
    <w:rsid w:val="00C819E4"/>
    <w:rsid w:val="00C81AAE"/>
    <w:rsid w:val="00C81BDB"/>
    <w:rsid w:val="00C81D67"/>
    <w:rsid w:val="00C81DB5"/>
    <w:rsid w:val="00C82029"/>
    <w:rsid w:val="00C82038"/>
    <w:rsid w:val="00C82090"/>
    <w:rsid w:val="00C820B4"/>
    <w:rsid w:val="00C82100"/>
    <w:rsid w:val="00C82239"/>
    <w:rsid w:val="00C82396"/>
    <w:rsid w:val="00C82429"/>
    <w:rsid w:val="00C82435"/>
    <w:rsid w:val="00C825D9"/>
    <w:rsid w:val="00C82758"/>
    <w:rsid w:val="00C827AE"/>
    <w:rsid w:val="00C827F4"/>
    <w:rsid w:val="00C82974"/>
    <w:rsid w:val="00C829F7"/>
    <w:rsid w:val="00C82A5D"/>
    <w:rsid w:val="00C82B05"/>
    <w:rsid w:val="00C82B70"/>
    <w:rsid w:val="00C82C68"/>
    <w:rsid w:val="00C82C9A"/>
    <w:rsid w:val="00C82CA2"/>
    <w:rsid w:val="00C82CC8"/>
    <w:rsid w:val="00C82D0D"/>
    <w:rsid w:val="00C82D5E"/>
    <w:rsid w:val="00C82E50"/>
    <w:rsid w:val="00C82F03"/>
    <w:rsid w:val="00C82F5A"/>
    <w:rsid w:val="00C82FC4"/>
    <w:rsid w:val="00C83019"/>
    <w:rsid w:val="00C8314C"/>
    <w:rsid w:val="00C831B6"/>
    <w:rsid w:val="00C831E6"/>
    <w:rsid w:val="00C83313"/>
    <w:rsid w:val="00C8369A"/>
    <w:rsid w:val="00C836C9"/>
    <w:rsid w:val="00C8370E"/>
    <w:rsid w:val="00C8383E"/>
    <w:rsid w:val="00C83878"/>
    <w:rsid w:val="00C839A7"/>
    <w:rsid w:val="00C83A7F"/>
    <w:rsid w:val="00C83BD3"/>
    <w:rsid w:val="00C83D53"/>
    <w:rsid w:val="00C83E87"/>
    <w:rsid w:val="00C83F46"/>
    <w:rsid w:val="00C83FB7"/>
    <w:rsid w:val="00C8400A"/>
    <w:rsid w:val="00C841F1"/>
    <w:rsid w:val="00C8425B"/>
    <w:rsid w:val="00C842C5"/>
    <w:rsid w:val="00C84600"/>
    <w:rsid w:val="00C8461E"/>
    <w:rsid w:val="00C84778"/>
    <w:rsid w:val="00C84BE7"/>
    <w:rsid w:val="00C84C09"/>
    <w:rsid w:val="00C84F64"/>
    <w:rsid w:val="00C84F71"/>
    <w:rsid w:val="00C85151"/>
    <w:rsid w:val="00C8517A"/>
    <w:rsid w:val="00C851E7"/>
    <w:rsid w:val="00C851F9"/>
    <w:rsid w:val="00C85313"/>
    <w:rsid w:val="00C8539E"/>
    <w:rsid w:val="00C853F7"/>
    <w:rsid w:val="00C854EF"/>
    <w:rsid w:val="00C854FD"/>
    <w:rsid w:val="00C855A1"/>
    <w:rsid w:val="00C8563B"/>
    <w:rsid w:val="00C85681"/>
    <w:rsid w:val="00C85785"/>
    <w:rsid w:val="00C85799"/>
    <w:rsid w:val="00C85893"/>
    <w:rsid w:val="00C8589D"/>
    <w:rsid w:val="00C85906"/>
    <w:rsid w:val="00C85960"/>
    <w:rsid w:val="00C859B4"/>
    <w:rsid w:val="00C85AB2"/>
    <w:rsid w:val="00C85B16"/>
    <w:rsid w:val="00C85BE5"/>
    <w:rsid w:val="00C85C1F"/>
    <w:rsid w:val="00C85C59"/>
    <w:rsid w:val="00C85CE6"/>
    <w:rsid w:val="00C85D31"/>
    <w:rsid w:val="00C85FC9"/>
    <w:rsid w:val="00C85FDA"/>
    <w:rsid w:val="00C8613C"/>
    <w:rsid w:val="00C862B0"/>
    <w:rsid w:val="00C862BA"/>
    <w:rsid w:val="00C863C7"/>
    <w:rsid w:val="00C86416"/>
    <w:rsid w:val="00C864CB"/>
    <w:rsid w:val="00C8660A"/>
    <w:rsid w:val="00C86662"/>
    <w:rsid w:val="00C8668A"/>
    <w:rsid w:val="00C86717"/>
    <w:rsid w:val="00C86837"/>
    <w:rsid w:val="00C869B9"/>
    <w:rsid w:val="00C869E2"/>
    <w:rsid w:val="00C86BD4"/>
    <w:rsid w:val="00C86E12"/>
    <w:rsid w:val="00C86FD0"/>
    <w:rsid w:val="00C86FF1"/>
    <w:rsid w:val="00C871C4"/>
    <w:rsid w:val="00C87323"/>
    <w:rsid w:val="00C87327"/>
    <w:rsid w:val="00C87360"/>
    <w:rsid w:val="00C8753D"/>
    <w:rsid w:val="00C87614"/>
    <w:rsid w:val="00C876C4"/>
    <w:rsid w:val="00C879DB"/>
    <w:rsid w:val="00C87A8E"/>
    <w:rsid w:val="00C87ABB"/>
    <w:rsid w:val="00C87B06"/>
    <w:rsid w:val="00C87C08"/>
    <w:rsid w:val="00C87C23"/>
    <w:rsid w:val="00C87C77"/>
    <w:rsid w:val="00C87C87"/>
    <w:rsid w:val="00C87D14"/>
    <w:rsid w:val="00C87E7F"/>
    <w:rsid w:val="00C87F93"/>
    <w:rsid w:val="00C90198"/>
    <w:rsid w:val="00C903F6"/>
    <w:rsid w:val="00C90414"/>
    <w:rsid w:val="00C9050C"/>
    <w:rsid w:val="00C90561"/>
    <w:rsid w:val="00C905A8"/>
    <w:rsid w:val="00C90637"/>
    <w:rsid w:val="00C90638"/>
    <w:rsid w:val="00C909BC"/>
    <w:rsid w:val="00C90A63"/>
    <w:rsid w:val="00C90A92"/>
    <w:rsid w:val="00C90B60"/>
    <w:rsid w:val="00C90BCC"/>
    <w:rsid w:val="00C90BDD"/>
    <w:rsid w:val="00C90C6D"/>
    <w:rsid w:val="00C90CD4"/>
    <w:rsid w:val="00C90DB1"/>
    <w:rsid w:val="00C90DDC"/>
    <w:rsid w:val="00C90DF9"/>
    <w:rsid w:val="00C90E17"/>
    <w:rsid w:val="00C90E91"/>
    <w:rsid w:val="00C90E94"/>
    <w:rsid w:val="00C90FFB"/>
    <w:rsid w:val="00C911A7"/>
    <w:rsid w:val="00C91244"/>
    <w:rsid w:val="00C91279"/>
    <w:rsid w:val="00C913EF"/>
    <w:rsid w:val="00C913FD"/>
    <w:rsid w:val="00C91463"/>
    <w:rsid w:val="00C914BB"/>
    <w:rsid w:val="00C914DF"/>
    <w:rsid w:val="00C91568"/>
    <w:rsid w:val="00C9169F"/>
    <w:rsid w:val="00C916DC"/>
    <w:rsid w:val="00C91710"/>
    <w:rsid w:val="00C9180A"/>
    <w:rsid w:val="00C919B4"/>
    <w:rsid w:val="00C91A50"/>
    <w:rsid w:val="00C91B54"/>
    <w:rsid w:val="00C91B5C"/>
    <w:rsid w:val="00C91B9C"/>
    <w:rsid w:val="00C91BB7"/>
    <w:rsid w:val="00C91CA9"/>
    <w:rsid w:val="00C91D48"/>
    <w:rsid w:val="00C91D78"/>
    <w:rsid w:val="00C91E80"/>
    <w:rsid w:val="00C91E92"/>
    <w:rsid w:val="00C91F88"/>
    <w:rsid w:val="00C92026"/>
    <w:rsid w:val="00C92068"/>
    <w:rsid w:val="00C92085"/>
    <w:rsid w:val="00C921F5"/>
    <w:rsid w:val="00C92234"/>
    <w:rsid w:val="00C92270"/>
    <w:rsid w:val="00C922A9"/>
    <w:rsid w:val="00C922CA"/>
    <w:rsid w:val="00C92520"/>
    <w:rsid w:val="00C92604"/>
    <w:rsid w:val="00C92635"/>
    <w:rsid w:val="00C9267E"/>
    <w:rsid w:val="00C92772"/>
    <w:rsid w:val="00C928AC"/>
    <w:rsid w:val="00C92C37"/>
    <w:rsid w:val="00C92C4A"/>
    <w:rsid w:val="00C92FA9"/>
    <w:rsid w:val="00C930E7"/>
    <w:rsid w:val="00C9321A"/>
    <w:rsid w:val="00C93254"/>
    <w:rsid w:val="00C9327F"/>
    <w:rsid w:val="00C93281"/>
    <w:rsid w:val="00C932C5"/>
    <w:rsid w:val="00C9330D"/>
    <w:rsid w:val="00C93388"/>
    <w:rsid w:val="00C9342F"/>
    <w:rsid w:val="00C935B0"/>
    <w:rsid w:val="00C9362E"/>
    <w:rsid w:val="00C93645"/>
    <w:rsid w:val="00C9370D"/>
    <w:rsid w:val="00C9373B"/>
    <w:rsid w:val="00C93768"/>
    <w:rsid w:val="00C9376F"/>
    <w:rsid w:val="00C9390C"/>
    <w:rsid w:val="00C93BC0"/>
    <w:rsid w:val="00C93C01"/>
    <w:rsid w:val="00C93C1A"/>
    <w:rsid w:val="00C93DDB"/>
    <w:rsid w:val="00C93E48"/>
    <w:rsid w:val="00C93E7E"/>
    <w:rsid w:val="00C93F12"/>
    <w:rsid w:val="00C93F39"/>
    <w:rsid w:val="00C94101"/>
    <w:rsid w:val="00C94148"/>
    <w:rsid w:val="00C941AE"/>
    <w:rsid w:val="00C94385"/>
    <w:rsid w:val="00C94551"/>
    <w:rsid w:val="00C945DF"/>
    <w:rsid w:val="00C94661"/>
    <w:rsid w:val="00C9470D"/>
    <w:rsid w:val="00C949F1"/>
    <w:rsid w:val="00C94AD4"/>
    <w:rsid w:val="00C94B35"/>
    <w:rsid w:val="00C94BBB"/>
    <w:rsid w:val="00C94BC0"/>
    <w:rsid w:val="00C94D79"/>
    <w:rsid w:val="00C9502C"/>
    <w:rsid w:val="00C951E7"/>
    <w:rsid w:val="00C9527E"/>
    <w:rsid w:val="00C9533D"/>
    <w:rsid w:val="00C95371"/>
    <w:rsid w:val="00C953D5"/>
    <w:rsid w:val="00C9545B"/>
    <w:rsid w:val="00C954F3"/>
    <w:rsid w:val="00C9571E"/>
    <w:rsid w:val="00C9572E"/>
    <w:rsid w:val="00C9587A"/>
    <w:rsid w:val="00C95946"/>
    <w:rsid w:val="00C9596B"/>
    <w:rsid w:val="00C95CFC"/>
    <w:rsid w:val="00C95D21"/>
    <w:rsid w:val="00C95E4F"/>
    <w:rsid w:val="00C95F49"/>
    <w:rsid w:val="00C9600F"/>
    <w:rsid w:val="00C9610B"/>
    <w:rsid w:val="00C9619F"/>
    <w:rsid w:val="00C96245"/>
    <w:rsid w:val="00C963BC"/>
    <w:rsid w:val="00C96563"/>
    <w:rsid w:val="00C965C0"/>
    <w:rsid w:val="00C966D9"/>
    <w:rsid w:val="00C969F1"/>
    <w:rsid w:val="00C96B2C"/>
    <w:rsid w:val="00C96B2F"/>
    <w:rsid w:val="00C96BD5"/>
    <w:rsid w:val="00C96CF7"/>
    <w:rsid w:val="00C96DC5"/>
    <w:rsid w:val="00C96E71"/>
    <w:rsid w:val="00C96F45"/>
    <w:rsid w:val="00C96FBA"/>
    <w:rsid w:val="00C96FDF"/>
    <w:rsid w:val="00C96FFA"/>
    <w:rsid w:val="00C9710D"/>
    <w:rsid w:val="00C97383"/>
    <w:rsid w:val="00C97442"/>
    <w:rsid w:val="00C974AF"/>
    <w:rsid w:val="00C9755A"/>
    <w:rsid w:val="00C97560"/>
    <w:rsid w:val="00C9759B"/>
    <w:rsid w:val="00C97621"/>
    <w:rsid w:val="00C977A5"/>
    <w:rsid w:val="00C97866"/>
    <w:rsid w:val="00C9786A"/>
    <w:rsid w:val="00C978D8"/>
    <w:rsid w:val="00C9794C"/>
    <w:rsid w:val="00C97958"/>
    <w:rsid w:val="00C97B41"/>
    <w:rsid w:val="00C97B4C"/>
    <w:rsid w:val="00C97BBE"/>
    <w:rsid w:val="00C97C4D"/>
    <w:rsid w:val="00C97C9D"/>
    <w:rsid w:val="00C97D31"/>
    <w:rsid w:val="00C97D7F"/>
    <w:rsid w:val="00C97E25"/>
    <w:rsid w:val="00C97EF6"/>
    <w:rsid w:val="00C97F56"/>
    <w:rsid w:val="00C97F6D"/>
    <w:rsid w:val="00C97F87"/>
    <w:rsid w:val="00C97FBB"/>
    <w:rsid w:val="00CA0153"/>
    <w:rsid w:val="00CA01A2"/>
    <w:rsid w:val="00CA01DD"/>
    <w:rsid w:val="00CA01E7"/>
    <w:rsid w:val="00CA03DE"/>
    <w:rsid w:val="00CA04DA"/>
    <w:rsid w:val="00CA0511"/>
    <w:rsid w:val="00CA0552"/>
    <w:rsid w:val="00CA0570"/>
    <w:rsid w:val="00CA05FE"/>
    <w:rsid w:val="00CA070A"/>
    <w:rsid w:val="00CA071D"/>
    <w:rsid w:val="00CA07C3"/>
    <w:rsid w:val="00CA07D2"/>
    <w:rsid w:val="00CA07DE"/>
    <w:rsid w:val="00CA0800"/>
    <w:rsid w:val="00CA0884"/>
    <w:rsid w:val="00CA08F9"/>
    <w:rsid w:val="00CA093A"/>
    <w:rsid w:val="00CA0AB7"/>
    <w:rsid w:val="00CA0B3C"/>
    <w:rsid w:val="00CA0C0C"/>
    <w:rsid w:val="00CA0CF8"/>
    <w:rsid w:val="00CA0D3B"/>
    <w:rsid w:val="00CA0D58"/>
    <w:rsid w:val="00CA0D79"/>
    <w:rsid w:val="00CA0DCF"/>
    <w:rsid w:val="00CA0E48"/>
    <w:rsid w:val="00CA0F29"/>
    <w:rsid w:val="00CA0F6C"/>
    <w:rsid w:val="00CA109D"/>
    <w:rsid w:val="00CA10DD"/>
    <w:rsid w:val="00CA10E9"/>
    <w:rsid w:val="00CA13DC"/>
    <w:rsid w:val="00CA148A"/>
    <w:rsid w:val="00CA14A0"/>
    <w:rsid w:val="00CA1907"/>
    <w:rsid w:val="00CA1A39"/>
    <w:rsid w:val="00CA1A87"/>
    <w:rsid w:val="00CA1B4C"/>
    <w:rsid w:val="00CA1B6A"/>
    <w:rsid w:val="00CA1C74"/>
    <w:rsid w:val="00CA1E6E"/>
    <w:rsid w:val="00CA1FC1"/>
    <w:rsid w:val="00CA209A"/>
    <w:rsid w:val="00CA20A4"/>
    <w:rsid w:val="00CA230F"/>
    <w:rsid w:val="00CA233F"/>
    <w:rsid w:val="00CA234E"/>
    <w:rsid w:val="00CA23D3"/>
    <w:rsid w:val="00CA2413"/>
    <w:rsid w:val="00CA250E"/>
    <w:rsid w:val="00CA259B"/>
    <w:rsid w:val="00CA25BD"/>
    <w:rsid w:val="00CA2656"/>
    <w:rsid w:val="00CA266A"/>
    <w:rsid w:val="00CA273F"/>
    <w:rsid w:val="00CA28DF"/>
    <w:rsid w:val="00CA29C6"/>
    <w:rsid w:val="00CA2A1A"/>
    <w:rsid w:val="00CA2A59"/>
    <w:rsid w:val="00CA2A97"/>
    <w:rsid w:val="00CA2ACF"/>
    <w:rsid w:val="00CA2B27"/>
    <w:rsid w:val="00CA2CA7"/>
    <w:rsid w:val="00CA2D4F"/>
    <w:rsid w:val="00CA2D60"/>
    <w:rsid w:val="00CA2E34"/>
    <w:rsid w:val="00CA2F7A"/>
    <w:rsid w:val="00CA2FC6"/>
    <w:rsid w:val="00CA3152"/>
    <w:rsid w:val="00CA3169"/>
    <w:rsid w:val="00CA31F7"/>
    <w:rsid w:val="00CA31FF"/>
    <w:rsid w:val="00CA32B2"/>
    <w:rsid w:val="00CA32EC"/>
    <w:rsid w:val="00CA337C"/>
    <w:rsid w:val="00CA33D7"/>
    <w:rsid w:val="00CA349D"/>
    <w:rsid w:val="00CA358F"/>
    <w:rsid w:val="00CA35BE"/>
    <w:rsid w:val="00CA3613"/>
    <w:rsid w:val="00CA3683"/>
    <w:rsid w:val="00CA375C"/>
    <w:rsid w:val="00CA3794"/>
    <w:rsid w:val="00CA37A7"/>
    <w:rsid w:val="00CA37E8"/>
    <w:rsid w:val="00CA3832"/>
    <w:rsid w:val="00CA3886"/>
    <w:rsid w:val="00CA3B82"/>
    <w:rsid w:val="00CA3BB4"/>
    <w:rsid w:val="00CA3D12"/>
    <w:rsid w:val="00CA3E14"/>
    <w:rsid w:val="00CA3ED7"/>
    <w:rsid w:val="00CA3F1B"/>
    <w:rsid w:val="00CA3FC8"/>
    <w:rsid w:val="00CA40B8"/>
    <w:rsid w:val="00CA417D"/>
    <w:rsid w:val="00CA424A"/>
    <w:rsid w:val="00CA42C2"/>
    <w:rsid w:val="00CA4412"/>
    <w:rsid w:val="00CA453B"/>
    <w:rsid w:val="00CA4552"/>
    <w:rsid w:val="00CA4586"/>
    <w:rsid w:val="00CA4596"/>
    <w:rsid w:val="00CA45E6"/>
    <w:rsid w:val="00CA4618"/>
    <w:rsid w:val="00CA470F"/>
    <w:rsid w:val="00CA4776"/>
    <w:rsid w:val="00CA479F"/>
    <w:rsid w:val="00CA47F7"/>
    <w:rsid w:val="00CA48D4"/>
    <w:rsid w:val="00CA48DF"/>
    <w:rsid w:val="00CA4946"/>
    <w:rsid w:val="00CA49B7"/>
    <w:rsid w:val="00CA4AD9"/>
    <w:rsid w:val="00CA4B30"/>
    <w:rsid w:val="00CA4B8A"/>
    <w:rsid w:val="00CA4BBF"/>
    <w:rsid w:val="00CA4C4A"/>
    <w:rsid w:val="00CA4C65"/>
    <w:rsid w:val="00CA4D8E"/>
    <w:rsid w:val="00CA4DD1"/>
    <w:rsid w:val="00CA4E61"/>
    <w:rsid w:val="00CA5063"/>
    <w:rsid w:val="00CA5066"/>
    <w:rsid w:val="00CA50C0"/>
    <w:rsid w:val="00CA521E"/>
    <w:rsid w:val="00CA529A"/>
    <w:rsid w:val="00CA52EB"/>
    <w:rsid w:val="00CA53D5"/>
    <w:rsid w:val="00CA5402"/>
    <w:rsid w:val="00CA5557"/>
    <w:rsid w:val="00CA5569"/>
    <w:rsid w:val="00CA5589"/>
    <w:rsid w:val="00CA5733"/>
    <w:rsid w:val="00CA5741"/>
    <w:rsid w:val="00CA57C4"/>
    <w:rsid w:val="00CA57DF"/>
    <w:rsid w:val="00CA586D"/>
    <w:rsid w:val="00CA58A1"/>
    <w:rsid w:val="00CA593A"/>
    <w:rsid w:val="00CA5945"/>
    <w:rsid w:val="00CA5989"/>
    <w:rsid w:val="00CA5CAB"/>
    <w:rsid w:val="00CA5CE7"/>
    <w:rsid w:val="00CA5DAF"/>
    <w:rsid w:val="00CA5E84"/>
    <w:rsid w:val="00CA5F05"/>
    <w:rsid w:val="00CA5F60"/>
    <w:rsid w:val="00CA5FCA"/>
    <w:rsid w:val="00CA60FA"/>
    <w:rsid w:val="00CA6129"/>
    <w:rsid w:val="00CA6254"/>
    <w:rsid w:val="00CA62D4"/>
    <w:rsid w:val="00CA6381"/>
    <w:rsid w:val="00CA64D0"/>
    <w:rsid w:val="00CA64F3"/>
    <w:rsid w:val="00CA652D"/>
    <w:rsid w:val="00CA654C"/>
    <w:rsid w:val="00CA6592"/>
    <w:rsid w:val="00CA6733"/>
    <w:rsid w:val="00CA67A1"/>
    <w:rsid w:val="00CA6802"/>
    <w:rsid w:val="00CA6AE3"/>
    <w:rsid w:val="00CA6B06"/>
    <w:rsid w:val="00CA6C93"/>
    <w:rsid w:val="00CA6DA4"/>
    <w:rsid w:val="00CA6E77"/>
    <w:rsid w:val="00CA6F62"/>
    <w:rsid w:val="00CA7096"/>
    <w:rsid w:val="00CA71A4"/>
    <w:rsid w:val="00CA75B7"/>
    <w:rsid w:val="00CA766B"/>
    <w:rsid w:val="00CA7730"/>
    <w:rsid w:val="00CA7739"/>
    <w:rsid w:val="00CA780B"/>
    <w:rsid w:val="00CA781C"/>
    <w:rsid w:val="00CA7835"/>
    <w:rsid w:val="00CA787A"/>
    <w:rsid w:val="00CA789D"/>
    <w:rsid w:val="00CA7A04"/>
    <w:rsid w:val="00CA7AF6"/>
    <w:rsid w:val="00CA7B86"/>
    <w:rsid w:val="00CA7BD7"/>
    <w:rsid w:val="00CA7C7A"/>
    <w:rsid w:val="00CA7CC1"/>
    <w:rsid w:val="00CA7E31"/>
    <w:rsid w:val="00CA7E61"/>
    <w:rsid w:val="00CA7F6D"/>
    <w:rsid w:val="00CB00D5"/>
    <w:rsid w:val="00CB00FD"/>
    <w:rsid w:val="00CB04F8"/>
    <w:rsid w:val="00CB0579"/>
    <w:rsid w:val="00CB0623"/>
    <w:rsid w:val="00CB06FF"/>
    <w:rsid w:val="00CB08AA"/>
    <w:rsid w:val="00CB08F2"/>
    <w:rsid w:val="00CB09CD"/>
    <w:rsid w:val="00CB09FC"/>
    <w:rsid w:val="00CB0BC0"/>
    <w:rsid w:val="00CB0BFF"/>
    <w:rsid w:val="00CB0C38"/>
    <w:rsid w:val="00CB0CDF"/>
    <w:rsid w:val="00CB0DEE"/>
    <w:rsid w:val="00CB10FB"/>
    <w:rsid w:val="00CB1155"/>
    <w:rsid w:val="00CB11E2"/>
    <w:rsid w:val="00CB125D"/>
    <w:rsid w:val="00CB1548"/>
    <w:rsid w:val="00CB1740"/>
    <w:rsid w:val="00CB1743"/>
    <w:rsid w:val="00CB17FB"/>
    <w:rsid w:val="00CB18F1"/>
    <w:rsid w:val="00CB19F3"/>
    <w:rsid w:val="00CB1A41"/>
    <w:rsid w:val="00CB1AA0"/>
    <w:rsid w:val="00CB1AB0"/>
    <w:rsid w:val="00CB1ACC"/>
    <w:rsid w:val="00CB1B99"/>
    <w:rsid w:val="00CB1C09"/>
    <w:rsid w:val="00CB1C3E"/>
    <w:rsid w:val="00CB1C82"/>
    <w:rsid w:val="00CB1DB6"/>
    <w:rsid w:val="00CB2020"/>
    <w:rsid w:val="00CB207D"/>
    <w:rsid w:val="00CB2118"/>
    <w:rsid w:val="00CB21BC"/>
    <w:rsid w:val="00CB23F9"/>
    <w:rsid w:val="00CB24E0"/>
    <w:rsid w:val="00CB262B"/>
    <w:rsid w:val="00CB27FD"/>
    <w:rsid w:val="00CB2941"/>
    <w:rsid w:val="00CB29EA"/>
    <w:rsid w:val="00CB2A1E"/>
    <w:rsid w:val="00CB2BD3"/>
    <w:rsid w:val="00CB2BFF"/>
    <w:rsid w:val="00CB2C0C"/>
    <w:rsid w:val="00CB2C5B"/>
    <w:rsid w:val="00CB2C5F"/>
    <w:rsid w:val="00CB2C6A"/>
    <w:rsid w:val="00CB2CB0"/>
    <w:rsid w:val="00CB2D4C"/>
    <w:rsid w:val="00CB2EB5"/>
    <w:rsid w:val="00CB2EC4"/>
    <w:rsid w:val="00CB2EE5"/>
    <w:rsid w:val="00CB2FAC"/>
    <w:rsid w:val="00CB2FCF"/>
    <w:rsid w:val="00CB3080"/>
    <w:rsid w:val="00CB30A5"/>
    <w:rsid w:val="00CB3124"/>
    <w:rsid w:val="00CB3317"/>
    <w:rsid w:val="00CB33BE"/>
    <w:rsid w:val="00CB3444"/>
    <w:rsid w:val="00CB34A1"/>
    <w:rsid w:val="00CB34D5"/>
    <w:rsid w:val="00CB378E"/>
    <w:rsid w:val="00CB379B"/>
    <w:rsid w:val="00CB3800"/>
    <w:rsid w:val="00CB392F"/>
    <w:rsid w:val="00CB3A08"/>
    <w:rsid w:val="00CB3D6A"/>
    <w:rsid w:val="00CB3E30"/>
    <w:rsid w:val="00CB3E44"/>
    <w:rsid w:val="00CB3E74"/>
    <w:rsid w:val="00CB3F3B"/>
    <w:rsid w:val="00CB42F0"/>
    <w:rsid w:val="00CB4301"/>
    <w:rsid w:val="00CB437A"/>
    <w:rsid w:val="00CB43BC"/>
    <w:rsid w:val="00CB4429"/>
    <w:rsid w:val="00CB4611"/>
    <w:rsid w:val="00CB4688"/>
    <w:rsid w:val="00CB46A0"/>
    <w:rsid w:val="00CB4768"/>
    <w:rsid w:val="00CB47F1"/>
    <w:rsid w:val="00CB48A6"/>
    <w:rsid w:val="00CB4914"/>
    <w:rsid w:val="00CB49F2"/>
    <w:rsid w:val="00CB4A07"/>
    <w:rsid w:val="00CB4B18"/>
    <w:rsid w:val="00CB4BA4"/>
    <w:rsid w:val="00CB4BA8"/>
    <w:rsid w:val="00CB4CCC"/>
    <w:rsid w:val="00CB4D39"/>
    <w:rsid w:val="00CB4D5B"/>
    <w:rsid w:val="00CB4E76"/>
    <w:rsid w:val="00CB4EDD"/>
    <w:rsid w:val="00CB4F84"/>
    <w:rsid w:val="00CB4FF6"/>
    <w:rsid w:val="00CB52FC"/>
    <w:rsid w:val="00CB5378"/>
    <w:rsid w:val="00CB541F"/>
    <w:rsid w:val="00CB546D"/>
    <w:rsid w:val="00CB5477"/>
    <w:rsid w:val="00CB54E3"/>
    <w:rsid w:val="00CB552A"/>
    <w:rsid w:val="00CB559C"/>
    <w:rsid w:val="00CB56B5"/>
    <w:rsid w:val="00CB57F1"/>
    <w:rsid w:val="00CB589E"/>
    <w:rsid w:val="00CB593D"/>
    <w:rsid w:val="00CB5C6D"/>
    <w:rsid w:val="00CB5CA5"/>
    <w:rsid w:val="00CB5E58"/>
    <w:rsid w:val="00CB5EAF"/>
    <w:rsid w:val="00CB60C4"/>
    <w:rsid w:val="00CB6132"/>
    <w:rsid w:val="00CB617F"/>
    <w:rsid w:val="00CB6321"/>
    <w:rsid w:val="00CB647B"/>
    <w:rsid w:val="00CB650D"/>
    <w:rsid w:val="00CB65A7"/>
    <w:rsid w:val="00CB65E7"/>
    <w:rsid w:val="00CB6635"/>
    <w:rsid w:val="00CB6665"/>
    <w:rsid w:val="00CB6762"/>
    <w:rsid w:val="00CB67ED"/>
    <w:rsid w:val="00CB6912"/>
    <w:rsid w:val="00CB6B97"/>
    <w:rsid w:val="00CB6DC1"/>
    <w:rsid w:val="00CB6DE3"/>
    <w:rsid w:val="00CB6DEF"/>
    <w:rsid w:val="00CB6E08"/>
    <w:rsid w:val="00CB6FAC"/>
    <w:rsid w:val="00CB6FEA"/>
    <w:rsid w:val="00CB708A"/>
    <w:rsid w:val="00CB719B"/>
    <w:rsid w:val="00CB7245"/>
    <w:rsid w:val="00CB7285"/>
    <w:rsid w:val="00CB7286"/>
    <w:rsid w:val="00CB743F"/>
    <w:rsid w:val="00CB744B"/>
    <w:rsid w:val="00CB747A"/>
    <w:rsid w:val="00CB74DE"/>
    <w:rsid w:val="00CB761C"/>
    <w:rsid w:val="00CB769D"/>
    <w:rsid w:val="00CB76F9"/>
    <w:rsid w:val="00CB7744"/>
    <w:rsid w:val="00CB774E"/>
    <w:rsid w:val="00CB7777"/>
    <w:rsid w:val="00CB791F"/>
    <w:rsid w:val="00CB7927"/>
    <w:rsid w:val="00CB799E"/>
    <w:rsid w:val="00CB7B23"/>
    <w:rsid w:val="00CB7D8B"/>
    <w:rsid w:val="00CB7DE8"/>
    <w:rsid w:val="00CB7F74"/>
    <w:rsid w:val="00CB7FBE"/>
    <w:rsid w:val="00CC0005"/>
    <w:rsid w:val="00CC008C"/>
    <w:rsid w:val="00CC028E"/>
    <w:rsid w:val="00CC0299"/>
    <w:rsid w:val="00CC02E5"/>
    <w:rsid w:val="00CC04A9"/>
    <w:rsid w:val="00CC0894"/>
    <w:rsid w:val="00CC0909"/>
    <w:rsid w:val="00CC0936"/>
    <w:rsid w:val="00CC0A57"/>
    <w:rsid w:val="00CC0AF6"/>
    <w:rsid w:val="00CC0B4A"/>
    <w:rsid w:val="00CC0B9C"/>
    <w:rsid w:val="00CC0BB3"/>
    <w:rsid w:val="00CC0C11"/>
    <w:rsid w:val="00CC0C61"/>
    <w:rsid w:val="00CC0CBF"/>
    <w:rsid w:val="00CC0CD5"/>
    <w:rsid w:val="00CC0D65"/>
    <w:rsid w:val="00CC0DFE"/>
    <w:rsid w:val="00CC0E83"/>
    <w:rsid w:val="00CC105C"/>
    <w:rsid w:val="00CC1069"/>
    <w:rsid w:val="00CC10A1"/>
    <w:rsid w:val="00CC1190"/>
    <w:rsid w:val="00CC128E"/>
    <w:rsid w:val="00CC1396"/>
    <w:rsid w:val="00CC13A0"/>
    <w:rsid w:val="00CC13A6"/>
    <w:rsid w:val="00CC13D4"/>
    <w:rsid w:val="00CC142B"/>
    <w:rsid w:val="00CC1463"/>
    <w:rsid w:val="00CC1526"/>
    <w:rsid w:val="00CC17FD"/>
    <w:rsid w:val="00CC1876"/>
    <w:rsid w:val="00CC1882"/>
    <w:rsid w:val="00CC18C7"/>
    <w:rsid w:val="00CC193C"/>
    <w:rsid w:val="00CC196F"/>
    <w:rsid w:val="00CC1A31"/>
    <w:rsid w:val="00CC1A50"/>
    <w:rsid w:val="00CC1A95"/>
    <w:rsid w:val="00CC1BBA"/>
    <w:rsid w:val="00CC1BF6"/>
    <w:rsid w:val="00CC1C83"/>
    <w:rsid w:val="00CC1EDA"/>
    <w:rsid w:val="00CC1FA3"/>
    <w:rsid w:val="00CC1FA9"/>
    <w:rsid w:val="00CC1FBB"/>
    <w:rsid w:val="00CC2071"/>
    <w:rsid w:val="00CC2162"/>
    <w:rsid w:val="00CC21AF"/>
    <w:rsid w:val="00CC21F2"/>
    <w:rsid w:val="00CC2210"/>
    <w:rsid w:val="00CC2215"/>
    <w:rsid w:val="00CC24AC"/>
    <w:rsid w:val="00CC26C0"/>
    <w:rsid w:val="00CC28B8"/>
    <w:rsid w:val="00CC28FD"/>
    <w:rsid w:val="00CC290D"/>
    <w:rsid w:val="00CC2C07"/>
    <w:rsid w:val="00CC2C3E"/>
    <w:rsid w:val="00CC2C4C"/>
    <w:rsid w:val="00CC2DF3"/>
    <w:rsid w:val="00CC2F26"/>
    <w:rsid w:val="00CC301D"/>
    <w:rsid w:val="00CC31A2"/>
    <w:rsid w:val="00CC32C3"/>
    <w:rsid w:val="00CC32D1"/>
    <w:rsid w:val="00CC33EF"/>
    <w:rsid w:val="00CC3467"/>
    <w:rsid w:val="00CC3755"/>
    <w:rsid w:val="00CC3812"/>
    <w:rsid w:val="00CC382D"/>
    <w:rsid w:val="00CC38F1"/>
    <w:rsid w:val="00CC39AD"/>
    <w:rsid w:val="00CC39D4"/>
    <w:rsid w:val="00CC39D5"/>
    <w:rsid w:val="00CC39DB"/>
    <w:rsid w:val="00CC3A3A"/>
    <w:rsid w:val="00CC3AFB"/>
    <w:rsid w:val="00CC3B5E"/>
    <w:rsid w:val="00CC3D3C"/>
    <w:rsid w:val="00CC3EBE"/>
    <w:rsid w:val="00CC3F00"/>
    <w:rsid w:val="00CC3F03"/>
    <w:rsid w:val="00CC40BF"/>
    <w:rsid w:val="00CC42F7"/>
    <w:rsid w:val="00CC4315"/>
    <w:rsid w:val="00CC43E5"/>
    <w:rsid w:val="00CC4586"/>
    <w:rsid w:val="00CC460F"/>
    <w:rsid w:val="00CC46EE"/>
    <w:rsid w:val="00CC475E"/>
    <w:rsid w:val="00CC48E6"/>
    <w:rsid w:val="00CC48FC"/>
    <w:rsid w:val="00CC4BCD"/>
    <w:rsid w:val="00CC4CCE"/>
    <w:rsid w:val="00CC4D51"/>
    <w:rsid w:val="00CC4DB8"/>
    <w:rsid w:val="00CC4E44"/>
    <w:rsid w:val="00CC4E72"/>
    <w:rsid w:val="00CC4F34"/>
    <w:rsid w:val="00CC501E"/>
    <w:rsid w:val="00CC5091"/>
    <w:rsid w:val="00CC520D"/>
    <w:rsid w:val="00CC521D"/>
    <w:rsid w:val="00CC527D"/>
    <w:rsid w:val="00CC5459"/>
    <w:rsid w:val="00CC54C6"/>
    <w:rsid w:val="00CC561C"/>
    <w:rsid w:val="00CC564E"/>
    <w:rsid w:val="00CC56C3"/>
    <w:rsid w:val="00CC570D"/>
    <w:rsid w:val="00CC5792"/>
    <w:rsid w:val="00CC5911"/>
    <w:rsid w:val="00CC5CA7"/>
    <w:rsid w:val="00CC5CB1"/>
    <w:rsid w:val="00CC5D88"/>
    <w:rsid w:val="00CC5E12"/>
    <w:rsid w:val="00CC5E51"/>
    <w:rsid w:val="00CC5FBA"/>
    <w:rsid w:val="00CC605C"/>
    <w:rsid w:val="00CC624E"/>
    <w:rsid w:val="00CC6325"/>
    <w:rsid w:val="00CC6512"/>
    <w:rsid w:val="00CC659E"/>
    <w:rsid w:val="00CC6629"/>
    <w:rsid w:val="00CC671A"/>
    <w:rsid w:val="00CC6759"/>
    <w:rsid w:val="00CC67D1"/>
    <w:rsid w:val="00CC6927"/>
    <w:rsid w:val="00CC69FE"/>
    <w:rsid w:val="00CC6B32"/>
    <w:rsid w:val="00CC6B90"/>
    <w:rsid w:val="00CC6C1B"/>
    <w:rsid w:val="00CC6C31"/>
    <w:rsid w:val="00CC6FDE"/>
    <w:rsid w:val="00CC6FE3"/>
    <w:rsid w:val="00CC73A6"/>
    <w:rsid w:val="00CC7462"/>
    <w:rsid w:val="00CC74B1"/>
    <w:rsid w:val="00CC74D0"/>
    <w:rsid w:val="00CC760C"/>
    <w:rsid w:val="00CC7815"/>
    <w:rsid w:val="00CC79B0"/>
    <w:rsid w:val="00CC79E8"/>
    <w:rsid w:val="00CC79F3"/>
    <w:rsid w:val="00CC7A76"/>
    <w:rsid w:val="00CC7A97"/>
    <w:rsid w:val="00CC7BD4"/>
    <w:rsid w:val="00CC7CC8"/>
    <w:rsid w:val="00CC7D1D"/>
    <w:rsid w:val="00CC7DDD"/>
    <w:rsid w:val="00CC7E86"/>
    <w:rsid w:val="00CC7FF6"/>
    <w:rsid w:val="00CD00FE"/>
    <w:rsid w:val="00CD0132"/>
    <w:rsid w:val="00CD0362"/>
    <w:rsid w:val="00CD0433"/>
    <w:rsid w:val="00CD0559"/>
    <w:rsid w:val="00CD059B"/>
    <w:rsid w:val="00CD0636"/>
    <w:rsid w:val="00CD06A8"/>
    <w:rsid w:val="00CD07F2"/>
    <w:rsid w:val="00CD0839"/>
    <w:rsid w:val="00CD09E2"/>
    <w:rsid w:val="00CD0A04"/>
    <w:rsid w:val="00CD0A35"/>
    <w:rsid w:val="00CD0A48"/>
    <w:rsid w:val="00CD0A71"/>
    <w:rsid w:val="00CD0AC9"/>
    <w:rsid w:val="00CD0D3A"/>
    <w:rsid w:val="00CD0D51"/>
    <w:rsid w:val="00CD0E25"/>
    <w:rsid w:val="00CD0E5D"/>
    <w:rsid w:val="00CD0F48"/>
    <w:rsid w:val="00CD0FD0"/>
    <w:rsid w:val="00CD0FDD"/>
    <w:rsid w:val="00CD1032"/>
    <w:rsid w:val="00CD108D"/>
    <w:rsid w:val="00CD10D0"/>
    <w:rsid w:val="00CD10D3"/>
    <w:rsid w:val="00CD1131"/>
    <w:rsid w:val="00CD1243"/>
    <w:rsid w:val="00CD12C7"/>
    <w:rsid w:val="00CD130C"/>
    <w:rsid w:val="00CD152B"/>
    <w:rsid w:val="00CD1572"/>
    <w:rsid w:val="00CD17B3"/>
    <w:rsid w:val="00CD17FC"/>
    <w:rsid w:val="00CD191D"/>
    <w:rsid w:val="00CD19EC"/>
    <w:rsid w:val="00CD1C49"/>
    <w:rsid w:val="00CD1C58"/>
    <w:rsid w:val="00CD1D79"/>
    <w:rsid w:val="00CD1DC3"/>
    <w:rsid w:val="00CD1E4A"/>
    <w:rsid w:val="00CD1E88"/>
    <w:rsid w:val="00CD1EF0"/>
    <w:rsid w:val="00CD1F37"/>
    <w:rsid w:val="00CD1FD5"/>
    <w:rsid w:val="00CD1FDE"/>
    <w:rsid w:val="00CD1FEB"/>
    <w:rsid w:val="00CD2318"/>
    <w:rsid w:val="00CD23BC"/>
    <w:rsid w:val="00CD23F9"/>
    <w:rsid w:val="00CD240D"/>
    <w:rsid w:val="00CD27E6"/>
    <w:rsid w:val="00CD27F3"/>
    <w:rsid w:val="00CD2807"/>
    <w:rsid w:val="00CD280B"/>
    <w:rsid w:val="00CD2833"/>
    <w:rsid w:val="00CD2842"/>
    <w:rsid w:val="00CD2844"/>
    <w:rsid w:val="00CD289C"/>
    <w:rsid w:val="00CD28EB"/>
    <w:rsid w:val="00CD291F"/>
    <w:rsid w:val="00CD294C"/>
    <w:rsid w:val="00CD29C6"/>
    <w:rsid w:val="00CD2A58"/>
    <w:rsid w:val="00CD2B83"/>
    <w:rsid w:val="00CD2BCA"/>
    <w:rsid w:val="00CD2C21"/>
    <w:rsid w:val="00CD2D34"/>
    <w:rsid w:val="00CD2EEA"/>
    <w:rsid w:val="00CD2EF7"/>
    <w:rsid w:val="00CD2FB6"/>
    <w:rsid w:val="00CD3020"/>
    <w:rsid w:val="00CD305F"/>
    <w:rsid w:val="00CD30C0"/>
    <w:rsid w:val="00CD30FC"/>
    <w:rsid w:val="00CD327B"/>
    <w:rsid w:val="00CD3379"/>
    <w:rsid w:val="00CD340A"/>
    <w:rsid w:val="00CD344A"/>
    <w:rsid w:val="00CD3506"/>
    <w:rsid w:val="00CD357F"/>
    <w:rsid w:val="00CD35CA"/>
    <w:rsid w:val="00CD35D5"/>
    <w:rsid w:val="00CD3703"/>
    <w:rsid w:val="00CD3733"/>
    <w:rsid w:val="00CD3908"/>
    <w:rsid w:val="00CD3946"/>
    <w:rsid w:val="00CD3972"/>
    <w:rsid w:val="00CD3AE8"/>
    <w:rsid w:val="00CD3B71"/>
    <w:rsid w:val="00CD3B94"/>
    <w:rsid w:val="00CD3BEA"/>
    <w:rsid w:val="00CD3EF6"/>
    <w:rsid w:val="00CD3F6B"/>
    <w:rsid w:val="00CD4033"/>
    <w:rsid w:val="00CD41FF"/>
    <w:rsid w:val="00CD4286"/>
    <w:rsid w:val="00CD43FD"/>
    <w:rsid w:val="00CD450F"/>
    <w:rsid w:val="00CD46EB"/>
    <w:rsid w:val="00CD47E6"/>
    <w:rsid w:val="00CD47F3"/>
    <w:rsid w:val="00CD4A96"/>
    <w:rsid w:val="00CD4AA0"/>
    <w:rsid w:val="00CD4AAB"/>
    <w:rsid w:val="00CD4AB9"/>
    <w:rsid w:val="00CD4BE0"/>
    <w:rsid w:val="00CD4CB0"/>
    <w:rsid w:val="00CD4CBA"/>
    <w:rsid w:val="00CD4D15"/>
    <w:rsid w:val="00CD4FCB"/>
    <w:rsid w:val="00CD4FD1"/>
    <w:rsid w:val="00CD5016"/>
    <w:rsid w:val="00CD5021"/>
    <w:rsid w:val="00CD5044"/>
    <w:rsid w:val="00CD5285"/>
    <w:rsid w:val="00CD53B5"/>
    <w:rsid w:val="00CD53E8"/>
    <w:rsid w:val="00CD5492"/>
    <w:rsid w:val="00CD54C4"/>
    <w:rsid w:val="00CD5560"/>
    <w:rsid w:val="00CD55F8"/>
    <w:rsid w:val="00CD5604"/>
    <w:rsid w:val="00CD5690"/>
    <w:rsid w:val="00CD56C9"/>
    <w:rsid w:val="00CD5890"/>
    <w:rsid w:val="00CD58F7"/>
    <w:rsid w:val="00CD5928"/>
    <w:rsid w:val="00CD5A73"/>
    <w:rsid w:val="00CD5A7C"/>
    <w:rsid w:val="00CD5A92"/>
    <w:rsid w:val="00CD5C83"/>
    <w:rsid w:val="00CD5D2F"/>
    <w:rsid w:val="00CD5E34"/>
    <w:rsid w:val="00CD5E9F"/>
    <w:rsid w:val="00CD6046"/>
    <w:rsid w:val="00CD6124"/>
    <w:rsid w:val="00CD613B"/>
    <w:rsid w:val="00CD62D3"/>
    <w:rsid w:val="00CD640C"/>
    <w:rsid w:val="00CD6426"/>
    <w:rsid w:val="00CD664B"/>
    <w:rsid w:val="00CD6653"/>
    <w:rsid w:val="00CD66A7"/>
    <w:rsid w:val="00CD676E"/>
    <w:rsid w:val="00CD67DF"/>
    <w:rsid w:val="00CD68D9"/>
    <w:rsid w:val="00CD695D"/>
    <w:rsid w:val="00CD6A5B"/>
    <w:rsid w:val="00CD6A6D"/>
    <w:rsid w:val="00CD6AB1"/>
    <w:rsid w:val="00CD6AE6"/>
    <w:rsid w:val="00CD6BFF"/>
    <w:rsid w:val="00CD6C5C"/>
    <w:rsid w:val="00CD6D0C"/>
    <w:rsid w:val="00CD6D0D"/>
    <w:rsid w:val="00CD6EBA"/>
    <w:rsid w:val="00CD6F4F"/>
    <w:rsid w:val="00CD6FDB"/>
    <w:rsid w:val="00CD7007"/>
    <w:rsid w:val="00CD7089"/>
    <w:rsid w:val="00CD709E"/>
    <w:rsid w:val="00CD72B2"/>
    <w:rsid w:val="00CD743E"/>
    <w:rsid w:val="00CD74E7"/>
    <w:rsid w:val="00CD753F"/>
    <w:rsid w:val="00CD757A"/>
    <w:rsid w:val="00CD75D9"/>
    <w:rsid w:val="00CD77E8"/>
    <w:rsid w:val="00CD7A3D"/>
    <w:rsid w:val="00CD7A93"/>
    <w:rsid w:val="00CD7AF8"/>
    <w:rsid w:val="00CD7B41"/>
    <w:rsid w:val="00CD7DB2"/>
    <w:rsid w:val="00CD7DC3"/>
    <w:rsid w:val="00CD7E0A"/>
    <w:rsid w:val="00CD7E5F"/>
    <w:rsid w:val="00CD7F0E"/>
    <w:rsid w:val="00CD7F47"/>
    <w:rsid w:val="00CE0048"/>
    <w:rsid w:val="00CE0274"/>
    <w:rsid w:val="00CE0291"/>
    <w:rsid w:val="00CE032C"/>
    <w:rsid w:val="00CE041E"/>
    <w:rsid w:val="00CE0572"/>
    <w:rsid w:val="00CE0649"/>
    <w:rsid w:val="00CE0740"/>
    <w:rsid w:val="00CE076E"/>
    <w:rsid w:val="00CE0799"/>
    <w:rsid w:val="00CE08E8"/>
    <w:rsid w:val="00CE096D"/>
    <w:rsid w:val="00CE0A0B"/>
    <w:rsid w:val="00CE0A31"/>
    <w:rsid w:val="00CE0A7B"/>
    <w:rsid w:val="00CE0B96"/>
    <w:rsid w:val="00CE0BC4"/>
    <w:rsid w:val="00CE0C83"/>
    <w:rsid w:val="00CE0CF1"/>
    <w:rsid w:val="00CE0D42"/>
    <w:rsid w:val="00CE0D4D"/>
    <w:rsid w:val="00CE0D81"/>
    <w:rsid w:val="00CE0E33"/>
    <w:rsid w:val="00CE0E35"/>
    <w:rsid w:val="00CE0FAC"/>
    <w:rsid w:val="00CE10ED"/>
    <w:rsid w:val="00CE1100"/>
    <w:rsid w:val="00CE1283"/>
    <w:rsid w:val="00CE1358"/>
    <w:rsid w:val="00CE1380"/>
    <w:rsid w:val="00CE13B0"/>
    <w:rsid w:val="00CE15A7"/>
    <w:rsid w:val="00CE15CC"/>
    <w:rsid w:val="00CE1602"/>
    <w:rsid w:val="00CE1617"/>
    <w:rsid w:val="00CE16FE"/>
    <w:rsid w:val="00CE17D0"/>
    <w:rsid w:val="00CE17E7"/>
    <w:rsid w:val="00CE17FB"/>
    <w:rsid w:val="00CE1833"/>
    <w:rsid w:val="00CE183B"/>
    <w:rsid w:val="00CE1AAF"/>
    <w:rsid w:val="00CE1C23"/>
    <w:rsid w:val="00CE1C6B"/>
    <w:rsid w:val="00CE1CC3"/>
    <w:rsid w:val="00CE1D1C"/>
    <w:rsid w:val="00CE1D72"/>
    <w:rsid w:val="00CE1DBB"/>
    <w:rsid w:val="00CE1F7C"/>
    <w:rsid w:val="00CE1F8B"/>
    <w:rsid w:val="00CE1FCF"/>
    <w:rsid w:val="00CE1FD5"/>
    <w:rsid w:val="00CE20E1"/>
    <w:rsid w:val="00CE2114"/>
    <w:rsid w:val="00CE215A"/>
    <w:rsid w:val="00CE2211"/>
    <w:rsid w:val="00CE22FC"/>
    <w:rsid w:val="00CE2442"/>
    <w:rsid w:val="00CE25C6"/>
    <w:rsid w:val="00CE26B1"/>
    <w:rsid w:val="00CE2884"/>
    <w:rsid w:val="00CE28C0"/>
    <w:rsid w:val="00CE2969"/>
    <w:rsid w:val="00CE2A1C"/>
    <w:rsid w:val="00CE2ABA"/>
    <w:rsid w:val="00CE2B3E"/>
    <w:rsid w:val="00CE2B8F"/>
    <w:rsid w:val="00CE2B94"/>
    <w:rsid w:val="00CE2BAF"/>
    <w:rsid w:val="00CE2BD8"/>
    <w:rsid w:val="00CE2C5A"/>
    <w:rsid w:val="00CE2DFB"/>
    <w:rsid w:val="00CE2F24"/>
    <w:rsid w:val="00CE2F7E"/>
    <w:rsid w:val="00CE2FC5"/>
    <w:rsid w:val="00CE3155"/>
    <w:rsid w:val="00CE3167"/>
    <w:rsid w:val="00CE32FC"/>
    <w:rsid w:val="00CE344C"/>
    <w:rsid w:val="00CE3614"/>
    <w:rsid w:val="00CE36B0"/>
    <w:rsid w:val="00CE3749"/>
    <w:rsid w:val="00CE3786"/>
    <w:rsid w:val="00CE3837"/>
    <w:rsid w:val="00CE3958"/>
    <w:rsid w:val="00CE3AE8"/>
    <w:rsid w:val="00CE3D6F"/>
    <w:rsid w:val="00CE3DDF"/>
    <w:rsid w:val="00CE3DF1"/>
    <w:rsid w:val="00CE3E40"/>
    <w:rsid w:val="00CE3FCD"/>
    <w:rsid w:val="00CE40BC"/>
    <w:rsid w:val="00CE4112"/>
    <w:rsid w:val="00CE426B"/>
    <w:rsid w:val="00CE4519"/>
    <w:rsid w:val="00CE45DB"/>
    <w:rsid w:val="00CE45DE"/>
    <w:rsid w:val="00CE4655"/>
    <w:rsid w:val="00CE47B9"/>
    <w:rsid w:val="00CE4920"/>
    <w:rsid w:val="00CE49D0"/>
    <w:rsid w:val="00CE4A34"/>
    <w:rsid w:val="00CE4A4A"/>
    <w:rsid w:val="00CE4AEB"/>
    <w:rsid w:val="00CE4AF5"/>
    <w:rsid w:val="00CE4B40"/>
    <w:rsid w:val="00CE4BFE"/>
    <w:rsid w:val="00CE4DE5"/>
    <w:rsid w:val="00CE4E87"/>
    <w:rsid w:val="00CE4E92"/>
    <w:rsid w:val="00CE4EBA"/>
    <w:rsid w:val="00CE4F14"/>
    <w:rsid w:val="00CE4FA2"/>
    <w:rsid w:val="00CE50E3"/>
    <w:rsid w:val="00CE5105"/>
    <w:rsid w:val="00CE5133"/>
    <w:rsid w:val="00CE53A6"/>
    <w:rsid w:val="00CE566E"/>
    <w:rsid w:val="00CE583F"/>
    <w:rsid w:val="00CE5945"/>
    <w:rsid w:val="00CE597E"/>
    <w:rsid w:val="00CE5BFA"/>
    <w:rsid w:val="00CE5C4F"/>
    <w:rsid w:val="00CE5E7F"/>
    <w:rsid w:val="00CE5FA1"/>
    <w:rsid w:val="00CE6011"/>
    <w:rsid w:val="00CE6191"/>
    <w:rsid w:val="00CE627A"/>
    <w:rsid w:val="00CE6395"/>
    <w:rsid w:val="00CE6403"/>
    <w:rsid w:val="00CE64A2"/>
    <w:rsid w:val="00CE64B6"/>
    <w:rsid w:val="00CE6501"/>
    <w:rsid w:val="00CE658E"/>
    <w:rsid w:val="00CE6657"/>
    <w:rsid w:val="00CE6681"/>
    <w:rsid w:val="00CE66B8"/>
    <w:rsid w:val="00CE6715"/>
    <w:rsid w:val="00CE6759"/>
    <w:rsid w:val="00CE675B"/>
    <w:rsid w:val="00CE6812"/>
    <w:rsid w:val="00CE681B"/>
    <w:rsid w:val="00CE68C7"/>
    <w:rsid w:val="00CE6993"/>
    <w:rsid w:val="00CE6A6E"/>
    <w:rsid w:val="00CE6B14"/>
    <w:rsid w:val="00CE6B63"/>
    <w:rsid w:val="00CE6DF2"/>
    <w:rsid w:val="00CE6EA5"/>
    <w:rsid w:val="00CE6F64"/>
    <w:rsid w:val="00CE6F72"/>
    <w:rsid w:val="00CE6FAF"/>
    <w:rsid w:val="00CE70C8"/>
    <w:rsid w:val="00CE719F"/>
    <w:rsid w:val="00CE73AA"/>
    <w:rsid w:val="00CE748E"/>
    <w:rsid w:val="00CE74A9"/>
    <w:rsid w:val="00CE74FC"/>
    <w:rsid w:val="00CE761F"/>
    <w:rsid w:val="00CE768D"/>
    <w:rsid w:val="00CE76DB"/>
    <w:rsid w:val="00CE7744"/>
    <w:rsid w:val="00CE77AC"/>
    <w:rsid w:val="00CE7827"/>
    <w:rsid w:val="00CE782A"/>
    <w:rsid w:val="00CE7886"/>
    <w:rsid w:val="00CE7943"/>
    <w:rsid w:val="00CE796E"/>
    <w:rsid w:val="00CE79F0"/>
    <w:rsid w:val="00CE7AC4"/>
    <w:rsid w:val="00CE7B7C"/>
    <w:rsid w:val="00CE7C29"/>
    <w:rsid w:val="00CE7C67"/>
    <w:rsid w:val="00CE7E11"/>
    <w:rsid w:val="00CE7EA2"/>
    <w:rsid w:val="00CE7FFA"/>
    <w:rsid w:val="00CF0155"/>
    <w:rsid w:val="00CF04AB"/>
    <w:rsid w:val="00CF05FB"/>
    <w:rsid w:val="00CF0602"/>
    <w:rsid w:val="00CF065F"/>
    <w:rsid w:val="00CF0783"/>
    <w:rsid w:val="00CF07A3"/>
    <w:rsid w:val="00CF0825"/>
    <w:rsid w:val="00CF0A13"/>
    <w:rsid w:val="00CF0A14"/>
    <w:rsid w:val="00CF0A63"/>
    <w:rsid w:val="00CF0B09"/>
    <w:rsid w:val="00CF0B23"/>
    <w:rsid w:val="00CF0D5C"/>
    <w:rsid w:val="00CF0EA2"/>
    <w:rsid w:val="00CF1017"/>
    <w:rsid w:val="00CF1023"/>
    <w:rsid w:val="00CF11D6"/>
    <w:rsid w:val="00CF1242"/>
    <w:rsid w:val="00CF1378"/>
    <w:rsid w:val="00CF1590"/>
    <w:rsid w:val="00CF15ED"/>
    <w:rsid w:val="00CF16DA"/>
    <w:rsid w:val="00CF1A18"/>
    <w:rsid w:val="00CF1AA2"/>
    <w:rsid w:val="00CF1AD3"/>
    <w:rsid w:val="00CF1B19"/>
    <w:rsid w:val="00CF1BF5"/>
    <w:rsid w:val="00CF1C37"/>
    <w:rsid w:val="00CF1C3C"/>
    <w:rsid w:val="00CF1DFB"/>
    <w:rsid w:val="00CF1E4F"/>
    <w:rsid w:val="00CF1EC4"/>
    <w:rsid w:val="00CF1EE6"/>
    <w:rsid w:val="00CF1F1A"/>
    <w:rsid w:val="00CF1F5F"/>
    <w:rsid w:val="00CF1FAA"/>
    <w:rsid w:val="00CF1FBC"/>
    <w:rsid w:val="00CF2056"/>
    <w:rsid w:val="00CF20B3"/>
    <w:rsid w:val="00CF2143"/>
    <w:rsid w:val="00CF229E"/>
    <w:rsid w:val="00CF22A9"/>
    <w:rsid w:val="00CF2303"/>
    <w:rsid w:val="00CF2387"/>
    <w:rsid w:val="00CF23C1"/>
    <w:rsid w:val="00CF2457"/>
    <w:rsid w:val="00CF24DA"/>
    <w:rsid w:val="00CF24EB"/>
    <w:rsid w:val="00CF2592"/>
    <w:rsid w:val="00CF25EE"/>
    <w:rsid w:val="00CF2655"/>
    <w:rsid w:val="00CF26E4"/>
    <w:rsid w:val="00CF26EB"/>
    <w:rsid w:val="00CF26F6"/>
    <w:rsid w:val="00CF26FC"/>
    <w:rsid w:val="00CF26FE"/>
    <w:rsid w:val="00CF277C"/>
    <w:rsid w:val="00CF2796"/>
    <w:rsid w:val="00CF2948"/>
    <w:rsid w:val="00CF2982"/>
    <w:rsid w:val="00CF2B50"/>
    <w:rsid w:val="00CF2E4E"/>
    <w:rsid w:val="00CF2F29"/>
    <w:rsid w:val="00CF2F38"/>
    <w:rsid w:val="00CF2F68"/>
    <w:rsid w:val="00CF2F72"/>
    <w:rsid w:val="00CF2FFE"/>
    <w:rsid w:val="00CF31A5"/>
    <w:rsid w:val="00CF31D6"/>
    <w:rsid w:val="00CF324B"/>
    <w:rsid w:val="00CF3302"/>
    <w:rsid w:val="00CF33B3"/>
    <w:rsid w:val="00CF33FE"/>
    <w:rsid w:val="00CF344D"/>
    <w:rsid w:val="00CF34F1"/>
    <w:rsid w:val="00CF352A"/>
    <w:rsid w:val="00CF3555"/>
    <w:rsid w:val="00CF36AD"/>
    <w:rsid w:val="00CF3789"/>
    <w:rsid w:val="00CF385B"/>
    <w:rsid w:val="00CF38B4"/>
    <w:rsid w:val="00CF38ED"/>
    <w:rsid w:val="00CF399D"/>
    <w:rsid w:val="00CF39F8"/>
    <w:rsid w:val="00CF3A16"/>
    <w:rsid w:val="00CF3B15"/>
    <w:rsid w:val="00CF3C8D"/>
    <w:rsid w:val="00CF3CC2"/>
    <w:rsid w:val="00CF3D1A"/>
    <w:rsid w:val="00CF3D80"/>
    <w:rsid w:val="00CF3E1E"/>
    <w:rsid w:val="00CF3F26"/>
    <w:rsid w:val="00CF3F80"/>
    <w:rsid w:val="00CF3FA9"/>
    <w:rsid w:val="00CF405E"/>
    <w:rsid w:val="00CF423F"/>
    <w:rsid w:val="00CF4265"/>
    <w:rsid w:val="00CF433E"/>
    <w:rsid w:val="00CF4427"/>
    <w:rsid w:val="00CF447A"/>
    <w:rsid w:val="00CF452A"/>
    <w:rsid w:val="00CF45AE"/>
    <w:rsid w:val="00CF4610"/>
    <w:rsid w:val="00CF4696"/>
    <w:rsid w:val="00CF46BD"/>
    <w:rsid w:val="00CF4753"/>
    <w:rsid w:val="00CF4B12"/>
    <w:rsid w:val="00CF4B74"/>
    <w:rsid w:val="00CF4B85"/>
    <w:rsid w:val="00CF4BB6"/>
    <w:rsid w:val="00CF4C3F"/>
    <w:rsid w:val="00CF4C6B"/>
    <w:rsid w:val="00CF4C6C"/>
    <w:rsid w:val="00CF4D8A"/>
    <w:rsid w:val="00CF4FA1"/>
    <w:rsid w:val="00CF4FA3"/>
    <w:rsid w:val="00CF51FA"/>
    <w:rsid w:val="00CF5294"/>
    <w:rsid w:val="00CF52BC"/>
    <w:rsid w:val="00CF544C"/>
    <w:rsid w:val="00CF5601"/>
    <w:rsid w:val="00CF564D"/>
    <w:rsid w:val="00CF56D7"/>
    <w:rsid w:val="00CF56D9"/>
    <w:rsid w:val="00CF5704"/>
    <w:rsid w:val="00CF5706"/>
    <w:rsid w:val="00CF577F"/>
    <w:rsid w:val="00CF5B6F"/>
    <w:rsid w:val="00CF5BBF"/>
    <w:rsid w:val="00CF5C6D"/>
    <w:rsid w:val="00CF5CA1"/>
    <w:rsid w:val="00CF5D5D"/>
    <w:rsid w:val="00CF5D7F"/>
    <w:rsid w:val="00CF5DA5"/>
    <w:rsid w:val="00CF5EB4"/>
    <w:rsid w:val="00CF5F1A"/>
    <w:rsid w:val="00CF6083"/>
    <w:rsid w:val="00CF60D8"/>
    <w:rsid w:val="00CF622E"/>
    <w:rsid w:val="00CF62D9"/>
    <w:rsid w:val="00CF630F"/>
    <w:rsid w:val="00CF65C7"/>
    <w:rsid w:val="00CF6852"/>
    <w:rsid w:val="00CF68F8"/>
    <w:rsid w:val="00CF6A61"/>
    <w:rsid w:val="00CF6B6C"/>
    <w:rsid w:val="00CF6BD8"/>
    <w:rsid w:val="00CF6C19"/>
    <w:rsid w:val="00CF6C42"/>
    <w:rsid w:val="00CF6E6D"/>
    <w:rsid w:val="00CF6E94"/>
    <w:rsid w:val="00CF6EBB"/>
    <w:rsid w:val="00CF6EDA"/>
    <w:rsid w:val="00CF6FC4"/>
    <w:rsid w:val="00CF721D"/>
    <w:rsid w:val="00CF7241"/>
    <w:rsid w:val="00CF7281"/>
    <w:rsid w:val="00CF72A5"/>
    <w:rsid w:val="00CF72D7"/>
    <w:rsid w:val="00CF7342"/>
    <w:rsid w:val="00CF7346"/>
    <w:rsid w:val="00CF7368"/>
    <w:rsid w:val="00CF73ED"/>
    <w:rsid w:val="00CF7666"/>
    <w:rsid w:val="00CF79C0"/>
    <w:rsid w:val="00CF7AA5"/>
    <w:rsid w:val="00CF7B2E"/>
    <w:rsid w:val="00CF7B74"/>
    <w:rsid w:val="00CF7B9E"/>
    <w:rsid w:val="00CF7E1F"/>
    <w:rsid w:val="00CF7FE7"/>
    <w:rsid w:val="00D00081"/>
    <w:rsid w:val="00D00120"/>
    <w:rsid w:val="00D00274"/>
    <w:rsid w:val="00D002BC"/>
    <w:rsid w:val="00D002E6"/>
    <w:rsid w:val="00D002EB"/>
    <w:rsid w:val="00D00312"/>
    <w:rsid w:val="00D00372"/>
    <w:rsid w:val="00D00422"/>
    <w:rsid w:val="00D00474"/>
    <w:rsid w:val="00D004C3"/>
    <w:rsid w:val="00D004FE"/>
    <w:rsid w:val="00D00580"/>
    <w:rsid w:val="00D005B8"/>
    <w:rsid w:val="00D0062F"/>
    <w:rsid w:val="00D006FB"/>
    <w:rsid w:val="00D007D7"/>
    <w:rsid w:val="00D00802"/>
    <w:rsid w:val="00D0081A"/>
    <w:rsid w:val="00D00873"/>
    <w:rsid w:val="00D00876"/>
    <w:rsid w:val="00D00926"/>
    <w:rsid w:val="00D00929"/>
    <w:rsid w:val="00D0094F"/>
    <w:rsid w:val="00D00953"/>
    <w:rsid w:val="00D009ED"/>
    <w:rsid w:val="00D00A65"/>
    <w:rsid w:val="00D00A6A"/>
    <w:rsid w:val="00D00B08"/>
    <w:rsid w:val="00D00C25"/>
    <w:rsid w:val="00D00C6F"/>
    <w:rsid w:val="00D00CDC"/>
    <w:rsid w:val="00D00D2D"/>
    <w:rsid w:val="00D00D31"/>
    <w:rsid w:val="00D00DFA"/>
    <w:rsid w:val="00D00E91"/>
    <w:rsid w:val="00D00ED7"/>
    <w:rsid w:val="00D00EE7"/>
    <w:rsid w:val="00D00F38"/>
    <w:rsid w:val="00D010D3"/>
    <w:rsid w:val="00D0114A"/>
    <w:rsid w:val="00D011B7"/>
    <w:rsid w:val="00D011FE"/>
    <w:rsid w:val="00D01228"/>
    <w:rsid w:val="00D01272"/>
    <w:rsid w:val="00D012C4"/>
    <w:rsid w:val="00D013B9"/>
    <w:rsid w:val="00D015D8"/>
    <w:rsid w:val="00D015FE"/>
    <w:rsid w:val="00D01608"/>
    <w:rsid w:val="00D01655"/>
    <w:rsid w:val="00D0168E"/>
    <w:rsid w:val="00D0170A"/>
    <w:rsid w:val="00D01759"/>
    <w:rsid w:val="00D01783"/>
    <w:rsid w:val="00D01827"/>
    <w:rsid w:val="00D018D6"/>
    <w:rsid w:val="00D01A09"/>
    <w:rsid w:val="00D01A56"/>
    <w:rsid w:val="00D01A9E"/>
    <w:rsid w:val="00D01BFE"/>
    <w:rsid w:val="00D01CB7"/>
    <w:rsid w:val="00D01D41"/>
    <w:rsid w:val="00D02299"/>
    <w:rsid w:val="00D02406"/>
    <w:rsid w:val="00D026CB"/>
    <w:rsid w:val="00D0277C"/>
    <w:rsid w:val="00D02884"/>
    <w:rsid w:val="00D028E7"/>
    <w:rsid w:val="00D029EA"/>
    <w:rsid w:val="00D02B70"/>
    <w:rsid w:val="00D02C58"/>
    <w:rsid w:val="00D02C7C"/>
    <w:rsid w:val="00D02CBB"/>
    <w:rsid w:val="00D02D8B"/>
    <w:rsid w:val="00D02DAE"/>
    <w:rsid w:val="00D0305B"/>
    <w:rsid w:val="00D03077"/>
    <w:rsid w:val="00D030D0"/>
    <w:rsid w:val="00D03381"/>
    <w:rsid w:val="00D03397"/>
    <w:rsid w:val="00D03408"/>
    <w:rsid w:val="00D03456"/>
    <w:rsid w:val="00D034A6"/>
    <w:rsid w:val="00D03553"/>
    <w:rsid w:val="00D03579"/>
    <w:rsid w:val="00D035E1"/>
    <w:rsid w:val="00D036B0"/>
    <w:rsid w:val="00D036BE"/>
    <w:rsid w:val="00D0375E"/>
    <w:rsid w:val="00D03791"/>
    <w:rsid w:val="00D038BE"/>
    <w:rsid w:val="00D03A5C"/>
    <w:rsid w:val="00D03B61"/>
    <w:rsid w:val="00D03C55"/>
    <w:rsid w:val="00D03CB3"/>
    <w:rsid w:val="00D03CC3"/>
    <w:rsid w:val="00D03DA4"/>
    <w:rsid w:val="00D03DDE"/>
    <w:rsid w:val="00D03E03"/>
    <w:rsid w:val="00D03FF1"/>
    <w:rsid w:val="00D04079"/>
    <w:rsid w:val="00D0419C"/>
    <w:rsid w:val="00D041DE"/>
    <w:rsid w:val="00D04316"/>
    <w:rsid w:val="00D04385"/>
    <w:rsid w:val="00D043C9"/>
    <w:rsid w:val="00D043CA"/>
    <w:rsid w:val="00D04459"/>
    <w:rsid w:val="00D04499"/>
    <w:rsid w:val="00D044E7"/>
    <w:rsid w:val="00D0450E"/>
    <w:rsid w:val="00D04535"/>
    <w:rsid w:val="00D0457C"/>
    <w:rsid w:val="00D046C4"/>
    <w:rsid w:val="00D0472C"/>
    <w:rsid w:val="00D04813"/>
    <w:rsid w:val="00D04B0B"/>
    <w:rsid w:val="00D04C26"/>
    <w:rsid w:val="00D04D8C"/>
    <w:rsid w:val="00D04E03"/>
    <w:rsid w:val="00D04F9F"/>
    <w:rsid w:val="00D0506D"/>
    <w:rsid w:val="00D05071"/>
    <w:rsid w:val="00D05090"/>
    <w:rsid w:val="00D05159"/>
    <w:rsid w:val="00D05184"/>
    <w:rsid w:val="00D0523D"/>
    <w:rsid w:val="00D052F4"/>
    <w:rsid w:val="00D05300"/>
    <w:rsid w:val="00D05305"/>
    <w:rsid w:val="00D05406"/>
    <w:rsid w:val="00D0541C"/>
    <w:rsid w:val="00D0543B"/>
    <w:rsid w:val="00D0555C"/>
    <w:rsid w:val="00D05681"/>
    <w:rsid w:val="00D056B0"/>
    <w:rsid w:val="00D05708"/>
    <w:rsid w:val="00D05739"/>
    <w:rsid w:val="00D05753"/>
    <w:rsid w:val="00D05778"/>
    <w:rsid w:val="00D057B4"/>
    <w:rsid w:val="00D0582F"/>
    <w:rsid w:val="00D05838"/>
    <w:rsid w:val="00D0585A"/>
    <w:rsid w:val="00D058B6"/>
    <w:rsid w:val="00D05A84"/>
    <w:rsid w:val="00D05AAB"/>
    <w:rsid w:val="00D05CFC"/>
    <w:rsid w:val="00D05D7B"/>
    <w:rsid w:val="00D05FD5"/>
    <w:rsid w:val="00D05FDB"/>
    <w:rsid w:val="00D060BE"/>
    <w:rsid w:val="00D06110"/>
    <w:rsid w:val="00D061F5"/>
    <w:rsid w:val="00D0622A"/>
    <w:rsid w:val="00D06291"/>
    <w:rsid w:val="00D06374"/>
    <w:rsid w:val="00D0643C"/>
    <w:rsid w:val="00D06556"/>
    <w:rsid w:val="00D0656B"/>
    <w:rsid w:val="00D06584"/>
    <w:rsid w:val="00D0678D"/>
    <w:rsid w:val="00D06962"/>
    <w:rsid w:val="00D06B7A"/>
    <w:rsid w:val="00D06B7F"/>
    <w:rsid w:val="00D06BFD"/>
    <w:rsid w:val="00D06C57"/>
    <w:rsid w:val="00D06CA5"/>
    <w:rsid w:val="00D06E72"/>
    <w:rsid w:val="00D06EB8"/>
    <w:rsid w:val="00D06EC7"/>
    <w:rsid w:val="00D0703C"/>
    <w:rsid w:val="00D07052"/>
    <w:rsid w:val="00D070D6"/>
    <w:rsid w:val="00D071E6"/>
    <w:rsid w:val="00D071E9"/>
    <w:rsid w:val="00D072BE"/>
    <w:rsid w:val="00D07367"/>
    <w:rsid w:val="00D073D4"/>
    <w:rsid w:val="00D07457"/>
    <w:rsid w:val="00D074F7"/>
    <w:rsid w:val="00D07697"/>
    <w:rsid w:val="00D07774"/>
    <w:rsid w:val="00D077F2"/>
    <w:rsid w:val="00D07A30"/>
    <w:rsid w:val="00D07BEF"/>
    <w:rsid w:val="00D07CD7"/>
    <w:rsid w:val="00D07D7F"/>
    <w:rsid w:val="00D07E05"/>
    <w:rsid w:val="00D07E1E"/>
    <w:rsid w:val="00D10055"/>
    <w:rsid w:val="00D1023D"/>
    <w:rsid w:val="00D1030F"/>
    <w:rsid w:val="00D1055B"/>
    <w:rsid w:val="00D105B1"/>
    <w:rsid w:val="00D106A0"/>
    <w:rsid w:val="00D10761"/>
    <w:rsid w:val="00D10871"/>
    <w:rsid w:val="00D1087C"/>
    <w:rsid w:val="00D10A24"/>
    <w:rsid w:val="00D10AC2"/>
    <w:rsid w:val="00D10B45"/>
    <w:rsid w:val="00D10B49"/>
    <w:rsid w:val="00D10BA5"/>
    <w:rsid w:val="00D10BA7"/>
    <w:rsid w:val="00D10CEA"/>
    <w:rsid w:val="00D10FE4"/>
    <w:rsid w:val="00D11001"/>
    <w:rsid w:val="00D11038"/>
    <w:rsid w:val="00D1106C"/>
    <w:rsid w:val="00D1114E"/>
    <w:rsid w:val="00D11157"/>
    <w:rsid w:val="00D11241"/>
    <w:rsid w:val="00D112E2"/>
    <w:rsid w:val="00D113D6"/>
    <w:rsid w:val="00D115A8"/>
    <w:rsid w:val="00D115D6"/>
    <w:rsid w:val="00D11644"/>
    <w:rsid w:val="00D11862"/>
    <w:rsid w:val="00D118E6"/>
    <w:rsid w:val="00D1199F"/>
    <w:rsid w:val="00D11A31"/>
    <w:rsid w:val="00D11C3A"/>
    <w:rsid w:val="00D11E0A"/>
    <w:rsid w:val="00D11E91"/>
    <w:rsid w:val="00D11F2B"/>
    <w:rsid w:val="00D11F6C"/>
    <w:rsid w:val="00D11F9B"/>
    <w:rsid w:val="00D11FEB"/>
    <w:rsid w:val="00D1222F"/>
    <w:rsid w:val="00D1229F"/>
    <w:rsid w:val="00D1236A"/>
    <w:rsid w:val="00D12396"/>
    <w:rsid w:val="00D12600"/>
    <w:rsid w:val="00D126E7"/>
    <w:rsid w:val="00D12766"/>
    <w:rsid w:val="00D1278B"/>
    <w:rsid w:val="00D127F5"/>
    <w:rsid w:val="00D12808"/>
    <w:rsid w:val="00D128EE"/>
    <w:rsid w:val="00D12A51"/>
    <w:rsid w:val="00D12A69"/>
    <w:rsid w:val="00D12AAB"/>
    <w:rsid w:val="00D12C37"/>
    <w:rsid w:val="00D12E45"/>
    <w:rsid w:val="00D12E47"/>
    <w:rsid w:val="00D12E9D"/>
    <w:rsid w:val="00D12F61"/>
    <w:rsid w:val="00D12FF0"/>
    <w:rsid w:val="00D1304F"/>
    <w:rsid w:val="00D13067"/>
    <w:rsid w:val="00D1313A"/>
    <w:rsid w:val="00D131B0"/>
    <w:rsid w:val="00D13257"/>
    <w:rsid w:val="00D134D2"/>
    <w:rsid w:val="00D134E6"/>
    <w:rsid w:val="00D135E3"/>
    <w:rsid w:val="00D13618"/>
    <w:rsid w:val="00D13647"/>
    <w:rsid w:val="00D1365C"/>
    <w:rsid w:val="00D136D4"/>
    <w:rsid w:val="00D137EB"/>
    <w:rsid w:val="00D1382B"/>
    <w:rsid w:val="00D13873"/>
    <w:rsid w:val="00D138DA"/>
    <w:rsid w:val="00D138E0"/>
    <w:rsid w:val="00D138E8"/>
    <w:rsid w:val="00D1392D"/>
    <w:rsid w:val="00D139DF"/>
    <w:rsid w:val="00D13CEF"/>
    <w:rsid w:val="00D13D87"/>
    <w:rsid w:val="00D13DC1"/>
    <w:rsid w:val="00D13DEE"/>
    <w:rsid w:val="00D13F1E"/>
    <w:rsid w:val="00D13FAC"/>
    <w:rsid w:val="00D13FFC"/>
    <w:rsid w:val="00D140A2"/>
    <w:rsid w:val="00D14170"/>
    <w:rsid w:val="00D141C1"/>
    <w:rsid w:val="00D141F8"/>
    <w:rsid w:val="00D14221"/>
    <w:rsid w:val="00D142BA"/>
    <w:rsid w:val="00D1441F"/>
    <w:rsid w:val="00D1453B"/>
    <w:rsid w:val="00D145C5"/>
    <w:rsid w:val="00D14778"/>
    <w:rsid w:val="00D14793"/>
    <w:rsid w:val="00D147D7"/>
    <w:rsid w:val="00D147FA"/>
    <w:rsid w:val="00D14851"/>
    <w:rsid w:val="00D14989"/>
    <w:rsid w:val="00D14AF3"/>
    <w:rsid w:val="00D14B06"/>
    <w:rsid w:val="00D14C31"/>
    <w:rsid w:val="00D14C80"/>
    <w:rsid w:val="00D14DDB"/>
    <w:rsid w:val="00D14E1F"/>
    <w:rsid w:val="00D14EE3"/>
    <w:rsid w:val="00D14F5B"/>
    <w:rsid w:val="00D14FCF"/>
    <w:rsid w:val="00D15072"/>
    <w:rsid w:val="00D150F1"/>
    <w:rsid w:val="00D1526F"/>
    <w:rsid w:val="00D1539B"/>
    <w:rsid w:val="00D154BD"/>
    <w:rsid w:val="00D155FA"/>
    <w:rsid w:val="00D15763"/>
    <w:rsid w:val="00D15817"/>
    <w:rsid w:val="00D158A0"/>
    <w:rsid w:val="00D159E7"/>
    <w:rsid w:val="00D15AB3"/>
    <w:rsid w:val="00D15B5F"/>
    <w:rsid w:val="00D15C04"/>
    <w:rsid w:val="00D15DD6"/>
    <w:rsid w:val="00D15E34"/>
    <w:rsid w:val="00D15E9F"/>
    <w:rsid w:val="00D15F22"/>
    <w:rsid w:val="00D16252"/>
    <w:rsid w:val="00D16354"/>
    <w:rsid w:val="00D163BC"/>
    <w:rsid w:val="00D163EA"/>
    <w:rsid w:val="00D1642E"/>
    <w:rsid w:val="00D16440"/>
    <w:rsid w:val="00D1644A"/>
    <w:rsid w:val="00D164FD"/>
    <w:rsid w:val="00D1653C"/>
    <w:rsid w:val="00D16601"/>
    <w:rsid w:val="00D16611"/>
    <w:rsid w:val="00D166C1"/>
    <w:rsid w:val="00D166CE"/>
    <w:rsid w:val="00D166F0"/>
    <w:rsid w:val="00D1673A"/>
    <w:rsid w:val="00D168C1"/>
    <w:rsid w:val="00D169A7"/>
    <w:rsid w:val="00D16AF0"/>
    <w:rsid w:val="00D16C3E"/>
    <w:rsid w:val="00D16CDA"/>
    <w:rsid w:val="00D16E98"/>
    <w:rsid w:val="00D16EA2"/>
    <w:rsid w:val="00D16F86"/>
    <w:rsid w:val="00D16F96"/>
    <w:rsid w:val="00D1705E"/>
    <w:rsid w:val="00D170BC"/>
    <w:rsid w:val="00D171C7"/>
    <w:rsid w:val="00D1733D"/>
    <w:rsid w:val="00D175BC"/>
    <w:rsid w:val="00D17649"/>
    <w:rsid w:val="00D1789E"/>
    <w:rsid w:val="00D178BB"/>
    <w:rsid w:val="00D17981"/>
    <w:rsid w:val="00D17989"/>
    <w:rsid w:val="00D17AD9"/>
    <w:rsid w:val="00D17C67"/>
    <w:rsid w:val="00D17D45"/>
    <w:rsid w:val="00D17DDD"/>
    <w:rsid w:val="00D17E61"/>
    <w:rsid w:val="00D17EF8"/>
    <w:rsid w:val="00D17F92"/>
    <w:rsid w:val="00D17FAC"/>
    <w:rsid w:val="00D20058"/>
    <w:rsid w:val="00D20059"/>
    <w:rsid w:val="00D20145"/>
    <w:rsid w:val="00D20160"/>
    <w:rsid w:val="00D20181"/>
    <w:rsid w:val="00D201C6"/>
    <w:rsid w:val="00D20230"/>
    <w:rsid w:val="00D20294"/>
    <w:rsid w:val="00D2029F"/>
    <w:rsid w:val="00D20515"/>
    <w:rsid w:val="00D20528"/>
    <w:rsid w:val="00D20659"/>
    <w:rsid w:val="00D2083A"/>
    <w:rsid w:val="00D20844"/>
    <w:rsid w:val="00D208B4"/>
    <w:rsid w:val="00D20916"/>
    <w:rsid w:val="00D20A46"/>
    <w:rsid w:val="00D20A85"/>
    <w:rsid w:val="00D20AEE"/>
    <w:rsid w:val="00D20B23"/>
    <w:rsid w:val="00D20B52"/>
    <w:rsid w:val="00D20C77"/>
    <w:rsid w:val="00D20DA7"/>
    <w:rsid w:val="00D20DAC"/>
    <w:rsid w:val="00D20DBA"/>
    <w:rsid w:val="00D20E0B"/>
    <w:rsid w:val="00D20EE1"/>
    <w:rsid w:val="00D20F85"/>
    <w:rsid w:val="00D20FEA"/>
    <w:rsid w:val="00D20FF1"/>
    <w:rsid w:val="00D210FD"/>
    <w:rsid w:val="00D21313"/>
    <w:rsid w:val="00D21341"/>
    <w:rsid w:val="00D213E4"/>
    <w:rsid w:val="00D213F0"/>
    <w:rsid w:val="00D216AB"/>
    <w:rsid w:val="00D21906"/>
    <w:rsid w:val="00D2192A"/>
    <w:rsid w:val="00D21B0C"/>
    <w:rsid w:val="00D21B7F"/>
    <w:rsid w:val="00D21BC5"/>
    <w:rsid w:val="00D21BE8"/>
    <w:rsid w:val="00D21C23"/>
    <w:rsid w:val="00D21D74"/>
    <w:rsid w:val="00D21F1F"/>
    <w:rsid w:val="00D21FF9"/>
    <w:rsid w:val="00D220B6"/>
    <w:rsid w:val="00D22117"/>
    <w:rsid w:val="00D22136"/>
    <w:rsid w:val="00D221E1"/>
    <w:rsid w:val="00D22254"/>
    <w:rsid w:val="00D222B8"/>
    <w:rsid w:val="00D223C5"/>
    <w:rsid w:val="00D223D3"/>
    <w:rsid w:val="00D2258C"/>
    <w:rsid w:val="00D225FE"/>
    <w:rsid w:val="00D225FF"/>
    <w:rsid w:val="00D22676"/>
    <w:rsid w:val="00D226C6"/>
    <w:rsid w:val="00D228A3"/>
    <w:rsid w:val="00D228E5"/>
    <w:rsid w:val="00D229DC"/>
    <w:rsid w:val="00D22A59"/>
    <w:rsid w:val="00D22AAE"/>
    <w:rsid w:val="00D22B2B"/>
    <w:rsid w:val="00D22DAA"/>
    <w:rsid w:val="00D22DAC"/>
    <w:rsid w:val="00D2302C"/>
    <w:rsid w:val="00D23040"/>
    <w:rsid w:val="00D2307A"/>
    <w:rsid w:val="00D231D1"/>
    <w:rsid w:val="00D23269"/>
    <w:rsid w:val="00D23275"/>
    <w:rsid w:val="00D2328C"/>
    <w:rsid w:val="00D232A3"/>
    <w:rsid w:val="00D232B8"/>
    <w:rsid w:val="00D23391"/>
    <w:rsid w:val="00D2341E"/>
    <w:rsid w:val="00D2355E"/>
    <w:rsid w:val="00D235BE"/>
    <w:rsid w:val="00D237CD"/>
    <w:rsid w:val="00D2395A"/>
    <w:rsid w:val="00D239F6"/>
    <w:rsid w:val="00D23A2C"/>
    <w:rsid w:val="00D23A60"/>
    <w:rsid w:val="00D23AEA"/>
    <w:rsid w:val="00D23C42"/>
    <w:rsid w:val="00D23D95"/>
    <w:rsid w:val="00D24064"/>
    <w:rsid w:val="00D24066"/>
    <w:rsid w:val="00D240ED"/>
    <w:rsid w:val="00D24107"/>
    <w:rsid w:val="00D2412A"/>
    <w:rsid w:val="00D24187"/>
    <w:rsid w:val="00D242FA"/>
    <w:rsid w:val="00D243AC"/>
    <w:rsid w:val="00D243BD"/>
    <w:rsid w:val="00D243E5"/>
    <w:rsid w:val="00D24527"/>
    <w:rsid w:val="00D24631"/>
    <w:rsid w:val="00D2463E"/>
    <w:rsid w:val="00D2478C"/>
    <w:rsid w:val="00D247CE"/>
    <w:rsid w:val="00D247FD"/>
    <w:rsid w:val="00D24B66"/>
    <w:rsid w:val="00D24DEB"/>
    <w:rsid w:val="00D24E2B"/>
    <w:rsid w:val="00D24F40"/>
    <w:rsid w:val="00D25068"/>
    <w:rsid w:val="00D250E0"/>
    <w:rsid w:val="00D25193"/>
    <w:rsid w:val="00D25339"/>
    <w:rsid w:val="00D25380"/>
    <w:rsid w:val="00D253A7"/>
    <w:rsid w:val="00D253F7"/>
    <w:rsid w:val="00D2549C"/>
    <w:rsid w:val="00D254E4"/>
    <w:rsid w:val="00D254F6"/>
    <w:rsid w:val="00D25573"/>
    <w:rsid w:val="00D255B5"/>
    <w:rsid w:val="00D25715"/>
    <w:rsid w:val="00D25A22"/>
    <w:rsid w:val="00D25A2B"/>
    <w:rsid w:val="00D25AC8"/>
    <w:rsid w:val="00D25C23"/>
    <w:rsid w:val="00D25C33"/>
    <w:rsid w:val="00D25C8A"/>
    <w:rsid w:val="00D25C90"/>
    <w:rsid w:val="00D25D3D"/>
    <w:rsid w:val="00D25DED"/>
    <w:rsid w:val="00D25EC5"/>
    <w:rsid w:val="00D25F32"/>
    <w:rsid w:val="00D25F5B"/>
    <w:rsid w:val="00D25F62"/>
    <w:rsid w:val="00D25F81"/>
    <w:rsid w:val="00D2600E"/>
    <w:rsid w:val="00D26033"/>
    <w:rsid w:val="00D26083"/>
    <w:rsid w:val="00D26142"/>
    <w:rsid w:val="00D26207"/>
    <w:rsid w:val="00D26240"/>
    <w:rsid w:val="00D2629C"/>
    <w:rsid w:val="00D2632B"/>
    <w:rsid w:val="00D2639C"/>
    <w:rsid w:val="00D2647F"/>
    <w:rsid w:val="00D26501"/>
    <w:rsid w:val="00D2652A"/>
    <w:rsid w:val="00D26555"/>
    <w:rsid w:val="00D26610"/>
    <w:rsid w:val="00D268F1"/>
    <w:rsid w:val="00D268F3"/>
    <w:rsid w:val="00D2698A"/>
    <w:rsid w:val="00D269A0"/>
    <w:rsid w:val="00D269B8"/>
    <w:rsid w:val="00D26B78"/>
    <w:rsid w:val="00D26D12"/>
    <w:rsid w:val="00D26D8A"/>
    <w:rsid w:val="00D26E42"/>
    <w:rsid w:val="00D26ED1"/>
    <w:rsid w:val="00D26F89"/>
    <w:rsid w:val="00D26FC4"/>
    <w:rsid w:val="00D2704F"/>
    <w:rsid w:val="00D27299"/>
    <w:rsid w:val="00D273BF"/>
    <w:rsid w:val="00D27413"/>
    <w:rsid w:val="00D2742C"/>
    <w:rsid w:val="00D27463"/>
    <w:rsid w:val="00D27582"/>
    <w:rsid w:val="00D275CB"/>
    <w:rsid w:val="00D276F6"/>
    <w:rsid w:val="00D2773B"/>
    <w:rsid w:val="00D2775E"/>
    <w:rsid w:val="00D27771"/>
    <w:rsid w:val="00D27959"/>
    <w:rsid w:val="00D27A64"/>
    <w:rsid w:val="00D27C36"/>
    <w:rsid w:val="00D27C66"/>
    <w:rsid w:val="00D27D04"/>
    <w:rsid w:val="00D27D16"/>
    <w:rsid w:val="00D27D76"/>
    <w:rsid w:val="00D27E4A"/>
    <w:rsid w:val="00D27FA4"/>
    <w:rsid w:val="00D301CD"/>
    <w:rsid w:val="00D303B4"/>
    <w:rsid w:val="00D303D4"/>
    <w:rsid w:val="00D304C2"/>
    <w:rsid w:val="00D305D3"/>
    <w:rsid w:val="00D306BD"/>
    <w:rsid w:val="00D306E1"/>
    <w:rsid w:val="00D30850"/>
    <w:rsid w:val="00D308AC"/>
    <w:rsid w:val="00D308BC"/>
    <w:rsid w:val="00D30A01"/>
    <w:rsid w:val="00D30B10"/>
    <w:rsid w:val="00D30CC0"/>
    <w:rsid w:val="00D30CEC"/>
    <w:rsid w:val="00D30F3E"/>
    <w:rsid w:val="00D30F86"/>
    <w:rsid w:val="00D30FF9"/>
    <w:rsid w:val="00D3109D"/>
    <w:rsid w:val="00D3118D"/>
    <w:rsid w:val="00D311A3"/>
    <w:rsid w:val="00D311BA"/>
    <w:rsid w:val="00D312D5"/>
    <w:rsid w:val="00D31313"/>
    <w:rsid w:val="00D31396"/>
    <w:rsid w:val="00D313B7"/>
    <w:rsid w:val="00D3157E"/>
    <w:rsid w:val="00D315D4"/>
    <w:rsid w:val="00D315FE"/>
    <w:rsid w:val="00D3178D"/>
    <w:rsid w:val="00D3198F"/>
    <w:rsid w:val="00D31B43"/>
    <w:rsid w:val="00D31C12"/>
    <w:rsid w:val="00D31C26"/>
    <w:rsid w:val="00D31D77"/>
    <w:rsid w:val="00D31DDF"/>
    <w:rsid w:val="00D31E69"/>
    <w:rsid w:val="00D31F3A"/>
    <w:rsid w:val="00D32274"/>
    <w:rsid w:val="00D3258A"/>
    <w:rsid w:val="00D325A0"/>
    <w:rsid w:val="00D32651"/>
    <w:rsid w:val="00D32693"/>
    <w:rsid w:val="00D326F3"/>
    <w:rsid w:val="00D3271C"/>
    <w:rsid w:val="00D32765"/>
    <w:rsid w:val="00D328C8"/>
    <w:rsid w:val="00D32941"/>
    <w:rsid w:val="00D329F6"/>
    <w:rsid w:val="00D32AA9"/>
    <w:rsid w:val="00D32CF4"/>
    <w:rsid w:val="00D32D53"/>
    <w:rsid w:val="00D32E1F"/>
    <w:rsid w:val="00D32E46"/>
    <w:rsid w:val="00D32EB2"/>
    <w:rsid w:val="00D33053"/>
    <w:rsid w:val="00D330F2"/>
    <w:rsid w:val="00D33101"/>
    <w:rsid w:val="00D33149"/>
    <w:rsid w:val="00D33166"/>
    <w:rsid w:val="00D331DC"/>
    <w:rsid w:val="00D33339"/>
    <w:rsid w:val="00D33420"/>
    <w:rsid w:val="00D3348C"/>
    <w:rsid w:val="00D33602"/>
    <w:rsid w:val="00D33631"/>
    <w:rsid w:val="00D3366C"/>
    <w:rsid w:val="00D33852"/>
    <w:rsid w:val="00D338E4"/>
    <w:rsid w:val="00D338FB"/>
    <w:rsid w:val="00D33A52"/>
    <w:rsid w:val="00D33B94"/>
    <w:rsid w:val="00D33BC4"/>
    <w:rsid w:val="00D33C22"/>
    <w:rsid w:val="00D33D1C"/>
    <w:rsid w:val="00D33D2C"/>
    <w:rsid w:val="00D33E4C"/>
    <w:rsid w:val="00D33E70"/>
    <w:rsid w:val="00D33F8F"/>
    <w:rsid w:val="00D34006"/>
    <w:rsid w:val="00D3400A"/>
    <w:rsid w:val="00D34023"/>
    <w:rsid w:val="00D34026"/>
    <w:rsid w:val="00D3411E"/>
    <w:rsid w:val="00D341AF"/>
    <w:rsid w:val="00D34327"/>
    <w:rsid w:val="00D34464"/>
    <w:rsid w:val="00D345EE"/>
    <w:rsid w:val="00D34622"/>
    <w:rsid w:val="00D346D7"/>
    <w:rsid w:val="00D34809"/>
    <w:rsid w:val="00D34A61"/>
    <w:rsid w:val="00D34A63"/>
    <w:rsid w:val="00D34B36"/>
    <w:rsid w:val="00D34C4F"/>
    <w:rsid w:val="00D34CFA"/>
    <w:rsid w:val="00D34D28"/>
    <w:rsid w:val="00D34DC9"/>
    <w:rsid w:val="00D34F1A"/>
    <w:rsid w:val="00D34FB7"/>
    <w:rsid w:val="00D351DB"/>
    <w:rsid w:val="00D352D8"/>
    <w:rsid w:val="00D352F9"/>
    <w:rsid w:val="00D353C1"/>
    <w:rsid w:val="00D35435"/>
    <w:rsid w:val="00D3554C"/>
    <w:rsid w:val="00D35669"/>
    <w:rsid w:val="00D358CA"/>
    <w:rsid w:val="00D358DF"/>
    <w:rsid w:val="00D35A3B"/>
    <w:rsid w:val="00D35A76"/>
    <w:rsid w:val="00D35C63"/>
    <w:rsid w:val="00D35DC7"/>
    <w:rsid w:val="00D35DDC"/>
    <w:rsid w:val="00D35E9C"/>
    <w:rsid w:val="00D35F36"/>
    <w:rsid w:val="00D36050"/>
    <w:rsid w:val="00D36206"/>
    <w:rsid w:val="00D36244"/>
    <w:rsid w:val="00D362DC"/>
    <w:rsid w:val="00D364F9"/>
    <w:rsid w:val="00D36540"/>
    <w:rsid w:val="00D365EF"/>
    <w:rsid w:val="00D36728"/>
    <w:rsid w:val="00D36A71"/>
    <w:rsid w:val="00D36B02"/>
    <w:rsid w:val="00D36C4D"/>
    <w:rsid w:val="00D36EA3"/>
    <w:rsid w:val="00D36F9A"/>
    <w:rsid w:val="00D36F9E"/>
    <w:rsid w:val="00D370AC"/>
    <w:rsid w:val="00D37291"/>
    <w:rsid w:val="00D37360"/>
    <w:rsid w:val="00D373C9"/>
    <w:rsid w:val="00D3744B"/>
    <w:rsid w:val="00D3747C"/>
    <w:rsid w:val="00D376D7"/>
    <w:rsid w:val="00D376F1"/>
    <w:rsid w:val="00D37718"/>
    <w:rsid w:val="00D37719"/>
    <w:rsid w:val="00D377AE"/>
    <w:rsid w:val="00D37808"/>
    <w:rsid w:val="00D3785A"/>
    <w:rsid w:val="00D378CB"/>
    <w:rsid w:val="00D37A50"/>
    <w:rsid w:val="00D37A6B"/>
    <w:rsid w:val="00D37B53"/>
    <w:rsid w:val="00D37C14"/>
    <w:rsid w:val="00D37DF1"/>
    <w:rsid w:val="00D37F1C"/>
    <w:rsid w:val="00D400C7"/>
    <w:rsid w:val="00D40120"/>
    <w:rsid w:val="00D4018C"/>
    <w:rsid w:val="00D40238"/>
    <w:rsid w:val="00D40269"/>
    <w:rsid w:val="00D402E7"/>
    <w:rsid w:val="00D402FC"/>
    <w:rsid w:val="00D40384"/>
    <w:rsid w:val="00D4048B"/>
    <w:rsid w:val="00D40558"/>
    <w:rsid w:val="00D4067E"/>
    <w:rsid w:val="00D40939"/>
    <w:rsid w:val="00D40AEC"/>
    <w:rsid w:val="00D40C06"/>
    <w:rsid w:val="00D40C94"/>
    <w:rsid w:val="00D40CAA"/>
    <w:rsid w:val="00D40CB8"/>
    <w:rsid w:val="00D40CBE"/>
    <w:rsid w:val="00D40DA6"/>
    <w:rsid w:val="00D40DD1"/>
    <w:rsid w:val="00D40DE6"/>
    <w:rsid w:val="00D40E3D"/>
    <w:rsid w:val="00D40F40"/>
    <w:rsid w:val="00D410FF"/>
    <w:rsid w:val="00D411DA"/>
    <w:rsid w:val="00D413DD"/>
    <w:rsid w:val="00D4144E"/>
    <w:rsid w:val="00D414C1"/>
    <w:rsid w:val="00D414C8"/>
    <w:rsid w:val="00D41557"/>
    <w:rsid w:val="00D415F3"/>
    <w:rsid w:val="00D41665"/>
    <w:rsid w:val="00D41766"/>
    <w:rsid w:val="00D417A3"/>
    <w:rsid w:val="00D417B4"/>
    <w:rsid w:val="00D417EA"/>
    <w:rsid w:val="00D41833"/>
    <w:rsid w:val="00D41887"/>
    <w:rsid w:val="00D418AD"/>
    <w:rsid w:val="00D418E4"/>
    <w:rsid w:val="00D419C3"/>
    <w:rsid w:val="00D41B7A"/>
    <w:rsid w:val="00D41B92"/>
    <w:rsid w:val="00D41C21"/>
    <w:rsid w:val="00D41CB2"/>
    <w:rsid w:val="00D41CEA"/>
    <w:rsid w:val="00D41DD4"/>
    <w:rsid w:val="00D41E8F"/>
    <w:rsid w:val="00D41F64"/>
    <w:rsid w:val="00D41F77"/>
    <w:rsid w:val="00D421DC"/>
    <w:rsid w:val="00D42287"/>
    <w:rsid w:val="00D423BD"/>
    <w:rsid w:val="00D42849"/>
    <w:rsid w:val="00D428D1"/>
    <w:rsid w:val="00D42A03"/>
    <w:rsid w:val="00D42B68"/>
    <w:rsid w:val="00D42B9C"/>
    <w:rsid w:val="00D42BAA"/>
    <w:rsid w:val="00D42C2C"/>
    <w:rsid w:val="00D42CF8"/>
    <w:rsid w:val="00D42D60"/>
    <w:rsid w:val="00D42D63"/>
    <w:rsid w:val="00D42E86"/>
    <w:rsid w:val="00D42F49"/>
    <w:rsid w:val="00D42F67"/>
    <w:rsid w:val="00D430FD"/>
    <w:rsid w:val="00D43219"/>
    <w:rsid w:val="00D432B0"/>
    <w:rsid w:val="00D432CE"/>
    <w:rsid w:val="00D4333D"/>
    <w:rsid w:val="00D433D2"/>
    <w:rsid w:val="00D4347D"/>
    <w:rsid w:val="00D434AD"/>
    <w:rsid w:val="00D43575"/>
    <w:rsid w:val="00D435A2"/>
    <w:rsid w:val="00D43730"/>
    <w:rsid w:val="00D43924"/>
    <w:rsid w:val="00D439B6"/>
    <w:rsid w:val="00D439CF"/>
    <w:rsid w:val="00D43AA7"/>
    <w:rsid w:val="00D43BB6"/>
    <w:rsid w:val="00D43CD6"/>
    <w:rsid w:val="00D43D1D"/>
    <w:rsid w:val="00D43DF4"/>
    <w:rsid w:val="00D43E2F"/>
    <w:rsid w:val="00D43E72"/>
    <w:rsid w:val="00D43EAD"/>
    <w:rsid w:val="00D43F7F"/>
    <w:rsid w:val="00D44103"/>
    <w:rsid w:val="00D44111"/>
    <w:rsid w:val="00D44256"/>
    <w:rsid w:val="00D44512"/>
    <w:rsid w:val="00D44519"/>
    <w:rsid w:val="00D445DA"/>
    <w:rsid w:val="00D4477C"/>
    <w:rsid w:val="00D447E1"/>
    <w:rsid w:val="00D4483A"/>
    <w:rsid w:val="00D44A3A"/>
    <w:rsid w:val="00D44A50"/>
    <w:rsid w:val="00D44C0C"/>
    <w:rsid w:val="00D44C15"/>
    <w:rsid w:val="00D44C1B"/>
    <w:rsid w:val="00D44F10"/>
    <w:rsid w:val="00D44F29"/>
    <w:rsid w:val="00D44FA3"/>
    <w:rsid w:val="00D4505A"/>
    <w:rsid w:val="00D4517A"/>
    <w:rsid w:val="00D45194"/>
    <w:rsid w:val="00D451DD"/>
    <w:rsid w:val="00D45357"/>
    <w:rsid w:val="00D45388"/>
    <w:rsid w:val="00D45451"/>
    <w:rsid w:val="00D45478"/>
    <w:rsid w:val="00D45618"/>
    <w:rsid w:val="00D457F6"/>
    <w:rsid w:val="00D4580D"/>
    <w:rsid w:val="00D45A68"/>
    <w:rsid w:val="00D45A9A"/>
    <w:rsid w:val="00D45AC2"/>
    <w:rsid w:val="00D45AD8"/>
    <w:rsid w:val="00D45C48"/>
    <w:rsid w:val="00D45CE5"/>
    <w:rsid w:val="00D45E3B"/>
    <w:rsid w:val="00D45FFF"/>
    <w:rsid w:val="00D46018"/>
    <w:rsid w:val="00D4604A"/>
    <w:rsid w:val="00D46064"/>
    <w:rsid w:val="00D460D8"/>
    <w:rsid w:val="00D46224"/>
    <w:rsid w:val="00D46259"/>
    <w:rsid w:val="00D462AC"/>
    <w:rsid w:val="00D46387"/>
    <w:rsid w:val="00D46561"/>
    <w:rsid w:val="00D465A5"/>
    <w:rsid w:val="00D465F9"/>
    <w:rsid w:val="00D46744"/>
    <w:rsid w:val="00D4678A"/>
    <w:rsid w:val="00D467C0"/>
    <w:rsid w:val="00D46812"/>
    <w:rsid w:val="00D4683F"/>
    <w:rsid w:val="00D468D5"/>
    <w:rsid w:val="00D4697D"/>
    <w:rsid w:val="00D469EA"/>
    <w:rsid w:val="00D46A92"/>
    <w:rsid w:val="00D46C35"/>
    <w:rsid w:val="00D46D74"/>
    <w:rsid w:val="00D46E64"/>
    <w:rsid w:val="00D46F57"/>
    <w:rsid w:val="00D470B2"/>
    <w:rsid w:val="00D47164"/>
    <w:rsid w:val="00D47213"/>
    <w:rsid w:val="00D4728C"/>
    <w:rsid w:val="00D472D2"/>
    <w:rsid w:val="00D4733C"/>
    <w:rsid w:val="00D4746A"/>
    <w:rsid w:val="00D4752F"/>
    <w:rsid w:val="00D4768F"/>
    <w:rsid w:val="00D47764"/>
    <w:rsid w:val="00D47773"/>
    <w:rsid w:val="00D47792"/>
    <w:rsid w:val="00D477AB"/>
    <w:rsid w:val="00D477CD"/>
    <w:rsid w:val="00D479EE"/>
    <w:rsid w:val="00D47A04"/>
    <w:rsid w:val="00D47A24"/>
    <w:rsid w:val="00D47AE1"/>
    <w:rsid w:val="00D47AFE"/>
    <w:rsid w:val="00D47C03"/>
    <w:rsid w:val="00D47CFE"/>
    <w:rsid w:val="00D47D24"/>
    <w:rsid w:val="00D47D70"/>
    <w:rsid w:val="00D47E3C"/>
    <w:rsid w:val="00D50105"/>
    <w:rsid w:val="00D50122"/>
    <w:rsid w:val="00D5026A"/>
    <w:rsid w:val="00D50290"/>
    <w:rsid w:val="00D5029B"/>
    <w:rsid w:val="00D502AA"/>
    <w:rsid w:val="00D503CC"/>
    <w:rsid w:val="00D507BA"/>
    <w:rsid w:val="00D5088F"/>
    <w:rsid w:val="00D509BA"/>
    <w:rsid w:val="00D509E1"/>
    <w:rsid w:val="00D50B66"/>
    <w:rsid w:val="00D50BAF"/>
    <w:rsid w:val="00D50BF3"/>
    <w:rsid w:val="00D50C6E"/>
    <w:rsid w:val="00D50D40"/>
    <w:rsid w:val="00D50F25"/>
    <w:rsid w:val="00D50F3A"/>
    <w:rsid w:val="00D50FBE"/>
    <w:rsid w:val="00D5103B"/>
    <w:rsid w:val="00D510E5"/>
    <w:rsid w:val="00D51190"/>
    <w:rsid w:val="00D51455"/>
    <w:rsid w:val="00D516F4"/>
    <w:rsid w:val="00D51767"/>
    <w:rsid w:val="00D5178D"/>
    <w:rsid w:val="00D517A6"/>
    <w:rsid w:val="00D517A7"/>
    <w:rsid w:val="00D517E6"/>
    <w:rsid w:val="00D51870"/>
    <w:rsid w:val="00D518AC"/>
    <w:rsid w:val="00D51982"/>
    <w:rsid w:val="00D519C6"/>
    <w:rsid w:val="00D51A4C"/>
    <w:rsid w:val="00D51B43"/>
    <w:rsid w:val="00D51C02"/>
    <w:rsid w:val="00D51C25"/>
    <w:rsid w:val="00D51C30"/>
    <w:rsid w:val="00D51C7B"/>
    <w:rsid w:val="00D52006"/>
    <w:rsid w:val="00D52167"/>
    <w:rsid w:val="00D52196"/>
    <w:rsid w:val="00D521B0"/>
    <w:rsid w:val="00D52535"/>
    <w:rsid w:val="00D5257E"/>
    <w:rsid w:val="00D5267C"/>
    <w:rsid w:val="00D52750"/>
    <w:rsid w:val="00D52787"/>
    <w:rsid w:val="00D52845"/>
    <w:rsid w:val="00D52853"/>
    <w:rsid w:val="00D528B3"/>
    <w:rsid w:val="00D528EE"/>
    <w:rsid w:val="00D5290A"/>
    <w:rsid w:val="00D52965"/>
    <w:rsid w:val="00D5299F"/>
    <w:rsid w:val="00D52A9E"/>
    <w:rsid w:val="00D52AFB"/>
    <w:rsid w:val="00D52BD4"/>
    <w:rsid w:val="00D52BEB"/>
    <w:rsid w:val="00D52C3E"/>
    <w:rsid w:val="00D52C62"/>
    <w:rsid w:val="00D52E1B"/>
    <w:rsid w:val="00D53171"/>
    <w:rsid w:val="00D53251"/>
    <w:rsid w:val="00D5327D"/>
    <w:rsid w:val="00D5329D"/>
    <w:rsid w:val="00D5342F"/>
    <w:rsid w:val="00D535CB"/>
    <w:rsid w:val="00D53687"/>
    <w:rsid w:val="00D53983"/>
    <w:rsid w:val="00D539BB"/>
    <w:rsid w:val="00D539F1"/>
    <w:rsid w:val="00D53A3D"/>
    <w:rsid w:val="00D53A59"/>
    <w:rsid w:val="00D53CDE"/>
    <w:rsid w:val="00D53D60"/>
    <w:rsid w:val="00D53DC3"/>
    <w:rsid w:val="00D53E86"/>
    <w:rsid w:val="00D53F95"/>
    <w:rsid w:val="00D5400C"/>
    <w:rsid w:val="00D54125"/>
    <w:rsid w:val="00D54148"/>
    <w:rsid w:val="00D54151"/>
    <w:rsid w:val="00D54278"/>
    <w:rsid w:val="00D54477"/>
    <w:rsid w:val="00D544C1"/>
    <w:rsid w:val="00D54522"/>
    <w:rsid w:val="00D5459C"/>
    <w:rsid w:val="00D546BC"/>
    <w:rsid w:val="00D54749"/>
    <w:rsid w:val="00D5478D"/>
    <w:rsid w:val="00D54921"/>
    <w:rsid w:val="00D54B64"/>
    <w:rsid w:val="00D54BC4"/>
    <w:rsid w:val="00D54CE7"/>
    <w:rsid w:val="00D54D29"/>
    <w:rsid w:val="00D54E2F"/>
    <w:rsid w:val="00D54EB7"/>
    <w:rsid w:val="00D54EC5"/>
    <w:rsid w:val="00D54EDB"/>
    <w:rsid w:val="00D54FD2"/>
    <w:rsid w:val="00D55044"/>
    <w:rsid w:val="00D550AB"/>
    <w:rsid w:val="00D5511A"/>
    <w:rsid w:val="00D5511E"/>
    <w:rsid w:val="00D55191"/>
    <w:rsid w:val="00D553DE"/>
    <w:rsid w:val="00D55494"/>
    <w:rsid w:val="00D55555"/>
    <w:rsid w:val="00D5555A"/>
    <w:rsid w:val="00D555F5"/>
    <w:rsid w:val="00D557B8"/>
    <w:rsid w:val="00D55957"/>
    <w:rsid w:val="00D55A53"/>
    <w:rsid w:val="00D55DA9"/>
    <w:rsid w:val="00D55DE6"/>
    <w:rsid w:val="00D55E13"/>
    <w:rsid w:val="00D55F3A"/>
    <w:rsid w:val="00D56333"/>
    <w:rsid w:val="00D5639B"/>
    <w:rsid w:val="00D563B0"/>
    <w:rsid w:val="00D563F2"/>
    <w:rsid w:val="00D563F8"/>
    <w:rsid w:val="00D564AF"/>
    <w:rsid w:val="00D56504"/>
    <w:rsid w:val="00D5656C"/>
    <w:rsid w:val="00D566C1"/>
    <w:rsid w:val="00D56781"/>
    <w:rsid w:val="00D568E4"/>
    <w:rsid w:val="00D56915"/>
    <w:rsid w:val="00D56926"/>
    <w:rsid w:val="00D56961"/>
    <w:rsid w:val="00D56983"/>
    <w:rsid w:val="00D56A06"/>
    <w:rsid w:val="00D56B77"/>
    <w:rsid w:val="00D56D01"/>
    <w:rsid w:val="00D56D17"/>
    <w:rsid w:val="00D56D6C"/>
    <w:rsid w:val="00D56D8E"/>
    <w:rsid w:val="00D56ED1"/>
    <w:rsid w:val="00D56ED7"/>
    <w:rsid w:val="00D570B2"/>
    <w:rsid w:val="00D5711B"/>
    <w:rsid w:val="00D5725F"/>
    <w:rsid w:val="00D572A6"/>
    <w:rsid w:val="00D574E8"/>
    <w:rsid w:val="00D57566"/>
    <w:rsid w:val="00D57598"/>
    <w:rsid w:val="00D575D1"/>
    <w:rsid w:val="00D5762A"/>
    <w:rsid w:val="00D57678"/>
    <w:rsid w:val="00D576F8"/>
    <w:rsid w:val="00D57898"/>
    <w:rsid w:val="00D57953"/>
    <w:rsid w:val="00D57984"/>
    <w:rsid w:val="00D579E1"/>
    <w:rsid w:val="00D57A0B"/>
    <w:rsid w:val="00D57A50"/>
    <w:rsid w:val="00D57A78"/>
    <w:rsid w:val="00D57B88"/>
    <w:rsid w:val="00D57BD3"/>
    <w:rsid w:val="00D57E44"/>
    <w:rsid w:val="00D57F74"/>
    <w:rsid w:val="00D600C8"/>
    <w:rsid w:val="00D600DA"/>
    <w:rsid w:val="00D60103"/>
    <w:rsid w:val="00D601C9"/>
    <w:rsid w:val="00D60206"/>
    <w:rsid w:val="00D602AB"/>
    <w:rsid w:val="00D603AB"/>
    <w:rsid w:val="00D605E6"/>
    <w:rsid w:val="00D60620"/>
    <w:rsid w:val="00D60628"/>
    <w:rsid w:val="00D60650"/>
    <w:rsid w:val="00D6065F"/>
    <w:rsid w:val="00D6067B"/>
    <w:rsid w:val="00D60706"/>
    <w:rsid w:val="00D60932"/>
    <w:rsid w:val="00D6095D"/>
    <w:rsid w:val="00D60A0A"/>
    <w:rsid w:val="00D60A7A"/>
    <w:rsid w:val="00D60A94"/>
    <w:rsid w:val="00D60B8F"/>
    <w:rsid w:val="00D60C23"/>
    <w:rsid w:val="00D60DAB"/>
    <w:rsid w:val="00D60ED5"/>
    <w:rsid w:val="00D60F58"/>
    <w:rsid w:val="00D60F7A"/>
    <w:rsid w:val="00D60FDA"/>
    <w:rsid w:val="00D60FEB"/>
    <w:rsid w:val="00D610D9"/>
    <w:rsid w:val="00D6111E"/>
    <w:rsid w:val="00D61278"/>
    <w:rsid w:val="00D612AA"/>
    <w:rsid w:val="00D612D7"/>
    <w:rsid w:val="00D61488"/>
    <w:rsid w:val="00D6151D"/>
    <w:rsid w:val="00D61575"/>
    <w:rsid w:val="00D61587"/>
    <w:rsid w:val="00D615C3"/>
    <w:rsid w:val="00D615E4"/>
    <w:rsid w:val="00D61830"/>
    <w:rsid w:val="00D61995"/>
    <w:rsid w:val="00D619A2"/>
    <w:rsid w:val="00D61A11"/>
    <w:rsid w:val="00D61B34"/>
    <w:rsid w:val="00D61BF7"/>
    <w:rsid w:val="00D61CBD"/>
    <w:rsid w:val="00D61D86"/>
    <w:rsid w:val="00D61DB9"/>
    <w:rsid w:val="00D61E49"/>
    <w:rsid w:val="00D61E70"/>
    <w:rsid w:val="00D61EA5"/>
    <w:rsid w:val="00D61EE3"/>
    <w:rsid w:val="00D61F0E"/>
    <w:rsid w:val="00D61F35"/>
    <w:rsid w:val="00D61F73"/>
    <w:rsid w:val="00D61F9D"/>
    <w:rsid w:val="00D62061"/>
    <w:rsid w:val="00D62070"/>
    <w:rsid w:val="00D62120"/>
    <w:rsid w:val="00D6219B"/>
    <w:rsid w:val="00D621BC"/>
    <w:rsid w:val="00D62287"/>
    <w:rsid w:val="00D623E2"/>
    <w:rsid w:val="00D6240F"/>
    <w:rsid w:val="00D62476"/>
    <w:rsid w:val="00D62489"/>
    <w:rsid w:val="00D625CA"/>
    <w:rsid w:val="00D626C5"/>
    <w:rsid w:val="00D62739"/>
    <w:rsid w:val="00D627FA"/>
    <w:rsid w:val="00D628A2"/>
    <w:rsid w:val="00D628BB"/>
    <w:rsid w:val="00D6290D"/>
    <w:rsid w:val="00D62952"/>
    <w:rsid w:val="00D62994"/>
    <w:rsid w:val="00D629D0"/>
    <w:rsid w:val="00D629DA"/>
    <w:rsid w:val="00D629FA"/>
    <w:rsid w:val="00D62A20"/>
    <w:rsid w:val="00D62B8B"/>
    <w:rsid w:val="00D62C44"/>
    <w:rsid w:val="00D62D88"/>
    <w:rsid w:val="00D62E1F"/>
    <w:rsid w:val="00D62F2F"/>
    <w:rsid w:val="00D62F3C"/>
    <w:rsid w:val="00D63032"/>
    <w:rsid w:val="00D63040"/>
    <w:rsid w:val="00D6308C"/>
    <w:rsid w:val="00D630F7"/>
    <w:rsid w:val="00D63387"/>
    <w:rsid w:val="00D6338A"/>
    <w:rsid w:val="00D6339B"/>
    <w:rsid w:val="00D633FF"/>
    <w:rsid w:val="00D6362F"/>
    <w:rsid w:val="00D63718"/>
    <w:rsid w:val="00D637E6"/>
    <w:rsid w:val="00D63903"/>
    <w:rsid w:val="00D6397E"/>
    <w:rsid w:val="00D639A7"/>
    <w:rsid w:val="00D63A55"/>
    <w:rsid w:val="00D63B4A"/>
    <w:rsid w:val="00D63C92"/>
    <w:rsid w:val="00D63E10"/>
    <w:rsid w:val="00D63E11"/>
    <w:rsid w:val="00D63E78"/>
    <w:rsid w:val="00D63EC5"/>
    <w:rsid w:val="00D63EF9"/>
    <w:rsid w:val="00D64060"/>
    <w:rsid w:val="00D64095"/>
    <w:rsid w:val="00D64097"/>
    <w:rsid w:val="00D6417C"/>
    <w:rsid w:val="00D64365"/>
    <w:rsid w:val="00D64406"/>
    <w:rsid w:val="00D644F0"/>
    <w:rsid w:val="00D645A9"/>
    <w:rsid w:val="00D64678"/>
    <w:rsid w:val="00D64683"/>
    <w:rsid w:val="00D647EE"/>
    <w:rsid w:val="00D6484F"/>
    <w:rsid w:val="00D6489E"/>
    <w:rsid w:val="00D648CF"/>
    <w:rsid w:val="00D6492C"/>
    <w:rsid w:val="00D6496F"/>
    <w:rsid w:val="00D64A40"/>
    <w:rsid w:val="00D64AC6"/>
    <w:rsid w:val="00D64B8C"/>
    <w:rsid w:val="00D64C3B"/>
    <w:rsid w:val="00D64C3D"/>
    <w:rsid w:val="00D64DB5"/>
    <w:rsid w:val="00D64E63"/>
    <w:rsid w:val="00D64EEE"/>
    <w:rsid w:val="00D64F03"/>
    <w:rsid w:val="00D6501E"/>
    <w:rsid w:val="00D6506D"/>
    <w:rsid w:val="00D650E4"/>
    <w:rsid w:val="00D6511C"/>
    <w:rsid w:val="00D65158"/>
    <w:rsid w:val="00D651FC"/>
    <w:rsid w:val="00D652AF"/>
    <w:rsid w:val="00D652BD"/>
    <w:rsid w:val="00D654AF"/>
    <w:rsid w:val="00D65500"/>
    <w:rsid w:val="00D65514"/>
    <w:rsid w:val="00D6555D"/>
    <w:rsid w:val="00D65695"/>
    <w:rsid w:val="00D65771"/>
    <w:rsid w:val="00D65844"/>
    <w:rsid w:val="00D658B2"/>
    <w:rsid w:val="00D65C23"/>
    <w:rsid w:val="00D65CC7"/>
    <w:rsid w:val="00D65D83"/>
    <w:rsid w:val="00D65DA2"/>
    <w:rsid w:val="00D65E5E"/>
    <w:rsid w:val="00D65EC0"/>
    <w:rsid w:val="00D65F03"/>
    <w:rsid w:val="00D65F45"/>
    <w:rsid w:val="00D66212"/>
    <w:rsid w:val="00D66479"/>
    <w:rsid w:val="00D66485"/>
    <w:rsid w:val="00D6669C"/>
    <w:rsid w:val="00D666F4"/>
    <w:rsid w:val="00D66731"/>
    <w:rsid w:val="00D6689A"/>
    <w:rsid w:val="00D668FA"/>
    <w:rsid w:val="00D66913"/>
    <w:rsid w:val="00D66953"/>
    <w:rsid w:val="00D66982"/>
    <w:rsid w:val="00D6699C"/>
    <w:rsid w:val="00D66CE4"/>
    <w:rsid w:val="00D66E4D"/>
    <w:rsid w:val="00D66EA3"/>
    <w:rsid w:val="00D66EBE"/>
    <w:rsid w:val="00D66F06"/>
    <w:rsid w:val="00D67216"/>
    <w:rsid w:val="00D67295"/>
    <w:rsid w:val="00D67310"/>
    <w:rsid w:val="00D673CD"/>
    <w:rsid w:val="00D674B2"/>
    <w:rsid w:val="00D6751B"/>
    <w:rsid w:val="00D67555"/>
    <w:rsid w:val="00D67576"/>
    <w:rsid w:val="00D6758D"/>
    <w:rsid w:val="00D67666"/>
    <w:rsid w:val="00D67750"/>
    <w:rsid w:val="00D677E5"/>
    <w:rsid w:val="00D67809"/>
    <w:rsid w:val="00D67A27"/>
    <w:rsid w:val="00D67B81"/>
    <w:rsid w:val="00D67C03"/>
    <w:rsid w:val="00D67F95"/>
    <w:rsid w:val="00D70084"/>
    <w:rsid w:val="00D700CA"/>
    <w:rsid w:val="00D70222"/>
    <w:rsid w:val="00D70254"/>
    <w:rsid w:val="00D702FE"/>
    <w:rsid w:val="00D703DC"/>
    <w:rsid w:val="00D706D3"/>
    <w:rsid w:val="00D707C4"/>
    <w:rsid w:val="00D7080D"/>
    <w:rsid w:val="00D7092F"/>
    <w:rsid w:val="00D70AD9"/>
    <w:rsid w:val="00D70D51"/>
    <w:rsid w:val="00D70D7C"/>
    <w:rsid w:val="00D70D88"/>
    <w:rsid w:val="00D70E76"/>
    <w:rsid w:val="00D70F7C"/>
    <w:rsid w:val="00D70FB5"/>
    <w:rsid w:val="00D70FCD"/>
    <w:rsid w:val="00D711E1"/>
    <w:rsid w:val="00D7122E"/>
    <w:rsid w:val="00D712C4"/>
    <w:rsid w:val="00D7131B"/>
    <w:rsid w:val="00D71367"/>
    <w:rsid w:val="00D71368"/>
    <w:rsid w:val="00D713D1"/>
    <w:rsid w:val="00D713FD"/>
    <w:rsid w:val="00D71404"/>
    <w:rsid w:val="00D715BC"/>
    <w:rsid w:val="00D717F8"/>
    <w:rsid w:val="00D7184B"/>
    <w:rsid w:val="00D71875"/>
    <w:rsid w:val="00D71AB3"/>
    <w:rsid w:val="00D71AB9"/>
    <w:rsid w:val="00D71B54"/>
    <w:rsid w:val="00D71BC7"/>
    <w:rsid w:val="00D71C0F"/>
    <w:rsid w:val="00D71D15"/>
    <w:rsid w:val="00D71DE8"/>
    <w:rsid w:val="00D71E44"/>
    <w:rsid w:val="00D71ECD"/>
    <w:rsid w:val="00D71F81"/>
    <w:rsid w:val="00D721EF"/>
    <w:rsid w:val="00D723FA"/>
    <w:rsid w:val="00D7246E"/>
    <w:rsid w:val="00D72488"/>
    <w:rsid w:val="00D72578"/>
    <w:rsid w:val="00D726D8"/>
    <w:rsid w:val="00D726F2"/>
    <w:rsid w:val="00D72703"/>
    <w:rsid w:val="00D7272F"/>
    <w:rsid w:val="00D7273D"/>
    <w:rsid w:val="00D727D2"/>
    <w:rsid w:val="00D72935"/>
    <w:rsid w:val="00D72AC6"/>
    <w:rsid w:val="00D72B3F"/>
    <w:rsid w:val="00D72B7B"/>
    <w:rsid w:val="00D72B9E"/>
    <w:rsid w:val="00D72C1A"/>
    <w:rsid w:val="00D72DA5"/>
    <w:rsid w:val="00D72E9F"/>
    <w:rsid w:val="00D72F2E"/>
    <w:rsid w:val="00D72F4C"/>
    <w:rsid w:val="00D7303B"/>
    <w:rsid w:val="00D73068"/>
    <w:rsid w:val="00D730E7"/>
    <w:rsid w:val="00D7313F"/>
    <w:rsid w:val="00D7318B"/>
    <w:rsid w:val="00D73200"/>
    <w:rsid w:val="00D732B2"/>
    <w:rsid w:val="00D73326"/>
    <w:rsid w:val="00D73463"/>
    <w:rsid w:val="00D734EC"/>
    <w:rsid w:val="00D7372A"/>
    <w:rsid w:val="00D737DD"/>
    <w:rsid w:val="00D73AD6"/>
    <w:rsid w:val="00D73ADB"/>
    <w:rsid w:val="00D73B03"/>
    <w:rsid w:val="00D73B39"/>
    <w:rsid w:val="00D73B43"/>
    <w:rsid w:val="00D73C60"/>
    <w:rsid w:val="00D73DC8"/>
    <w:rsid w:val="00D740B2"/>
    <w:rsid w:val="00D740F7"/>
    <w:rsid w:val="00D741B4"/>
    <w:rsid w:val="00D741EE"/>
    <w:rsid w:val="00D74217"/>
    <w:rsid w:val="00D74244"/>
    <w:rsid w:val="00D74247"/>
    <w:rsid w:val="00D74496"/>
    <w:rsid w:val="00D74540"/>
    <w:rsid w:val="00D74663"/>
    <w:rsid w:val="00D74664"/>
    <w:rsid w:val="00D746B3"/>
    <w:rsid w:val="00D7476B"/>
    <w:rsid w:val="00D748D5"/>
    <w:rsid w:val="00D74947"/>
    <w:rsid w:val="00D74A67"/>
    <w:rsid w:val="00D74A7B"/>
    <w:rsid w:val="00D74BB6"/>
    <w:rsid w:val="00D74BEB"/>
    <w:rsid w:val="00D74D88"/>
    <w:rsid w:val="00D74E11"/>
    <w:rsid w:val="00D74E87"/>
    <w:rsid w:val="00D74FB7"/>
    <w:rsid w:val="00D7501F"/>
    <w:rsid w:val="00D7513A"/>
    <w:rsid w:val="00D751FF"/>
    <w:rsid w:val="00D7522D"/>
    <w:rsid w:val="00D7537A"/>
    <w:rsid w:val="00D7538F"/>
    <w:rsid w:val="00D75534"/>
    <w:rsid w:val="00D755BA"/>
    <w:rsid w:val="00D755DA"/>
    <w:rsid w:val="00D755E8"/>
    <w:rsid w:val="00D756B2"/>
    <w:rsid w:val="00D75874"/>
    <w:rsid w:val="00D758D7"/>
    <w:rsid w:val="00D75A1B"/>
    <w:rsid w:val="00D75A6E"/>
    <w:rsid w:val="00D75A89"/>
    <w:rsid w:val="00D75BBC"/>
    <w:rsid w:val="00D75CB8"/>
    <w:rsid w:val="00D75CD6"/>
    <w:rsid w:val="00D75D2A"/>
    <w:rsid w:val="00D75EE8"/>
    <w:rsid w:val="00D75F68"/>
    <w:rsid w:val="00D761BA"/>
    <w:rsid w:val="00D7623D"/>
    <w:rsid w:val="00D76307"/>
    <w:rsid w:val="00D76401"/>
    <w:rsid w:val="00D7640A"/>
    <w:rsid w:val="00D7654C"/>
    <w:rsid w:val="00D765D9"/>
    <w:rsid w:val="00D7668A"/>
    <w:rsid w:val="00D768B7"/>
    <w:rsid w:val="00D769DF"/>
    <w:rsid w:val="00D76A80"/>
    <w:rsid w:val="00D76B46"/>
    <w:rsid w:val="00D76B79"/>
    <w:rsid w:val="00D76D6E"/>
    <w:rsid w:val="00D76EA7"/>
    <w:rsid w:val="00D76FBE"/>
    <w:rsid w:val="00D7708D"/>
    <w:rsid w:val="00D77208"/>
    <w:rsid w:val="00D77219"/>
    <w:rsid w:val="00D77333"/>
    <w:rsid w:val="00D77443"/>
    <w:rsid w:val="00D77477"/>
    <w:rsid w:val="00D7752B"/>
    <w:rsid w:val="00D77722"/>
    <w:rsid w:val="00D77917"/>
    <w:rsid w:val="00D7791A"/>
    <w:rsid w:val="00D77924"/>
    <w:rsid w:val="00D77AA0"/>
    <w:rsid w:val="00D77BA7"/>
    <w:rsid w:val="00D77BDE"/>
    <w:rsid w:val="00D77BF6"/>
    <w:rsid w:val="00D77D42"/>
    <w:rsid w:val="00D77EAE"/>
    <w:rsid w:val="00D77EDF"/>
    <w:rsid w:val="00D77EF9"/>
    <w:rsid w:val="00D77F14"/>
    <w:rsid w:val="00D77FA4"/>
    <w:rsid w:val="00D80077"/>
    <w:rsid w:val="00D8011E"/>
    <w:rsid w:val="00D80192"/>
    <w:rsid w:val="00D80226"/>
    <w:rsid w:val="00D80291"/>
    <w:rsid w:val="00D80318"/>
    <w:rsid w:val="00D803CC"/>
    <w:rsid w:val="00D803ED"/>
    <w:rsid w:val="00D80427"/>
    <w:rsid w:val="00D80480"/>
    <w:rsid w:val="00D804F5"/>
    <w:rsid w:val="00D80552"/>
    <w:rsid w:val="00D805C5"/>
    <w:rsid w:val="00D806BD"/>
    <w:rsid w:val="00D807E8"/>
    <w:rsid w:val="00D80A0A"/>
    <w:rsid w:val="00D80A49"/>
    <w:rsid w:val="00D80A7B"/>
    <w:rsid w:val="00D80ACE"/>
    <w:rsid w:val="00D80B23"/>
    <w:rsid w:val="00D80B30"/>
    <w:rsid w:val="00D80B69"/>
    <w:rsid w:val="00D80B7F"/>
    <w:rsid w:val="00D80B92"/>
    <w:rsid w:val="00D80BFE"/>
    <w:rsid w:val="00D80C22"/>
    <w:rsid w:val="00D80DD6"/>
    <w:rsid w:val="00D80E0B"/>
    <w:rsid w:val="00D80E5E"/>
    <w:rsid w:val="00D80FC1"/>
    <w:rsid w:val="00D810A2"/>
    <w:rsid w:val="00D810FB"/>
    <w:rsid w:val="00D81114"/>
    <w:rsid w:val="00D8161A"/>
    <w:rsid w:val="00D81669"/>
    <w:rsid w:val="00D816BE"/>
    <w:rsid w:val="00D81756"/>
    <w:rsid w:val="00D81774"/>
    <w:rsid w:val="00D817C2"/>
    <w:rsid w:val="00D818CC"/>
    <w:rsid w:val="00D81A2E"/>
    <w:rsid w:val="00D81A3B"/>
    <w:rsid w:val="00D81C70"/>
    <w:rsid w:val="00D81C8D"/>
    <w:rsid w:val="00D81CE0"/>
    <w:rsid w:val="00D81D85"/>
    <w:rsid w:val="00D81DD7"/>
    <w:rsid w:val="00D81E44"/>
    <w:rsid w:val="00D81E61"/>
    <w:rsid w:val="00D81F3A"/>
    <w:rsid w:val="00D820E7"/>
    <w:rsid w:val="00D821B9"/>
    <w:rsid w:val="00D821DB"/>
    <w:rsid w:val="00D82421"/>
    <w:rsid w:val="00D82464"/>
    <w:rsid w:val="00D82578"/>
    <w:rsid w:val="00D8258A"/>
    <w:rsid w:val="00D825AF"/>
    <w:rsid w:val="00D82C21"/>
    <w:rsid w:val="00D82C29"/>
    <w:rsid w:val="00D82CE7"/>
    <w:rsid w:val="00D82D07"/>
    <w:rsid w:val="00D82D74"/>
    <w:rsid w:val="00D82FDC"/>
    <w:rsid w:val="00D83294"/>
    <w:rsid w:val="00D832E7"/>
    <w:rsid w:val="00D8330A"/>
    <w:rsid w:val="00D83412"/>
    <w:rsid w:val="00D83485"/>
    <w:rsid w:val="00D835C2"/>
    <w:rsid w:val="00D83765"/>
    <w:rsid w:val="00D83776"/>
    <w:rsid w:val="00D837C4"/>
    <w:rsid w:val="00D838BA"/>
    <w:rsid w:val="00D83AAD"/>
    <w:rsid w:val="00D83B66"/>
    <w:rsid w:val="00D83BA2"/>
    <w:rsid w:val="00D83C6C"/>
    <w:rsid w:val="00D83CFE"/>
    <w:rsid w:val="00D83D35"/>
    <w:rsid w:val="00D83EA0"/>
    <w:rsid w:val="00D83ECA"/>
    <w:rsid w:val="00D840BF"/>
    <w:rsid w:val="00D8412F"/>
    <w:rsid w:val="00D843FC"/>
    <w:rsid w:val="00D8444F"/>
    <w:rsid w:val="00D844D3"/>
    <w:rsid w:val="00D8456A"/>
    <w:rsid w:val="00D845B4"/>
    <w:rsid w:val="00D845DB"/>
    <w:rsid w:val="00D845ED"/>
    <w:rsid w:val="00D84602"/>
    <w:rsid w:val="00D8468A"/>
    <w:rsid w:val="00D8471E"/>
    <w:rsid w:val="00D8479F"/>
    <w:rsid w:val="00D84814"/>
    <w:rsid w:val="00D84957"/>
    <w:rsid w:val="00D84A03"/>
    <w:rsid w:val="00D84A17"/>
    <w:rsid w:val="00D84BE9"/>
    <w:rsid w:val="00D84CA8"/>
    <w:rsid w:val="00D84E3C"/>
    <w:rsid w:val="00D84E98"/>
    <w:rsid w:val="00D84F25"/>
    <w:rsid w:val="00D85086"/>
    <w:rsid w:val="00D8511C"/>
    <w:rsid w:val="00D853E5"/>
    <w:rsid w:val="00D854BC"/>
    <w:rsid w:val="00D854CA"/>
    <w:rsid w:val="00D85618"/>
    <w:rsid w:val="00D85627"/>
    <w:rsid w:val="00D85640"/>
    <w:rsid w:val="00D85768"/>
    <w:rsid w:val="00D857A7"/>
    <w:rsid w:val="00D8585F"/>
    <w:rsid w:val="00D85882"/>
    <w:rsid w:val="00D8593C"/>
    <w:rsid w:val="00D85954"/>
    <w:rsid w:val="00D859F6"/>
    <w:rsid w:val="00D85A91"/>
    <w:rsid w:val="00D85BEC"/>
    <w:rsid w:val="00D85C1E"/>
    <w:rsid w:val="00D85C9B"/>
    <w:rsid w:val="00D85D51"/>
    <w:rsid w:val="00D85F03"/>
    <w:rsid w:val="00D86065"/>
    <w:rsid w:val="00D860E7"/>
    <w:rsid w:val="00D86205"/>
    <w:rsid w:val="00D863C4"/>
    <w:rsid w:val="00D864EB"/>
    <w:rsid w:val="00D86634"/>
    <w:rsid w:val="00D867B7"/>
    <w:rsid w:val="00D868AF"/>
    <w:rsid w:val="00D86927"/>
    <w:rsid w:val="00D869D3"/>
    <w:rsid w:val="00D869F0"/>
    <w:rsid w:val="00D86A4D"/>
    <w:rsid w:val="00D86B92"/>
    <w:rsid w:val="00D86C69"/>
    <w:rsid w:val="00D86C81"/>
    <w:rsid w:val="00D86CB9"/>
    <w:rsid w:val="00D86CFD"/>
    <w:rsid w:val="00D86F34"/>
    <w:rsid w:val="00D86FBE"/>
    <w:rsid w:val="00D87058"/>
    <w:rsid w:val="00D873FD"/>
    <w:rsid w:val="00D87489"/>
    <w:rsid w:val="00D874C6"/>
    <w:rsid w:val="00D87600"/>
    <w:rsid w:val="00D8760C"/>
    <w:rsid w:val="00D877F4"/>
    <w:rsid w:val="00D87863"/>
    <w:rsid w:val="00D878BF"/>
    <w:rsid w:val="00D87EFC"/>
    <w:rsid w:val="00D90036"/>
    <w:rsid w:val="00D900C6"/>
    <w:rsid w:val="00D900ED"/>
    <w:rsid w:val="00D90198"/>
    <w:rsid w:val="00D9030E"/>
    <w:rsid w:val="00D9034E"/>
    <w:rsid w:val="00D90504"/>
    <w:rsid w:val="00D90666"/>
    <w:rsid w:val="00D90741"/>
    <w:rsid w:val="00D90816"/>
    <w:rsid w:val="00D908BD"/>
    <w:rsid w:val="00D908D4"/>
    <w:rsid w:val="00D90917"/>
    <w:rsid w:val="00D909B6"/>
    <w:rsid w:val="00D90A4A"/>
    <w:rsid w:val="00D90A67"/>
    <w:rsid w:val="00D90D46"/>
    <w:rsid w:val="00D90E52"/>
    <w:rsid w:val="00D91081"/>
    <w:rsid w:val="00D910E1"/>
    <w:rsid w:val="00D911DF"/>
    <w:rsid w:val="00D91219"/>
    <w:rsid w:val="00D9122D"/>
    <w:rsid w:val="00D912C5"/>
    <w:rsid w:val="00D9139F"/>
    <w:rsid w:val="00D91437"/>
    <w:rsid w:val="00D9143A"/>
    <w:rsid w:val="00D914C1"/>
    <w:rsid w:val="00D9159A"/>
    <w:rsid w:val="00D918DE"/>
    <w:rsid w:val="00D9199C"/>
    <w:rsid w:val="00D919E1"/>
    <w:rsid w:val="00D91B29"/>
    <w:rsid w:val="00D91B73"/>
    <w:rsid w:val="00D91B97"/>
    <w:rsid w:val="00D91BA6"/>
    <w:rsid w:val="00D91BEC"/>
    <w:rsid w:val="00D91C5A"/>
    <w:rsid w:val="00D91D4E"/>
    <w:rsid w:val="00D91D72"/>
    <w:rsid w:val="00D91DB7"/>
    <w:rsid w:val="00D91E26"/>
    <w:rsid w:val="00D91E56"/>
    <w:rsid w:val="00D91E5C"/>
    <w:rsid w:val="00D91F1D"/>
    <w:rsid w:val="00D91F90"/>
    <w:rsid w:val="00D9203C"/>
    <w:rsid w:val="00D9214E"/>
    <w:rsid w:val="00D92167"/>
    <w:rsid w:val="00D922AD"/>
    <w:rsid w:val="00D9230C"/>
    <w:rsid w:val="00D9233D"/>
    <w:rsid w:val="00D9248C"/>
    <w:rsid w:val="00D924BC"/>
    <w:rsid w:val="00D924E9"/>
    <w:rsid w:val="00D9260B"/>
    <w:rsid w:val="00D9271E"/>
    <w:rsid w:val="00D92736"/>
    <w:rsid w:val="00D92811"/>
    <w:rsid w:val="00D92833"/>
    <w:rsid w:val="00D929E5"/>
    <w:rsid w:val="00D92B0E"/>
    <w:rsid w:val="00D92B20"/>
    <w:rsid w:val="00D92B30"/>
    <w:rsid w:val="00D92C09"/>
    <w:rsid w:val="00D92C9F"/>
    <w:rsid w:val="00D92CAD"/>
    <w:rsid w:val="00D92CF0"/>
    <w:rsid w:val="00D92D10"/>
    <w:rsid w:val="00D92DF7"/>
    <w:rsid w:val="00D92F18"/>
    <w:rsid w:val="00D9302B"/>
    <w:rsid w:val="00D930AA"/>
    <w:rsid w:val="00D93144"/>
    <w:rsid w:val="00D9315B"/>
    <w:rsid w:val="00D931F9"/>
    <w:rsid w:val="00D9349B"/>
    <w:rsid w:val="00D93546"/>
    <w:rsid w:val="00D93715"/>
    <w:rsid w:val="00D937C0"/>
    <w:rsid w:val="00D938A3"/>
    <w:rsid w:val="00D939A6"/>
    <w:rsid w:val="00D93A3C"/>
    <w:rsid w:val="00D93B08"/>
    <w:rsid w:val="00D93BF0"/>
    <w:rsid w:val="00D93C39"/>
    <w:rsid w:val="00D93CE4"/>
    <w:rsid w:val="00D93DF8"/>
    <w:rsid w:val="00D93ECA"/>
    <w:rsid w:val="00D93EE1"/>
    <w:rsid w:val="00D93F96"/>
    <w:rsid w:val="00D93FB3"/>
    <w:rsid w:val="00D94013"/>
    <w:rsid w:val="00D9412D"/>
    <w:rsid w:val="00D94247"/>
    <w:rsid w:val="00D942D3"/>
    <w:rsid w:val="00D94362"/>
    <w:rsid w:val="00D94434"/>
    <w:rsid w:val="00D94500"/>
    <w:rsid w:val="00D94506"/>
    <w:rsid w:val="00D945B9"/>
    <w:rsid w:val="00D94664"/>
    <w:rsid w:val="00D94823"/>
    <w:rsid w:val="00D94909"/>
    <w:rsid w:val="00D9499C"/>
    <w:rsid w:val="00D949CD"/>
    <w:rsid w:val="00D949F2"/>
    <w:rsid w:val="00D94A6B"/>
    <w:rsid w:val="00D94ACE"/>
    <w:rsid w:val="00D94B95"/>
    <w:rsid w:val="00D94D4E"/>
    <w:rsid w:val="00D94D93"/>
    <w:rsid w:val="00D94DB3"/>
    <w:rsid w:val="00D94DBF"/>
    <w:rsid w:val="00D94DC1"/>
    <w:rsid w:val="00D94E09"/>
    <w:rsid w:val="00D94E3A"/>
    <w:rsid w:val="00D94E98"/>
    <w:rsid w:val="00D94F41"/>
    <w:rsid w:val="00D95045"/>
    <w:rsid w:val="00D950A5"/>
    <w:rsid w:val="00D95137"/>
    <w:rsid w:val="00D951BA"/>
    <w:rsid w:val="00D952FD"/>
    <w:rsid w:val="00D9534D"/>
    <w:rsid w:val="00D953DF"/>
    <w:rsid w:val="00D95521"/>
    <w:rsid w:val="00D955A7"/>
    <w:rsid w:val="00D95629"/>
    <w:rsid w:val="00D95677"/>
    <w:rsid w:val="00D956D6"/>
    <w:rsid w:val="00D9578B"/>
    <w:rsid w:val="00D95892"/>
    <w:rsid w:val="00D95947"/>
    <w:rsid w:val="00D959BA"/>
    <w:rsid w:val="00D95A43"/>
    <w:rsid w:val="00D95B57"/>
    <w:rsid w:val="00D95CE0"/>
    <w:rsid w:val="00D960D4"/>
    <w:rsid w:val="00D960E5"/>
    <w:rsid w:val="00D960E7"/>
    <w:rsid w:val="00D9615D"/>
    <w:rsid w:val="00D96219"/>
    <w:rsid w:val="00D9622D"/>
    <w:rsid w:val="00D96273"/>
    <w:rsid w:val="00D9637E"/>
    <w:rsid w:val="00D96468"/>
    <w:rsid w:val="00D9666F"/>
    <w:rsid w:val="00D96759"/>
    <w:rsid w:val="00D967A8"/>
    <w:rsid w:val="00D96894"/>
    <w:rsid w:val="00D968A0"/>
    <w:rsid w:val="00D968D6"/>
    <w:rsid w:val="00D96977"/>
    <w:rsid w:val="00D969C1"/>
    <w:rsid w:val="00D96A21"/>
    <w:rsid w:val="00D96A54"/>
    <w:rsid w:val="00D96AAA"/>
    <w:rsid w:val="00D96AE9"/>
    <w:rsid w:val="00D96BC2"/>
    <w:rsid w:val="00D96CCC"/>
    <w:rsid w:val="00D96FE9"/>
    <w:rsid w:val="00D9707C"/>
    <w:rsid w:val="00D97140"/>
    <w:rsid w:val="00D97183"/>
    <w:rsid w:val="00D97286"/>
    <w:rsid w:val="00D972B4"/>
    <w:rsid w:val="00D972C9"/>
    <w:rsid w:val="00D972E3"/>
    <w:rsid w:val="00D9738C"/>
    <w:rsid w:val="00D973B4"/>
    <w:rsid w:val="00D974D2"/>
    <w:rsid w:val="00D9763B"/>
    <w:rsid w:val="00D976A8"/>
    <w:rsid w:val="00D976B0"/>
    <w:rsid w:val="00D97710"/>
    <w:rsid w:val="00D977E4"/>
    <w:rsid w:val="00D979E2"/>
    <w:rsid w:val="00D97A57"/>
    <w:rsid w:val="00D97AA7"/>
    <w:rsid w:val="00D97CD4"/>
    <w:rsid w:val="00D97D2C"/>
    <w:rsid w:val="00D97DC8"/>
    <w:rsid w:val="00D97F83"/>
    <w:rsid w:val="00D97FA1"/>
    <w:rsid w:val="00DA006B"/>
    <w:rsid w:val="00DA03C4"/>
    <w:rsid w:val="00DA04FC"/>
    <w:rsid w:val="00DA053E"/>
    <w:rsid w:val="00DA05FE"/>
    <w:rsid w:val="00DA061B"/>
    <w:rsid w:val="00DA0654"/>
    <w:rsid w:val="00DA075C"/>
    <w:rsid w:val="00DA0882"/>
    <w:rsid w:val="00DA0901"/>
    <w:rsid w:val="00DA0B69"/>
    <w:rsid w:val="00DA0BA9"/>
    <w:rsid w:val="00DA0C5B"/>
    <w:rsid w:val="00DA0CE4"/>
    <w:rsid w:val="00DA0CE8"/>
    <w:rsid w:val="00DA0FD7"/>
    <w:rsid w:val="00DA109C"/>
    <w:rsid w:val="00DA10CD"/>
    <w:rsid w:val="00DA119D"/>
    <w:rsid w:val="00DA11B1"/>
    <w:rsid w:val="00DA11D5"/>
    <w:rsid w:val="00DA11E4"/>
    <w:rsid w:val="00DA11FD"/>
    <w:rsid w:val="00DA14A1"/>
    <w:rsid w:val="00DA14B8"/>
    <w:rsid w:val="00DA1530"/>
    <w:rsid w:val="00DA1593"/>
    <w:rsid w:val="00DA15BE"/>
    <w:rsid w:val="00DA15C7"/>
    <w:rsid w:val="00DA17AF"/>
    <w:rsid w:val="00DA19F9"/>
    <w:rsid w:val="00DA1A45"/>
    <w:rsid w:val="00DA1B35"/>
    <w:rsid w:val="00DA1B8E"/>
    <w:rsid w:val="00DA1B93"/>
    <w:rsid w:val="00DA1BF1"/>
    <w:rsid w:val="00DA1C79"/>
    <w:rsid w:val="00DA1D13"/>
    <w:rsid w:val="00DA1D72"/>
    <w:rsid w:val="00DA1E89"/>
    <w:rsid w:val="00DA209F"/>
    <w:rsid w:val="00DA2123"/>
    <w:rsid w:val="00DA2172"/>
    <w:rsid w:val="00DA21DE"/>
    <w:rsid w:val="00DA2247"/>
    <w:rsid w:val="00DA23B5"/>
    <w:rsid w:val="00DA23F0"/>
    <w:rsid w:val="00DA28EB"/>
    <w:rsid w:val="00DA2997"/>
    <w:rsid w:val="00DA29EC"/>
    <w:rsid w:val="00DA2A9C"/>
    <w:rsid w:val="00DA2C64"/>
    <w:rsid w:val="00DA2D00"/>
    <w:rsid w:val="00DA2ED1"/>
    <w:rsid w:val="00DA2FF3"/>
    <w:rsid w:val="00DA30A6"/>
    <w:rsid w:val="00DA3117"/>
    <w:rsid w:val="00DA3125"/>
    <w:rsid w:val="00DA3145"/>
    <w:rsid w:val="00DA33D1"/>
    <w:rsid w:val="00DA33F1"/>
    <w:rsid w:val="00DA3455"/>
    <w:rsid w:val="00DA3553"/>
    <w:rsid w:val="00DA3602"/>
    <w:rsid w:val="00DA3674"/>
    <w:rsid w:val="00DA36C8"/>
    <w:rsid w:val="00DA381E"/>
    <w:rsid w:val="00DA390B"/>
    <w:rsid w:val="00DA3A39"/>
    <w:rsid w:val="00DA3B48"/>
    <w:rsid w:val="00DA3B70"/>
    <w:rsid w:val="00DA3BF5"/>
    <w:rsid w:val="00DA3C46"/>
    <w:rsid w:val="00DA3D2F"/>
    <w:rsid w:val="00DA3E57"/>
    <w:rsid w:val="00DA3EAE"/>
    <w:rsid w:val="00DA3EB8"/>
    <w:rsid w:val="00DA3ED6"/>
    <w:rsid w:val="00DA4039"/>
    <w:rsid w:val="00DA41D8"/>
    <w:rsid w:val="00DA4220"/>
    <w:rsid w:val="00DA4226"/>
    <w:rsid w:val="00DA429D"/>
    <w:rsid w:val="00DA42D1"/>
    <w:rsid w:val="00DA42D4"/>
    <w:rsid w:val="00DA4403"/>
    <w:rsid w:val="00DA4602"/>
    <w:rsid w:val="00DA4781"/>
    <w:rsid w:val="00DA47BF"/>
    <w:rsid w:val="00DA4852"/>
    <w:rsid w:val="00DA4856"/>
    <w:rsid w:val="00DA4897"/>
    <w:rsid w:val="00DA499C"/>
    <w:rsid w:val="00DA49C2"/>
    <w:rsid w:val="00DA4BD2"/>
    <w:rsid w:val="00DA4CDF"/>
    <w:rsid w:val="00DA4F4C"/>
    <w:rsid w:val="00DA4FAB"/>
    <w:rsid w:val="00DA4FE5"/>
    <w:rsid w:val="00DA50F2"/>
    <w:rsid w:val="00DA5132"/>
    <w:rsid w:val="00DA5274"/>
    <w:rsid w:val="00DA5279"/>
    <w:rsid w:val="00DA5303"/>
    <w:rsid w:val="00DA548F"/>
    <w:rsid w:val="00DA5501"/>
    <w:rsid w:val="00DA55B4"/>
    <w:rsid w:val="00DA55F4"/>
    <w:rsid w:val="00DA5653"/>
    <w:rsid w:val="00DA5748"/>
    <w:rsid w:val="00DA57CB"/>
    <w:rsid w:val="00DA57D5"/>
    <w:rsid w:val="00DA5990"/>
    <w:rsid w:val="00DA5AF8"/>
    <w:rsid w:val="00DA5E55"/>
    <w:rsid w:val="00DA5E84"/>
    <w:rsid w:val="00DA5F0D"/>
    <w:rsid w:val="00DA5F51"/>
    <w:rsid w:val="00DA6065"/>
    <w:rsid w:val="00DA6068"/>
    <w:rsid w:val="00DA61B3"/>
    <w:rsid w:val="00DA6299"/>
    <w:rsid w:val="00DA6307"/>
    <w:rsid w:val="00DA631A"/>
    <w:rsid w:val="00DA6365"/>
    <w:rsid w:val="00DA63E2"/>
    <w:rsid w:val="00DA6442"/>
    <w:rsid w:val="00DA6617"/>
    <w:rsid w:val="00DA663E"/>
    <w:rsid w:val="00DA695E"/>
    <w:rsid w:val="00DA6A76"/>
    <w:rsid w:val="00DA6CBD"/>
    <w:rsid w:val="00DA6D23"/>
    <w:rsid w:val="00DA6E7C"/>
    <w:rsid w:val="00DA6EA8"/>
    <w:rsid w:val="00DA6EC4"/>
    <w:rsid w:val="00DA6F27"/>
    <w:rsid w:val="00DA6F9E"/>
    <w:rsid w:val="00DA6FCC"/>
    <w:rsid w:val="00DA704D"/>
    <w:rsid w:val="00DA708E"/>
    <w:rsid w:val="00DA70C1"/>
    <w:rsid w:val="00DA7151"/>
    <w:rsid w:val="00DA7214"/>
    <w:rsid w:val="00DA7291"/>
    <w:rsid w:val="00DA7397"/>
    <w:rsid w:val="00DA76C7"/>
    <w:rsid w:val="00DA76EF"/>
    <w:rsid w:val="00DA773E"/>
    <w:rsid w:val="00DA7789"/>
    <w:rsid w:val="00DA7797"/>
    <w:rsid w:val="00DA7859"/>
    <w:rsid w:val="00DA79CF"/>
    <w:rsid w:val="00DA7B6D"/>
    <w:rsid w:val="00DA7B93"/>
    <w:rsid w:val="00DA7B9F"/>
    <w:rsid w:val="00DA7CF8"/>
    <w:rsid w:val="00DA7DD2"/>
    <w:rsid w:val="00DA7E28"/>
    <w:rsid w:val="00DA7E37"/>
    <w:rsid w:val="00DA7E58"/>
    <w:rsid w:val="00DB000A"/>
    <w:rsid w:val="00DB006B"/>
    <w:rsid w:val="00DB00A7"/>
    <w:rsid w:val="00DB00AB"/>
    <w:rsid w:val="00DB0171"/>
    <w:rsid w:val="00DB01C0"/>
    <w:rsid w:val="00DB020A"/>
    <w:rsid w:val="00DB0254"/>
    <w:rsid w:val="00DB0287"/>
    <w:rsid w:val="00DB0306"/>
    <w:rsid w:val="00DB035F"/>
    <w:rsid w:val="00DB0569"/>
    <w:rsid w:val="00DB0587"/>
    <w:rsid w:val="00DB0649"/>
    <w:rsid w:val="00DB079B"/>
    <w:rsid w:val="00DB08D2"/>
    <w:rsid w:val="00DB0965"/>
    <w:rsid w:val="00DB0A76"/>
    <w:rsid w:val="00DB0B85"/>
    <w:rsid w:val="00DB0C86"/>
    <w:rsid w:val="00DB0C9A"/>
    <w:rsid w:val="00DB0CDA"/>
    <w:rsid w:val="00DB0CFB"/>
    <w:rsid w:val="00DB0D05"/>
    <w:rsid w:val="00DB0D55"/>
    <w:rsid w:val="00DB0DD2"/>
    <w:rsid w:val="00DB0E66"/>
    <w:rsid w:val="00DB0E70"/>
    <w:rsid w:val="00DB0E79"/>
    <w:rsid w:val="00DB1084"/>
    <w:rsid w:val="00DB109B"/>
    <w:rsid w:val="00DB10E1"/>
    <w:rsid w:val="00DB10FA"/>
    <w:rsid w:val="00DB1123"/>
    <w:rsid w:val="00DB1139"/>
    <w:rsid w:val="00DB114D"/>
    <w:rsid w:val="00DB11D1"/>
    <w:rsid w:val="00DB1272"/>
    <w:rsid w:val="00DB12D2"/>
    <w:rsid w:val="00DB135F"/>
    <w:rsid w:val="00DB137B"/>
    <w:rsid w:val="00DB13E3"/>
    <w:rsid w:val="00DB14C8"/>
    <w:rsid w:val="00DB14E4"/>
    <w:rsid w:val="00DB16E5"/>
    <w:rsid w:val="00DB17B5"/>
    <w:rsid w:val="00DB19C8"/>
    <w:rsid w:val="00DB1A75"/>
    <w:rsid w:val="00DB1A7E"/>
    <w:rsid w:val="00DB1C47"/>
    <w:rsid w:val="00DB1D0D"/>
    <w:rsid w:val="00DB1DF6"/>
    <w:rsid w:val="00DB1E6F"/>
    <w:rsid w:val="00DB1F47"/>
    <w:rsid w:val="00DB22E4"/>
    <w:rsid w:val="00DB22EC"/>
    <w:rsid w:val="00DB2327"/>
    <w:rsid w:val="00DB23D1"/>
    <w:rsid w:val="00DB253F"/>
    <w:rsid w:val="00DB2615"/>
    <w:rsid w:val="00DB28C5"/>
    <w:rsid w:val="00DB293A"/>
    <w:rsid w:val="00DB29A2"/>
    <w:rsid w:val="00DB2A51"/>
    <w:rsid w:val="00DB2A85"/>
    <w:rsid w:val="00DB2AC8"/>
    <w:rsid w:val="00DB2B7D"/>
    <w:rsid w:val="00DB2CED"/>
    <w:rsid w:val="00DB2D47"/>
    <w:rsid w:val="00DB2D80"/>
    <w:rsid w:val="00DB2DC6"/>
    <w:rsid w:val="00DB2E27"/>
    <w:rsid w:val="00DB2F6C"/>
    <w:rsid w:val="00DB3011"/>
    <w:rsid w:val="00DB3260"/>
    <w:rsid w:val="00DB3294"/>
    <w:rsid w:val="00DB339B"/>
    <w:rsid w:val="00DB348F"/>
    <w:rsid w:val="00DB34C9"/>
    <w:rsid w:val="00DB34CB"/>
    <w:rsid w:val="00DB34CE"/>
    <w:rsid w:val="00DB365D"/>
    <w:rsid w:val="00DB373F"/>
    <w:rsid w:val="00DB394B"/>
    <w:rsid w:val="00DB3A64"/>
    <w:rsid w:val="00DB3AC0"/>
    <w:rsid w:val="00DB3BD0"/>
    <w:rsid w:val="00DB3CA0"/>
    <w:rsid w:val="00DB3CDA"/>
    <w:rsid w:val="00DB3CE3"/>
    <w:rsid w:val="00DB3E8F"/>
    <w:rsid w:val="00DB3ED5"/>
    <w:rsid w:val="00DB40BF"/>
    <w:rsid w:val="00DB40D4"/>
    <w:rsid w:val="00DB415A"/>
    <w:rsid w:val="00DB4207"/>
    <w:rsid w:val="00DB4228"/>
    <w:rsid w:val="00DB426C"/>
    <w:rsid w:val="00DB4372"/>
    <w:rsid w:val="00DB4395"/>
    <w:rsid w:val="00DB4488"/>
    <w:rsid w:val="00DB451D"/>
    <w:rsid w:val="00DB467D"/>
    <w:rsid w:val="00DB475A"/>
    <w:rsid w:val="00DB4886"/>
    <w:rsid w:val="00DB4AC1"/>
    <w:rsid w:val="00DB4C4D"/>
    <w:rsid w:val="00DB4CCF"/>
    <w:rsid w:val="00DB4D04"/>
    <w:rsid w:val="00DB4DB2"/>
    <w:rsid w:val="00DB4DC0"/>
    <w:rsid w:val="00DB4EE2"/>
    <w:rsid w:val="00DB503C"/>
    <w:rsid w:val="00DB517B"/>
    <w:rsid w:val="00DB51CC"/>
    <w:rsid w:val="00DB51FE"/>
    <w:rsid w:val="00DB5379"/>
    <w:rsid w:val="00DB5389"/>
    <w:rsid w:val="00DB5460"/>
    <w:rsid w:val="00DB5488"/>
    <w:rsid w:val="00DB5544"/>
    <w:rsid w:val="00DB55C0"/>
    <w:rsid w:val="00DB5749"/>
    <w:rsid w:val="00DB5771"/>
    <w:rsid w:val="00DB57BC"/>
    <w:rsid w:val="00DB58CE"/>
    <w:rsid w:val="00DB592A"/>
    <w:rsid w:val="00DB59F4"/>
    <w:rsid w:val="00DB5BF5"/>
    <w:rsid w:val="00DB5C2A"/>
    <w:rsid w:val="00DB5C30"/>
    <w:rsid w:val="00DB5C61"/>
    <w:rsid w:val="00DB5CFA"/>
    <w:rsid w:val="00DB5D6C"/>
    <w:rsid w:val="00DB5E11"/>
    <w:rsid w:val="00DB5F9C"/>
    <w:rsid w:val="00DB6072"/>
    <w:rsid w:val="00DB608D"/>
    <w:rsid w:val="00DB60AB"/>
    <w:rsid w:val="00DB61B4"/>
    <w:rsid w:val="00DB61F5"/>
    <w:rsid w:val="00DB61FE"/>
    <w:rsid w:val="00DB6354"/>
    <w:rsid w:val="00DB649C"/>
    <w:rsid w:val="00DB6583"/>
    <w:rsid w:val="00DB666F"/>
    <w:rsid w:val="00DB6717"/>
    <w:rsid w:val="00DB675E"/>
    <w:rsid w:val="00DB6801"/>
    <w:rsid w:val="00DB6A50"/>
    <w:rsid w:val="00DB6BD1"/>
    <w:rsid w:val="00DB6BE3"/>
    <w:rsid w:val="00DB6C4D"/>
    <w:rsid w:val="00DB6E42"/>
    <w:rsid w:val="00DB6EA2"/>
    <w:rsid w:val="00DB6FAE"/>
    <w:rsid w:val="00DB702F"/>
    <w:rsid w:val="00DB718C"/>
    <w:rsid w:val="00DB71D3"/>
    <w:rsid w:val="00DB71D8"/>
    <w:rsid w:val="00DB71F8"/>
    <w:rsid w:val="00DB73DB"/>
    <w:rsid w:val="00DB75AE"/>
    <w:rsid w:val="00DB7665"/>
    <w:rsid w:val="00DB76E9"/>
    <w:rsid w:val="00DB76F9"/>
    <w:rsid w:val="00DB775C"/>
    <w:rsid w:val="00DB77AD"/>
    <w:rsid w:val="00DB78D7"/>
    <w:rsid w:val="00DB7929"/>
    <w:rsid w:val="00DB7985"/>
    <w:rsid w:val="00DB7A27"/>
    <w:rsid w:val="00DB7AB2"/>
    <w:rsid w:val="00DB7AF2"/>
    <w:rsid w:val="00DB7C0C"/>
    <w:rsid w:val="00DB7C13"/>
    <w:rsid w:val="00DB7C4C"/>
    <w:rsid w:val="00DB7C66"/>
    <w:rsid w:val="00DB7D0D"/>
    <w:rsid w:val="00DB7EB8"/>
    <w:rsid w:val="00DB7ED0"/>
    <w:rsid w:val="00DC00A7"/>
    <w:rsid w:val="00DC0136"/>
    <w:rsid w:val="00DC021F"/>
    <w:rsid w:val="00DC02B4"/>
    <w:rsid w:val="00DC06DB"/>
    <w:rsid w:val="00DC0755"/>
    <w:rsid w:val="00DC07CE"/>
    <w:rsid w:val="00DC0879"/>
    <w:rsid w:val="00DC0880"/>
    <w:rsid w:val="00DC09A5"/>
    <w:rsid w:val="00DC0A01"/>
    <w:rsid w:val="00DC0A76"/>
    <w:rsid w:val="00DC0B2B"/>
    <w:rsid w:val="00DC0C8D"/>
    <w:rsid w:val="00DC0C9C"/>
    <w:rsid w:val="00DC0D1B"/>
    <w:rsid w:val="00DC0D23"/>
    <w:rsid w:val="00DC0E93"/>
    <w:rsid w:val="00DC0FB4"/>
    <w:rsid w:val="00DC101D"/>
    <w:rsid w:val="00DC1049"/>
    <w:rsid w:val="00DC10A8"/>
    <w:rsid w:val="00DC10AA"/>
    <w:rsid w:val="00DC119D"/>
    <w:rsid w:val="00DC1250"/>
    <w:rsid w:val="00DC12C2"/>
    <w:rsid w:val="00DC12C8"/>
    <w:rsid w:val="00DC12EF"/>
    <w:rsid w:val="00DC12FB"/>
    <w:rsid w:val="00DC132E"/>
    <w:rsid w:val="00DC13E4"/>
    <w:rsid w:val="00DC1578"/>
    <w:rsid w:val="00DC1613"/>
    <w:rsid w:val="00DC164F"/>
    <w:rsid w:val="00DC17D9"/>
    <w:rsid w:val="00DC17E0"/>
    <w:rsid w:val="00DC17EE"/>
    <w:rsid w:val="00DC17F9"/>
    <w:rsid w:val="00DC180C"/>
    <w:rsid w:val="00DC1887"/>
    <w:rsid w:val="00DC1A18"/>
    <w:rsid w:val="00DC1AF2"/>
    <w:rsid w:val="00DC1C7E"/>
    <w:rsid w:val="00DC1D8D"/>
    <w:rsid w:val="00DC1D99"/>
    <w:rsid w:val="00DC1DC5"/>
    <w:rsid w:val="00DC1E72"/>
    <w:rsid w:val="00DC2052"/>
    <w:rsid w:val="00DC2188"/>
    <w:rsid w:val="00DC2227"/>
    <w:rsid w:val="00DC2241"/>
    <w:rsid w:val="00DC24E3"/>
    <w:rsid w:val="00DC25A2"/>
    <w:rsid w:val="00DC25CC"/>
    <w:rsid w:val="00DC260D"/>
    <w:rsid w:val="00DC26C3"/>
    <w:rsid w:val="00DC2766"/>
    <w:rsid w:val="00DC279A"/>
    <w:rsid w:val="00DC27AE"/>
    <w:rsid w:val="00DC2A80"/>
    <w:rsid w:val="00DC2AC9"/>
    <w:rsid w:val="00DC2B32"/>
    <w:rsid w:val="00DC2B52"/>
    <w:rsid w:val="00DC2DF2"/>
    <w:rsid w:val="00DC2F90"/>
    <w:rsid w:val="00DC3030"/>
    <w:rsid w:val="00DC3172"/>
    <w:rsid w:val="00DC31AF"/>
    <w:rsid w:val="00DC3264"/>
    <w:rsid w:val="00DC331E"/>
    <w:rsid w:val="00DC357B"/>
    <w:rsid w:val="00DC36BB"/>
    <w:rsid w:val="00DC3708"/>
    <w:rsid w:val="00DC37D6"/>
    <w:rsid w:val="00DC381F"/>
    <w:rsid w:val="00DC3828"/>
    <w:rsid w:val="00DC3849"/>
    <w:rsid w:val="00DC3885"/>
    <w:rsid w:val="00DC389B"/>
    <w:rsid w:val="00DC390A"/>
    <w:rsid w:val="00DC3A24"/>
    <w:rsid w:val="00DC3B72"/>
    <w:rsid w:val="00DC3CE9"/>
    <w:rsid w:val="00DC3EC6"/>
    <w:rsid w:val="00DC404B"/>
    <w:rsid w:val="00DC4109"/>
    <w:rsid w:val="00DC4232"/>
    <w:rsid w:val="00DC4316"/>
    <w:rsid w:val="00DC4360"/>
    <w:rsid w:val="00DC4376"/>
    <w:rsid w:val="00DC43AA"/>
    <w:rsid w:val="00DC4623"/>
    <w:rsid w:val="00DC4718"/>
    <w:rsid w:val="00DC4755"/>
    <w:rsid w:val="00DC47D7"/>
    <w:rsid w:val="00DC4858"/>
    <w:rsid w:val="00DC48E8"/>
    <w:rsid w:val="00DC4A64"/>
    <w:rsid w:val="00DC4B34"/>
    <w:rsid w:val="00DC4BE0"/>
    <w:rsid w:val="00DC4D5B"/>
    <w:rsid w:val="00DC4D9F"/>
    <w:rsid w:val="00DC4DC0"/>
    <w:rsid w:val="00DC4E11"/>
    <w:rsid w:val="00DC5061"/>
    <w:rsid w:val="00DC512D"/>
    <w:rsid w:val="00DC5177"/>
    <w:rsid w:val="00DC51B6"/>
    <w:rsid w:val="00DC5232"/>
    <w:rsid w:val="00DC556C"/>
    <w:rsid w:val="00DC56EB"/>
    <w:rsid w:val="00DC574C"/>
    <w:rsid w:val="00DC5860"/>
    <w:rsid w:val="00DC58E0"/>
    <w:rsid w:val="00DC5BF9"/>
    <w:rsid w:val="00DC5DD9"/>
    <w:rsid w:val="00DC5DE0"/>
    <w:rsid w:val="00DC5E65"/>
    <w:rsid w:val="00DC5EC0"/>
    <w:rsid w:val="00DC5EDA"/>
    <w:rsid w:val="00DC5F7E"/>
    <w:rsid w:val="00DC6007"/>
    <w:rsid w:val="00DC61DA"/>
    <w:rsid w:val="00DC6360"/>
    <w:rsid w:val="00DC63C1"/>
    <w:rsid w:val="00DC68DD"/>
    <w:rsid w:val="00DC68E2"/>
    <w:rsid w:val="00DC698C"/>
    <w:rsid w:val="00DC6AA9"/>
    <w:rsid w:val="00DC6B66"/>
    <w:rsid w:val="00DC6BCB"/>
    <w:rsid w:val="00DC6CC8"/>
    <w:rsid w:val="00DC6CF7"/>
    <w:rsid w:val="00DC6D27"/>
    <w:rsid w:val="00DC6EED"/>
    <w:rsid w:val="00DC6F9B"/>
    <w:rsid w:val="00DC721A"/>
    <w:rsid w:val="00DC7234"/>
    <w:rsid w:val="00DC725A"/>
    <w:rsid w:val="00DC7432"/>
    <w:rsid w:val="00DC7477"/>
    <w:rsid w:val="00DC74C5"/>
    <w:rsid w:val="00DC75BB"/>
    <w:rsid w:val="00DC75F9"/>
    <w:rsid w:val="00DC76C5"/>
    <w:rsid w:val="00DC76CF"/>
    <w:rsid w:val="00DC7883"/>
    <w:rsid w:val="00DC79F5"/>
    <w:rsid w:val="00DC7A0D"/>
    <w:rsid w:val="00DC7A50"/>
    <w:rsid w:val="00DC7AAA"/>
    <w:rsid w:val="00DC7AE0"/>
    <w:rsid w:val="00DC7B0A"/>
    <w:rsid w:val="00DC7BC1"/>
    <w:rsid w:val="00DC7C13"/>
    <w:rsid w:val="00DC7C32"/>
    <w:rsid w:val="00DC7C34"/>
    <w:rsid w:val="00DC7D48"/>
    <w:rsid w:val="00DC7E0F"/>
    <w:rsid w:val="00DC7E34"/>
    <w:rsid w:val="00DC8864"/>
    <w:rsid w:val="00DD0008"/>
    <w:rsid w:val="00DD00FE"/>
    <w:rsid w:val="00DD0269"/>
    <w:rsid w:val="00DD037B"/>
    <w:rsid w:val="00DD0393"/>
    <w:rsid w:val="00DD046F"/>
    <w:rsid w:val="00DD04C1"/>
    <w:rsid w:val="00DD04F7"/>
    <w:rsid w:val="00DD0540"/>
    <w:rsid w:val="00DD0563"/>
    <w:rsid w:val="00DD05A3"/>
    <w:rsid w:val="00DD078D"/>
    <w:rsid w:val="00DD083E"/>
    <w:rsid w:val="00DD084D"/>
    <w:rsid w:val="00DD09DE"/>
    <w:rsid w:val="00DD0A8C"/>
    <w:rsid w:val="00DD0CC3"/>
    <w:rsid w:val="00DD0FFE"/>
    <w:rsid w:val="00DD111B"/>
    <w:rsid w:val="00DD1126"/>
    <w:rsid w:val="00DD11F6"/>
    <w:rsid w:val="00DD12C4"/>
    <w:rsid w:val="00DD152E"/>
    <w:rsid w:val="00DD1555"/>
    <w:rsid w:val="00DD155E"/>
    <w:rsid w:val="00DD15BD"/>
    <w:rsid w:val="00DD16BC"/>
    <w:rsid w:val="00DD185F"/>
    <w:rsid w:val="00DD1979"/>
    <w:rsid w:val="00DD1A2B"/>
    <w:rsid w:val="00DD1C7A"/>
    <w:rsid w:val="00DD1DC2"/>
    <w:rsid w:val="00DD1EBF"/>
    <w:rsid w:val="00DD2290"/>
    <w:rsid w:val="00DD2296"/>
    <w:rsid w:val="00DD22FB"/>
    <w:rsid w:val="00DD2378"/>
    <w:rsid w:val="00DD2469"/>
    <w:rsid w:val="00DD2489"/>
    <w:rsid w:val="00DD24EE"/>
    <w:rsid w:val="00DD252F"/>
    <w:rsid w:val="00DD266D"/>
    <w:rsid w:val="00DD277B"/>
    <w:rsid w:val="00DD285F"/>
    <w:rsid w:val="00DD28A8"/>
    <w:rsid w:val="00DD28E0"/>
    <w:rsid w:val="00DD2BC0"/>
    <w:rsid w:val="00DD2BE7"/>
    <w:rsid w:val="00DD2C5D"/>
    <w:rsid w:val="00DD2D76"/>
    <w:rsid w:val="00DD2DBE"/>
    <w:rsid w:val="00DD2E18"/>
    <w:rsid w:val="00DD2EC2"/>
    <w:rsid w:val="00DD2F67"/>
    <w:rsid w:val="00DD2FEA"/>
    <w:rsid w:val="00DD3006"/>
    <w:rsid w:val="00DD3024"/>
    <w:rsid w:val="00DD3037"/>
    <w:rsid w:val="00DD317E"/>
    <w:rsid w:val="00DD32B0"/>
    <w:rsid w:val="00DD332B"/>
    <w:rsid w:val="00DD34C3"/>
    <w:rsid w:val="00DD353A"/>
    <w:rsid w:val="00DD35DE"/>
    <w:rsid w:val="00DD3827"/>
    <w:rsid w:val="00DD3899"/>
    <w:rsid w:val="00DD396C"/>
    <w:rsid w:val="00DD3989"/>
    <w:rsid w:val="00DD3B2B"/>
    <w:rsid w:val="00DD3B2F"/>
    <w:rsid w:val="00DD3B37"/>
    <w:rsid w:val="00DD3BF5"/>
    <w:rsid w:val="00DD3C60"/>
    <w:rsid w:val="00DD3D98"/>
    <w:rsid w:val="00DD415B"/>
    <w:rsid w:val="00DD4175"/>
    <w:rsid w:val="00DD4201"/>
    <w:rsid w:val="00DD42F5"/>
    <w:rsid w:val="00DD4399"/>
    <w:rsid w:val="00DD4528"/>
    <w:rsid w:val="00DD455C"/>
    <w:rsid w:val="00DD4763"/>
    <w:rsid w:val="00DD484D"/>
    <w:rsid w:val="00DD495A"/>
    <w:rsid w:val="00DD4984"/>
    <w:rsid w:val="00DD4A44"/>
    <w:rsid w:val="00DD4A7B"/>
    <w:rsid w:val="00DD4AD8"/>
    <w:rsid w:val="00DD4EB1"/>
    <w:rsid w:val="00DD50B2"/>
    <w:rsid w:val="00DD5117"/>
    <w:rsid w:val="00DD511D"/>
    <w:rsid w:val="00DD51CA"/>
    <w:rsid w:val="00DD51E1"/>
    <w:rsid w:val="00DD5284"/>
    <w:rsid w:val="00DD52B9"/>
    <w:rsid w:val="00DD5307"/>
    <w:rsid w:val="00DD534A"/>
    <w:rsid w:val="00DD537F"/>
    <w:rsid w:val="00DD53CB"/>
    <w:rsid w:val="00DD540E"/>
    <w:rsid w:val="00DD5684"/>
    <w:rsid w:val="00DD56B0"/>
    <w:rsid w:val="00DD58C9"/>
    <w:rsid w:val="00DD58FF"/>
    <w:rsid w:val="00DD5915"/>
    <w:rsid w:val="00DD5AED"/>
    <w:rsid w:val="00DD5BDA"/>
    <w:rsid w:val="00DD5C7F"/>
    <w:rsid w:val="00DD5D70"/>
    <w:rsid w:val="00DD5E46"/>
    <w:rsid w:val="00DD5E88"/>
    <w:rsid w:val="00DD5EB2"/>
    <w:rsid w:val="00DD5F78"/>
    <w:rsid w:val="00DD5FB0"/>
    <w:rsid w:val="00DD61E6"/>
    <w:rsid w:val="00DD61F8"/>
    <w:rsid w:val="00DD62C6"/>
    <w:rsid w:val="00DD62EC"/>
    <w:rsid w:val="00DD644A"/>
    <w:rsid w:val="00DD6605"/>
    <w:rsid w:val="00DD67D8"/>
    <w:rsid w:val="00DD68DB"/>
    <w:rsid w:val="00DD69C0"/>
    <w:rsid w:val="00DD6A2B"/>
    <w:rsid w:val="00DD6C59"/>
    <w:rsid w:val="00DD6CA1"/>
    <w:rsid w:val="00DD6CB7"/>
    <w:rsid w:val="00DD6D80"/>
    <w:rsid w:val="00DD6E7D"/>
    <w:rsid w:val="00DD6F2D"/>
    <w:rsid w:val="00DD70B1"/>
    <w:rsid w:val="00DD70E1"/>
    <w:rsid w:val="00DD742E"/>
    <w:rsid w:val="00DD754C"/>
    <w:rsid w:val="00DD778F"/>
    <w:rsid w:val="00DD7803"/>
    <w:rsid w:val="00DD78E1"/>
    <w:rsid w:val="00DD7908"/>
    <w:rsid w:val="00DD7933"/>
    <w:rsid w:val="00DD79F3"/>
    <w:rsid w:val="00DD7AA1"/>
    <w:rsid w:val="00DD7AB7"/>
    <w:rsid w:val="00DD7B21"/>
    <w:rsid w:val="00DD7B5E"/>
    <w:rsid w:val="00DD7C8E"/>
    <w:rsid w:val="00DD7CA9"/>
    <w:rsid w:val="00DD7D35"/>
    <w:rsid w:val="00DD7D55"/>
    <w:rsid w:val="00DD7EAF"/>
    <w:rsid w:val="00DD7ED1"/>
    <w:rsid w:val="00DD7FC1"/>
    <w:rsid w:val="00DD7FFE"/>
    <w:rsid w:val="00DE0106"/>
    <w:rsid w:val="00DE0121"/>
    <w:rsid w:val="00DE01F8"/>
    <w:rsid w:val="00DE0201"/>
    <w:rsid w:val="00DE027E"/>
    <w:rsid w:val="00DE030C"/>
    <w:rsid w:val="00DE036C"/>
    <w:rsid w:val="00DE037D"/>
    <w:rsid w:val="00DE0424"/>
    <w:rsid w:val="00DE055F"/>
    <w:rsid w:val="00DE05C1"/>
    <w:rsid w:val="00DE061B"/>
    <w:rsid w:val="00DE068A"/>
    <w:rsid w:val="00DE06AA"/>
    <w:rsid w:val="00DE0806"/>
    <w:rsid w:val="00DE0882"/>
    <w:rsid w:val="00DE0897"/>
    <w:rsid w:val="00DE098F"/>
    <w:rsid w:val="00DE09AF"/>
    <w:rsid w:val="00DE0B1D"/>
    <w:rsid w:val="00DE0B28"/>
    <w:rsid w:val="00DE0BA8"/>
    <w:rsid w:val="00DE0BB1"/>
    <w:rsid w:val="00DE0C7F"/>
    <w:rsid w:val="00DE0D10"/>
    <w:rsid w:val="00DE0D44"/>
    <w:rsid w:val="00DE0FBB"/>
    <w:rsid w:val="00DE0FC2"/>
    <w:rsid w:val="00DE1088"/>
    <w:rsid w:val="00DE108C"/>
    <w:rsid w:val="00DE1219"/>
    <w:rsid w:val="00DE124D"/>
    <w:rsid w:val="00DE1260"/>
    <w:rsid w:val="00DE129C"/>
    <w:rsid w:val="00DE12A7"/>
    <w:rsid w:val="00DE13C2"/>
    <w:rsid w:val="00DE15FA"/>
    <w:rsid w:val="00DE165D"/>
    <w:rsid w:val="00DE16A5"/>
    <w:rsid w:val="00DE19F2"/>
    <w:rsid w:val="00DE1BE9"/>
    <w:rsid w:val="00DE1C46"/>
    <w:rsid w:val="00DE1C4B"/>
    <w:rsid w:val="00DE1C7B"/>
    <w:rsid w:val="00DE1D37"/>
    <w:rsid w:val="00DE1DB6"/>
    <w:rsid w:val="00DE1F16"/>
    <w:rsid w:val="00DE206E"/>
    <w:rsid w:val="00DE2171"/>
    <w:rsid w:val="00DE21F2"/>
    <w:rsid w:val="00DE2232"/>
    <w:rsid w:val="00DE23D1"/>
    <w:rsid w:val="00DE24AF"/>
    <w:rsid w:val="00DE25F3"/>
    <w:rsid w:val="00DE2619"/>
    <w:rsid w:val="00DE2692"/>
    <w:rsid w:val="00DE273E"/>
    <w:rsid w:val="00DE274F"/>
    <w:rsid w:val="00DE292D"/>
    <w:rsid w:val="00DE2A12"/>
    <w:rsid w:val="00DE2A61"/>
    <w:rsid w:val="00DE2C66"/>
    <w:rsid w:val="00DE2D5A"/>
    <w:rsid w:val="00DE2DF0"/>
    <w:rsid w:val="00DE2E46"/>
    <w:rsid w:val="00DE2E89"/>
    <w:rsid w:val="00DE2F4C"/>
    <w:rsid w:val="00DE2F75"/>
    <w:rsid w:val="00DE2FE3"/>
    <w:rsid w:val="00DE350C"/>
    <w:rsid w:val="00DE35A8"/>
    <w:rsid w:val="00DE35CB"/>
    <w:rsid w:val="00DE375F"/>
    <w:rsid w:val="00DE38B0"/>
    <w:rsid w:val="00DE38C0"/>
    <w:rsid w:val="00DE39A5"/>
    <w:rsid w:val="00DE39D4"/>
    <w:rsid w:val="00DE3A07"/>
    <w:rsid w:val="00DE3B2A"/>
    <w:rsid w:val="00DE3BCA"/>
    <w:rsid w:val="00DE3C3F"/>
    <w:rsid w:val="00DE3D11"/>
    <w:rsid w:val="00DE3D25"/>
    <w:rsid w:val="00DE3D37"/>
    <w:rsid w:val="00DE3DCF"/>
    <w:rsid w:val="00DE3DE1"/>
    <w:rsid w:val="00DE3E34"/>
    <w:rsid w:val="00DE3EB5"/>
    <w:rsid w:val="00DE3EBE"/>
    <w:rsid w:val="00DE3F40"/>
    <w:rsid w:val="00DE3F57"/>
    <w:rsid w:val="00DE402D"/>
    <w:rsid w:val="00DE4060"/>
    <w:rsid w:val="00DE4095"/>
    <w:rsid w:val="00DE40C0"/>
    <w:rsid w:val="00DE43B9"/>
    <w:rsid w:val="00DE43C6"/>
    <w:rsid w:val="00DE4501"/>
    <w:rsid w:val="00DE4517"/>
    <w:rsid w:val="00DE45D7"/>
    <w:rsid w:val="00DE45F9"/>
    <w:rsid w:val="00DE45FA"/>
    <w:rsid w:val="00DE463D"/>
    <w:rsid w:val="00DE47FC"/>
    <w:rsid w:val="00DE4887"/>
    <w:rsid w:val="00DE48A4"/>
    <w:rsid w:val="00DE4932"/>
    <w:rsid w:val="00DE4998"/>
    <w:rsid w:val="00DE49DC"/>
    <w:rsid w:val="00DE4A09"/>
    <w:rsid w:val="00DE4A39"/>
    <w:rsid w:val="00DE4B3D"/>
    <w:rsid w:val="00DE4D39"/>
    <w:rsid w:val="00DE4DAB"/>
    <w:rsid w:val="00DE4EFE"/>
    <w:rsid w:val="00DE4F81"/>
    <w:rsid w:val="00DE5024"/>
    <w:rsid w:val="00DE508C"/>
    <w:rsid w:val="00DE50E4"/>
    <w:rsid w:val="00DE50EC"/>
    <w:rsid w:val="00DE51ED"/>
    <w:rsid w:val="00DE5251"/>
    <w:rsid w:val="00DE5341"/>
    <w:rsid w:val="00DE535A"/>
    <w:rsid w:val="00DE544D"/>
    <w:rsid w:val="00DE549A"/>
    <w:rsid w:val="00DE56A4"/>
    <w:rsid w:val="00DE5778"/>
    <w:rsid w:val="00DE5883"/>
    <w:rsid w:val="00DE593D"/>
    <w:rsid w:val="00DE5A11"/>
    <w:rsid w:val="00DE5AB9"/>
    <w:rsid w:val="00DE5B28"/>
    <w:rsid w:val="00DE5F87"/>
    <w:rsid w:val="00DE5FB6"/>
    <w:rsid w:val="00DE6101"/>
    <w:rsid w:val="00DE629F"/>
    <w:rsid w:val="00DE6303"/>
    <w:rsid w:val="00DE646B"/>
    <w:rsid w:val="00DE65AE"/>
    <w:rsid w:val="00DE65ED"/>
    <w:rsid w:val="00DE65FF"/>
    <w:rsid w:val="00DE6834"/>
    <w:rsid w:val="00DE6877"/>
    <w:rsid w:val="00DE68DD"/>
    <w:rsid w:val="00DE68E0"/>
    <w:rsid w:val="00DE6940"/>
    <w:rsid w:val="00DE699A"/>
    <w:rsid w:val="00DE6AC1"/>
    <w:rsid w:val="00DE6C31"/>
    <w:rsid w:val="00DE6C60"/>
    <w:rsid w:val="00DE6C93"/>
    <w:rsid w:val="00DE6CC6"/>
    <w:rsid w:val="00DE6D31"/>
    <w:rsid w:val="00DE6E92"/>
    <w:rsid w:val="00DE6EEC"/>
    <w:rsid w:val="00DE704B"/>
    <w:rsid w:val="00DE724D"/>
    <w:rsid w:val="00DE74BE"/>
    <w:rsid w:val="00DE751C"/>
    <w:rsid w:val="00DE75C2"/>
    <w:rsid w:val="00DE7665"/>
    <w:rsid w:val="00DE793A"/>
    <w:rsid w:val="00DE7974"/>
    <w:rsid w:val="00DE7996"/>
    <w:rsid w:val="00DE7AB5"/>
    <w:rsid w:val="00DE7B70"/>
    <w:rsid w:val="00DE7C2E"/>
    <w:rsid w:val="00DE7C2F"/>
    <w:rsid w:val="00DE7E08"/>
    <w:rsid w:val="00DE7EBE"/>
    <w:rsid w:val="00DE7EF3"/>
    <w:rsid w:val="00DE7EF5"/>
    <w:rsid w:val="00DE7F59"/>
    <w:rsid w:val="00DF0088"/>
    <w:rsid w:val="00DF016D"/>
    <w:rsid w:val="00DF04EC"/>
    <w:rsid w:val="00DF0535"/>
    <w:rsid w:val="00DF0629"/>
    <w:rsid w:val="00DF0641"/>
    <w:rsid w:val="00DF0659"/>
    <w:rsid w:val="00DF0684"/>
    <w:rsid w:val="00DF06BE"/>
    <w:rsid w:val="00DF06E7"/>
    <w:rsid w:val="00DF06FE"/>
    <w:rsid w:val="00DF071B"/>
    <w:rsid w:val="00DF0C30"/>
    <w:rsid w:val="00DF0C54"/>
    <w:rsid w:val="00DF0D6A"/>
    <w:rsid w:val="00DF0DBB"/>
    <w:rsid w:val="00DF0E64"/>
    <w:rsid w:val="00DF0EEB"/>
    <w:rsid w:val="00DF0EF1"/>
    <w:rsid w:val="00DF0F6D"/>
    <w:rsid w:val="00DF1016"/>
    <w:rsid w:val="00DF1018"/>
    <w:rsid w:val="00DF117F"/>
    <w:rsid w:val="00DF1367"/>
    <w:rsid w:val="00DF148E"/>
    <w:rsid w:val="00DF15CC"/>
    <w:rsid w:val="00DF169C"/>
    <w:rsid w:val="00DF16AA"/>
    <w:rsid w:val="00DF16E5"/>
    <w:rsid w:val="00DF176D"/>
    <w:rsid w:val="00DF17CC"/>
    <w:rsid w:val="00DF17ED"/>
    <w:rsid w:val="00DF1871"/>
    <w:rsid w:val="00DF1880"/>
    <w:rsid w:val="00DF18DA"/>
    <w:rsid w:val="00DF1AA7"/>
    <w:rsid w:val="00DF1C0D"/>
    <w:rsid w:val="00DF1DF7"/>
    <w:rsid w:val="00DF1E50"/>
    <w:rsid w:val="00DF2022"/>
    <w:rsid w:val="00DF2035"/>
    <w:rsid w:val="00DF2088"/>
    <w:rsid w:val="00DF2168"/>
    <w:rsid w:val="00DF2188"/>
    <w:rsid w:val="00DF220F"/>
    <w:rsid w:val="00DF222D"/>
    <w:rsid w:val="00DF22B6"/>
    <w:rsid w:val="00DF23F9"/>
    <w:rsid w:val="00DF2428"/>
    <w:rsid w:val="00DF2432"/>
    <w:rsid w:val="00DF2551"/>
    <w:rsid w:val="00DF25B9"/>
    <w:rsid w:val="00DF2617"/>
    <w:rsid w:val="00DF28B5"/>
    <w:rsid w:val="00DF28E1"/>
    <w:rsid w:val="00DF2976"/>
    <w:rsid w:val="00DF2A75"/>
    <w:rsid w:val="00DF2AD8"/>
    <w:rsid w:val="00DF2AE2"/>
    <w:rsid w:val="00DF2AFD"/>
    <w:rsid w:val="00DF2B7B"/>
    <w:rsid w:val="00DF2C5C"/>
    <w:rsid w:val="00DF2F3A"/>
    <w:rsid w:val="00DF2F45"/>
    <w:rsid w:val="00DF2F6B"/>
    <w:rsid w:val="00DF2F78"/>
    <w:rsid w:val="00DF306C"/>
    <w:rsid w:val="00DF32D5"/>
    <w:rsid w:val="00DF33EB"/>
    <w:rsid w:val="00DF33FC"/>
    <w:rsid w:val="00DF34C3"/>
    <w:rsid w:val="00DF34E8"/>
    <w:rsid w:val="00DF3604"/>
    <w:rsid w:val="00DF3662"/>
    <w:rsid w:val="00DF3770"/>
    <w:rsid w:val="00DF37C7"/>
    <w:rsid w:val="00DF37D0"/>
    <w:rsid w:val="00DF38CD"/>
    <w:rsid w:val="00DF396B"/>
    <w:rsid w:val="00DF3AC2"/>
    <w:rsid w:val="00DF3C7E"/>
    <w:rsid w:val="00DF3C97"/>
    <w:rsid w:val="00DF3EE6"/>
    <w:rsid w:val="00DF3FB9"/>
    <w:rsid w:val="00DF4014"/>
    <w:rsid w:val="00DF4136"/>
    <w:rsid w:val="00DF433A"/>
    <w:rsid w:val="00DF4499"/>
    <w:rsid w:val="00DF45C7"/>
    <w:rsid w:val="00DF4759"/>
    <w:rsid w:val="00DF4B78"/>
    <w:rsid w:val="00DF4BE1"/>
    <w:rsid w:val="00DF4D37"/>
    <w:rsid w:val="00DF4ED9"/>
    <w:rsid w:val="00DF4F62"/>
    <w:rsid w:val="00DF4F74"/>
    <w:rsid w:val="00DF5076"/>
    <w:rsid w:val="00DF512B"/>
    <w:rsid w:val="00DF517A"/>
    <w:rsid w:val="00DF5544"/>
    <w:rsid w:val="00DF5567"/>
    <w:rsid w:val="00DF572C"/>
    <w:rsid w:val="00DF5739"/>
    <w:rsid w:val="00DF5869"/>
    <w:rsid w:val="00DF592F"/>
    <w:rsid w:val="00DF5AD0"/>
    <w:rsid w:val="00DF5B11"/>
    <w:rsid w:val="00DF5BCE"/>
    <w:rsid w:val="00DF5D57"/>
    <w:rsid w:val="00DF602E"/>
    <w:rsid w:val="00DF6115"/>
    <w:rsid w:val="00DF619F"/>
    <w:rsid w:val="00DF63E1"/>
    <w:rsid w:val="00DF642E"/>
    <w:rsid w:val="00DF64CB"/>
    <w:rsid w:val="00DF6560"/>
    <w:rsid w:val="00DF6717"/>
    <w:rsid w:val="00DF67F5"/>
    <w:rsid w:val="00DF6809"/>
    <w:rsid w:val="00DF689C"/>
    <w:rsid w:val="00DF6909"/>
    <w:rsid w:val="00DF6911"/>
    <w:rsid w:val="00DF69B6"/>
    <w:rsid w:val="00DF6BBF"/>
    <w:rsid w:val="00DF6C39"/>
    <w:rsid w:val="00DF6C8E"/>
    <w:rsid w:val="00DF6CA3"/>
    <w:rsid w:val="00DF6D49"/>
    <w:rsid w:val="00DF6D68"/>
    <w:rsid w:val="00DF6DCA"/>
    <w:rsid w:val="00DF6E59"/>
    <w:rsid w:val="00DF6E9B"/>
    <w:rsid w:val="00DF6F74"/>
    <w:rsid w:val="00DF6FF9"/>
    <w:rsid w:val="00DF7054"/>
    <w:rsid w:val="00DF7094"/>
    <w:rsid w:val="00DF7205"/>
    <w:rsid w:val="00DF723D"/>
    <w:rsid w:val="00DF7286"/>
    <w:rsid w:val="00DF72BF"/>
    <w:rsid w:val="00DF72EB"/>
    <w:rsid w:val="00DF7354"/>
    <w:rsid w:val="00DF740A"/>
    <w:rsid w:val="00DF7410"/>
    <w:rsid w:val="00DF7413"/>
    <w:rsid w:val="00DF751D"/>
    <w:rsid w:val="00DF75C5"/>
    <w:rsid w:val="00DF7640"/>
    <w:rsid w:val="00DF7866"/>
    <w:rsid w:val="00DF7910"/>
    <w:rsid w:val="00DF7944"/>
    <w:rsid w:val="00DF7A5D"/>
    <w:rsid w:val="00DF7C44"/>
    <w:rsid w:val="00DF7C96"/>
    <w:rsid w:val="00DF7D1A"/>
    <w:rsid w:val="00DF7D3A"/>
    <w:rsid w:val="00DF7DB9"/>
    <w:rsid w:val="00DF7DFF"/>
    <w:rsid w:val="00DF7E15"/>
    <w:rsid w:val="00DF7F08"/>
    <w:rsid w:val="00E00117"/>
    <w:rsid w:val="00E00130"/>
    <w:rsid w:val="00E00183"/>
    <w:rsid w:val="00E001BA"/>
    <w:rsid w:val="00E00375"/>
    <w:rsid w:val="00E0040F"/>
    <w:rsid w:val="00E00738"/>
    <w:rsid w:val="00E00741"/>
    <w:rsid w:val="00E00760"/>
    <w:rsid w:val="00E00783"/>
    <w:rsid w:val="00E007EA"/>
    <w:rsid w:val="00E00A6B"/>
    <w:rsid w:val="00E00C9C"/>
    <w:rsid w:val="00E00D4D"/>
    <w:rsid w:val="00E00D6F"/>
    <w:rsid w:val="00E00E02"/>
    <w:rsid w:val="00E00EB5"/>
    <w:rsid w:val="00E0104E"/>
    <w:rsid w:val="00E01142"/>
    <w:rsid w:val="00E013EE"/>
    <w:rsid w:val="00E01465"/>
    <w:rsid w:val="00E01691"/>
    <w:rsid w:val="00E016E6"/>
    <w:rsid w:val="00E016EC"/>
    <w:rsid w:val="00E01837"/>
    <w:rsid w:val="00E01909"/>
    <w:rsid w:val="00E01940"/>
    <w:rsid w:val="00E0194A"/>
    <w:rsid w:val="00E019BB"/>
    <w:rsid w:val="00E01D72"/>
    <w:rsid w:val="00E01D99"/>
    <w:rsid w:val="00E01FB1"/>
    <w:rsid w:val="00E02041"/>
    <w:rsid w:val="00E02116"/>
    <w:rsid w:val="00E021A7"/>
    <w:rsid w:val="00E0228D"/>
    <w:rsid w:val="00E0245E"/>
    <w:rsid w:val="00E026AA"/>
    <w:rsid w:val="00E0280C"/>
    <w:rsid w:val="00E0284C"/>
    <w:rsid w:val="00E0287F"/>
    <w:rsid w:val="00E02A83"/>
    <w:rsid w:val="00E02AAB"/>
    <w:rsid w:val="00E02B70"/>
    <w:rsid w:val="00E02C4A"/>
    <w:rsid w:val="00E02E55"/>
    <w:rsid w:val="00E02E69"/>
    <w:rsid w:val="00E02F41"/>
    <w:rsid w:val="00E02FFE"/>
    <w:rsid w:val="00E03089"/>
    <w:rsid w:val="00E030D0"/>
    <w:rsid w:val="00E0328B"/>
    <w:rsid w:val="00E032FF"/>
    <w:rsid w:val="00E03315"/>
    <w:rsid w:val="00E0338E"/>
    <w:rsid w:val="00E033C1"/>
    <w:rsid w:val="00E03556"/>
    <w:rsid w:val="00E03597"/>
    <w:rsid w:val="00E037D1"/>
    <w:rsid w:val="00E038D9"/>
    <w:rsid w:val="00E0390F"/>
    <w:rsid w:val="00E039B3"/>
    <w:rsid w:val="00E03A17"/>
    <w:rsid w:val="00E03A22"/>
    <w:rsid w:val="00E03A53"/>
    <w:rsid w:val="00E03ABA"/>
    <w:rsid w:val="00E03C31"/>
    <w:rsid w:val="00E03CCF"/>
    <w:rsid w:val="00E03D9F"/>
    <w:rsid w:val="00E03E1F"/>
    <w:rsid w:val="00E03E26"/>
    <w:rsid w:val="00E03EE0"/>
    <w:rsid w:val="00E04064"/>
    <w:rsid w:val="00E04188"/>
    <w:rsid w:val="00E042A8"/>
    <w:rsid w:val="00E043BE"/>
    <w:rsid w:val="00E04475"/>
    <w:rsid w:val="00E044DB"/>
    <w:rsid w:val="00E044FE"/>
    <w:rsid w:val="00E04614"/>
    <w:rsid w:val="00E04657"/>
    <w:rsid w:val="00E0475A"/>
    <w:rsid w:val="00E04840"/>
    <w:rsid w:val="00E048E8"/>
    <w:rsid w:val="00E04A69"/>
    <w:rsid w:val="00E04B06"/>
    <w:rsid w:val="00E04B3A"/>
    <w:rsid w:val="00E04C79"/>
    <w:rsid w:val="00E04CBB"/>
    <w:rsid w:val="00E04D3A"/>
    <w:rsid w:val="00E04FA2"/>
    <w:rsid w:val="00E05036"/>
    <w:rsid w:val="00E0513D"/>
    <w:rsid w:val="00E05164"/>
    <w:rsid w:val="00E051B4"/>
    <w:rsid w:val="00E053AE"/>
    <w:rsid w:val="00E05428"/>
    <w:rsid w:val="00E05530"/>
    <w:rsid w:val="00E056F7"/>
    <w:rsid w:val="00E05870"/>
    <w:rsid w:val="00E0594D"/>
    <w:rsid w:val="00E05985"/>
    <w:rsid w:val="00E05A00"/>
    <w:rsid w:val="00E05A1C"/>
    <w:rsid w:val="00E05A74"/>
    <w:rsid w:val="00E05B69"/>
    <w:rsid w:val="00E05BB2"/>
    <w:rsid w:val="00E05BB6"/>
    <w:rsid w:val="00E05BC7"/>
    <w:rsid w:val="00E05C6F"/>
    <w:rsid w:val="00E05E2B"/>
    <w:rsid w:val="00E05E6E"/>
    <w:rsid w:val="00E05F2C"/>
    <w:rsid w:val="00E0604E"/>
    <w:rsid w:val="00E06060"/>
    <w:rsid w:val="00E060BE"/>
    <w:rsid w:val="00E065A7"/>
    <w:rsid w:val="00E0664A"/>
    <w:rsid w:val="00E066C1"/>
    <w:rsid w:val="00E06807"/>
    <w:rsid w:val="00E068AF"/>
    <w:rsid w:val="00E068B2"/>
    <w:rsid w:val="00E068C0"/>
    <w:rsid w:val="00E069B9"/>
    <w:rsid w:val="00E06A77"/>
    <w:rsid w:val="00E06A88"/>
    <w:rsid w:val="00E06D42"/>
    <w:rsid w:val="00E06D6D"/>
    <w:rsid w:val="00E06F29"/>
    <w:rsid w:val="00E06F8B"/>
    <w:rsid w:val="00E071D3"/>
    <w:rsid w:val="00E07237"/>
    <w:rsid w:val="00E073AF"/>
    <w:rsid w:val="00E07424"/>
    <w:rsid w:val="00E075BF"/>
    <w:rsid w:val="00E0761E"/>
    <w:rsid w:val="00E07692"/>
    <w:rsid w:val="00E076F2"/>
    <w:rsid w:val="00E077CF"/>
    <w:rsid w:val="00E07824"/>
    <w:rsid w:val="00E07843"/>
    <w:rsid w:val="00E0785F"/>
    <w:rsid w:val="00E07882"/>
    <w:rsid w:val="00E07A99"/>
    <w:rsid w:val="00E07AE2"/>
    <w:rsid w:val="00E07BB0"/>
    <w:rsid w:val="00E07BBA"/>
    <w:rsid w:val="00E07CB4"/>
    <w:rsid w:val="00E07E3A"/>
    <w:rsid w:val="00E07E42"/>
    <w:rsid w:val="00E07F50"/>
    <w:rsid w:val="00E07FE4"/>
    <w:rsid w:val="00E1000F"/>
    <w:rsid w:val="00E101BF"/>
    <w:rsid w:val="00E101EF"/>
    <w:rsid w:val="00E102D0"/>
    <w:rsid w:val="00E103BC"/>
    <w:rsid w:val="00E103E2"/>
    <w:rsid w:val="00E10626"/>
    <w:rsid w:val="00E106F0"/>
    <w:rsid w:val="00E10716"/>
    <w:rsid w:val="00E10870"/>
    <w:rsid w:val="00E109F7"/>
    <w:rsid w:val="00E10ABC"/>
    <w:rsid w:val="00E10B0A"/>
    <w:rsid w:val="00E10BD5"/>
    <w:rsid w:val="00E10C91"/>
    <w:rsid w:val="00E10CDE"/>
    <w:rsid w:val="00E10F29"/>
    <w:rsid w:val="00E11092"/>
    <w:rsid w:val="00E11198"/>
    <w:rsid w:val="00E111CE"/>
    <w:rsid w:val="00E11208"/>
    <w:rsid w:val="00E11231"/>
    <w:rsid w:val="00E11372"/>
    <w:rsid w:val="00E114F1"/>
    <w:rsid w:val="00E11501"/>
    <w:rsid w:val="00E11586"/>
    <w:rsid w:val="00E116F7"/>
    <w:rsid w:val="00E11700"/>
    <w:rsid w:val="00E11731"/>
    <w:rsid w:val="00E117B0"/>
    <w:rsid w:val="00E117C2"/>
    <w:rsid w:val="00E11844"/>
    <w:rsid w:val="00E1199E"/>
    <w:rsid w:val="00E11B27"/>
    <w:rsid w:val="00E11EDA"/>
    <w:rsid w:val="00E11FD3"/>
    <w:rsid w:val="00E11FE4"/>
    <w:rsid w:val="00E11FF3"/>
    <w:rsid w:val="00E12002"/>
    <w:rsid w:val="00E1220C"/>
    <w:rsid w:val="00E123CE"/>
    <w:rsid w:val="00E12407"/>
    <w:rsid w:val="00E124A6"/>
    <w:rsid w:val="00E125D3"/>
    <w:rsid w:val="00E125FE"/>
    <w:rsid w:val="00E1260A"/>
    <w:rsid w:val="00E1266F"/>
    <w:rsid w:val="00E126C1"/>
    <w:rsid w:val="00E126D9"/>
    <w:rsid w:val="00E126FB"/>
    <w:rsid w:val="00E12761"/>
    <w:rsid w:val="00E12763"/>
    <w:rsid w:val="00E12975"/>
    <w:rsid w:val="00E129E0"/>
    <w:rsid w:val="00E12A2F"/>
    <w:rsid w:val="00E12A64"/>
    <w:rsid w:val="00E12A6E"/>
    <w:rsid w:val="00E12ABE"/>
    <w:rsid w:val="00E12B37"/>
    <w:rsid w:val="00E12B4C"/>
    <w:rsid w:val="00E12B6C"/>
    <w:rsid w:val="00E12BC0"/>
    <w:rsid w:val="00E12CB5"/>
    <w:rsid w:val="00E12CFF"/>
    <w:rsid w:val="00E12D55"/>
    <w:rsid w:val="00E12F2B"/>
    <w:rsid w:val="00E12F69"/>
    <w:rsid w:val="00E12F7B"/>
    <w:rsid w:val="00E12FF5"/>
    <w:rsid w:val="00E13059"/>
    <w:rsid w:val="00E130A7"/>
    <w:rsid w:val="00E1311F"/>
    <w:rsid w:val="00E131DC"/>
    <w:rsid w:val="00E131FF"/>
    <w:rsid w:val="00E13295"/>
    <w:rsid w:val="00E132C9"/>
    <w:rsid w:val="00E13380"/>
    <w:rsid w:val="00E13425"/>
    <w:rsid w:val="00E13795"/>
    <w:rsid w:val="00E139B0"/>
    <w:rsid w:val="00E13E0B"/>
    <w:rsid w:val="00E13F1D"/>
    <w:rsid w:val="00E14077"/>
    <w:rsid w:val="00E14136"/>
    <w:rsid w:val="00E144BA"/>
    <w:rsid w:val="00E144BC"/>
    <w:rsid w:val="00E144BD"/>
    <w:rsid w:val="00E145D0"/>
    <w:rsid w:val="00E1482A"/>
    <w:rsid w:val="00E1482F"/>
    <w:rsid w:val="00E148D9"/>
    <w:rsid w:val="00E14B50"/>
    <w:rsid w:val="00E14BD6"/>
    <w:rsid w:val="00E14C0E"/>
    <w:rsid w:val="00E14C32"/>
    <w:rsid w:val="00E14C76"/>
    <w:rsid w:val="00E14CB5"/>
    <w:rsid w:val="00E14CF9"/>
    <w:rsid w:val="00E14D93"/>
    <w:rsid w:val="00E14E31"/>
    <w:rsid w:val="00E14E32"/>
    <w:rsid w:val="00E14F6A"/>
    <w:rsid w:val="00E14FD2"/>
    <w:rsid w:val="00E14FE4"/>
    <w:rsid w:val="00E15065"/>
    <w:rsid w:val="00E150CF"/>
    <w:rsid w:val="00E15125"/>
    <w:rsid w:val="00E1517A"/>
    <w:rsid w:val="00E151A8"/>
    <w:rsid w:val="00E1520C"/>
    <w:rsid w:val="00E1539A"/>
    <w:rsid w:val="00E153A7"/>
    <w:rsid w:val="00E153DD"/>
    <w:rsid w:val="00E1543B"/>
    <w:rsid w:val="00E15510"/>
    <w:rsid w:val="00E1559F"/>
    <w:rsid w:val="00E15602"/>
    <w:rsid w:val="00E15704"/>
    <w:rsid w:val="00E15767"/>
    <w:rsid w:val="00E15844"/>
    <w:rsid w:val="00E15A08"/>
    <w:rsid w:val="00E15B43"/>
    <w:rsid w:val="00E15BE0"/>
    <w:rsid w:val="00E15D0A"/>
    <w:rsid w:val="00E15DD3"/>
    <w:rsid w:val="00E15F8D"/>
    <w:rsid w:val="00E15FB2"/>
    <w:rsid w:val="00E1611B"/>
    <w:rsid w:val="00E161FD"/>
    <w:rsid w:val="00E162AF"/>
    <w:rsid w:val="00E163A6"/>
    <w:rsid w:val="00E164E7"/>
    <w:rsid w:val="00E16662"/>
    <w:rsid w:val="00E16857"/>
    <w:rsid w:val="00E168A9"/>
    <w:rsid w:val="00E16911"/>
    <w:rsid w:val="00E169E8"/>
    <w:rsid w:val="00E16A9D"/>
    <w:rsid w:val="00E16AFA"/>
    <w:rsid w:val="00E16B53"/>
    <w:rsid w:val="00E16C06"/>
    <w:rsid w:val="00E16D73"/>
    <w:rsid w:val="00E16DA0"/>
    <w:rsid w:val="00E16F2C"/>
    <w:rsid w:val="00E16F4D"/>
    <w:rsid w:val="00E170B5"/>
    <w:rsid w:val="00E17166"/>
    <w:rsid w:val="00E171CB"/>
    <w:rsid w:val="00E17292"/>
    <w:rsid w:val="00E173BC"/>
    <w:rsid w:val="00E17482"/>
    <w:rsid w:val="00E174BB"/>
    <w:rsid w:val="00E175FD"/>
    <w:rsid w:val="00E17605"/>
    <w:rsid w:val="00E17755"/>
    <w:rsid w:val="00E177AF"/>
    <w:rsid w:val="00E17826"/>
    <w:rsid w:val="00E1798F"/>
    <w:rsid w:val="00E179D5"/>
    <w:rsid w:val="00E17AD1"/>
    <w:rsid w:val="00E17C1F"/>
    <w:rsid w:val="00E17C60"/>
    <w:rsid w:val="00E17D07"/>
    <w:rsid w:val="00E17D8B"/>
    <w:rsid w:val="00E17DEC"/>
    <w:rsid w:val="00E17E22"/>
    <w:rsid w:val="00E17E33"/>
    <w:rsid w:val="00E2015A"/>
    <w:rsid w:val="00E2021A"/>
    <w:rsid w:val="00E2023F"/>
    <w:rsid w:val="00E20270"/>
    <w:rsid w:val="00E202B4"/>
    <w:rsid w:val="00E203BF"/>
    <w:rsid w:val="00E2041E"/>
    <w:rsid w:val="00E20484"/>
    <w:rsid w:val="00E2052C"/>
    <w:rsid w:val="00E206B0"/>
    <w:rsid w:val="00E206C1"/>
    <w:rsid w:val="00E20724"/>
    <w:rsid w:val="00E207E2"/>
    <w:rsid w:val="00E20824"/>
    <w:rsid w:val="00E20834"/>
    <w:rsid w:val="00E20899"/>
    <w:rsid w:val="00E20A8A"/>
    <w:rsid w:val="00E20B7B"/>
    <w:rsid w:val="00E20BE0"/>
    <w:rsid w:val="00E20C2F"/>
    <w:rsid w:val="00E20C81"/>
    <w:rsid w:val="00E20C93"/>
    <w:rsid w:val="00E20CD1"/>
    <w:rsid w:val="00E20DA6"/>
    <w:rsid w:val="00E20F0D"/>
    <w:rsid w:val="00E20F1F"/>
    <w:rsid w:val="00E2119E"/>
    <w:rsid w:val="00E214E0"/>
    <w:rsid w:val="00E2167C"/>
    <w:rsid w:val="00E216E1"/>
    <w:rsid w:val="00E216E7"/>
    <w:rsid w:val="00E217D2"/>
    <w:rsid w:val="00E21820"/>
    <w:rsid w:val="00E2183A"/>
    <w:rsid w:val="00E2192B"/>
    <w:rsid w:val="00E2192E"/>
    <w:rsid w:val="00E2199C"/>
    <w:rsid w:val="00E21A1E"/>
    <w:rsid w:val="00E21A39"/>
    <w:rsid w:val="00E21A61"/>
    <w:rsid w:val="00E21A90"/>
    <w:rsid w:val="00E21ADD"/>
    <w:rsid w:val="00E21B4A"/>
    <w:rsid w:val="00E21DBC"/>
    <w:rsid w:val="00E21F96"/>
    <w:rsid w:val="00E220D4"/>
    <w:rsid w:val="00E220F3"/>
    <w:rsid w:val="00E22142"/>
    <w:rsid w:val="00E221D2"/>
    <w:rsid w:val="00E221DD"/>
    <w:rsid w:val="00E222A1"/>
    <w:rsid w:val="00E2230B"/>
    <w:rsid w:val="00E22347"/>
    <w:rsid w:val="00E2236F"/>
    <w:rsid w:val="00E223C1"/>
    <w:rsid w:val="00E2249D"/>
    <w:rsid w:val="00E224A6"/>
    <w:rsid w:val="00E2267D"/>
    <w:rsid w:val="00E226F2"/>
    <w:rsid w:val="00E22706"/>
    <w:rsid w:val="00E22853"/>
    <w:rsid w:val="00E22881"/>
    <w:rsid w:val="00E2288A"/>
    <w:rsid w:val="00E229FA"/>
    <w:rsid w:val="00E22A76"/>
    <w:rsid w:val="00E22B0D"/>
    <w:rsid w:val="00E22B77"/>
    <w:rsid w:val="00E22B91"/>
    <w:rsid w:val="00E22BA0"/>
    <w:rsid w:val="00E22C68"/>
    <w:rsid w:val="00E22D1F"/>
    <w:rsid w:val="00E22D84"/>
    <w:rsid w:val="00E22E27"/>
    <w:rsid w:val="00E22E4A"/>
    <w:rsid w:val="00E22ED0"/>
    <w:rsid w:val="00E22FE9"/>
    <w:rsid w:val="00E2301C"/>
    <w:rsid w:val="00E2304E"/>
    <w:rsid w:val="00E233A2"/>
    <w:rsid w:val="00E235EC"/>
    <w:rsid w:val="00E2366E"/>
    <w:rsid w:val="00E2376B"/>
    <w:rsid w:val="00E23790"/>
    <w:rsid w:val="00E237AC"/>
    <w:rsid w:val="00E23B03"/>
    <w:rsid w:val="00E23B26"/>
    <w:rsid w:val="00E23B6B"/>
    <w:rsid w:val="00E23BDA"/>
    <w:rsid w:val="00E23C3B"/>
    <w:rsid w:val="00E23C64"/>
    <w:rsid w:val="00E23D1F"/>
    <w:rsid w:val="00E23F39"/>
    <w:rsid w:val="00E240FA"/>
    <w:rsid w:val="00E24118"/>
    <w:rsid w:val="00E24131"/>
    <w:rsid w:val="00E24174"/>
    <w:rsid w:val="00E24344"/>
    <w:rsid w:val="00E243AA"/>
    <w:rsid w:val="00E243CD"/>
    <w:rsid w:val="00E245A3"/>
    <w:rsid w:val="00E2461C"/>
    <w:rsid w:val="00E24755"/>
    <w:rsid w:val="00E247BC"/>
    <w:rsid w:val="00E247FA"/>
    <w:rsid w:val="00E248A8"/>
    <w:rsid w:val="00E24970"/>
    <w:rsid w:val="00E24A25"/>
    <w:rsid w:val="00E24B13"/>
    <w:rsid w:val="00E24C37"/>
    <w:rsid w:val="00E24C96"/>
    <w:rsid w:val="00E24D3C"/>
    <w:rsid w:val="00E24E79"/>
    <w:rsid w:val="00E24EE5"/>
    <w:rsid w:val="00E24EF2"/>
    <w:rsid w:val="00E24F4C"/>
    <w:rsid w:val="00E250E0"/>
    <w:rsid w:val="00E25134"/>
    <w:rsid w:val="00E25230"/>
    <w:rsid w:val="00E255DF"/>
    <w:rsid w:val="00E25663"/>
    <w:rsid w:val="00E256A7"/>
    <w:rsid w:val="00E25728"/>
    <w:rsid w:val="00E25848"/>
    <w:rsid w:val="00E25A43"/>
    <w:rsid w:val="00E25A59"/>
    <w:rsid w:val="00E25A93"/>
    <w:rsid w:val="00E26006"/>
    <w:rsid w:val="00E261CA"/>
    <w:rsid w:val="00E26202"/>
    <w:rsid w:val="00E262A6"/>
    <w:rsid w:val="00E263C2"/>
    <w:rsid w:val="00E264C4"/>
    <w:rsid w:val="00E264CF"/>
    <w:rsid w:val="00E264D6"/>
    <w:rsid w:val="00E26587"/>
    <w:rsid w:val="00E265E0"/>
    <w:rsid w:val="00E26691"/>
    <w:rsid w:val="00E26924"/>
    <w:rsid w:val="00E26999"/>
    <w:rsid w:val="00E269C2"/>
    <w:rsid w:val="00E26A23"/>
    <w:rsid w:val="00E26A52"/>
    <w:rsid w:val="00E26AE7"/>
    <w:rsid w:val="00E26B71"/>
    <w:rsid w:val="00E26B9F"/>
    <w:rsid w:val="00E26C9F"/>
    <w:rsid w:val="00E26F2D"/>
    <w:rsid w:val="00E26F80"/>
    <w:rsid w:val="00E26FCF"/>
    <w:rsid w:val="00E270B3"/>
    <w:rsid w:val="00E27136"/>
    <w:rsid w:val="00E271DC"/>
    <w:rsid w:val="00E271E4"/>
    <w:rsid w:val="00E271FD"/>
    <w:rsid w:val="00E2732F"/>
    <w:rsid w:val="00E2733C"/>
    <w:rsid w:val="00E2736A"/>
    <w:rsid w:val="00E27390"/>
    <w:rsid w:val="00E2745A"/>
    <w:rsid w:val="00E27466"/>
    <w:rsid w:val="00E2746A"/>
    <w:rsid w:val="00E2746B"/>
    <w:rsid w:val="00E274DE"/>
    <w:rsid w:val="00E2755C"/>
    <w:rsid w:val="00E27661"/>
    <w:rsid w:val="00E27689"/>
    <w:rsid w:val="00E276FD"/>
    <w:rsid w:val="00E277C9"/>
    <w:rsid w:val="00E278D5"/>
    <w:rsid w:val="00E278DF"/>
    <w:rsid w:val="00E279E3"/>
    <w:rsid w:val="00E279F9"/>
    <w:rsid w:val="00E27A26"/>
    <w:rsid w:val="00E27B53"/>
    <w:rsid w:val="00E27B75"/>
    <w:rsid w:val="00E27E54"/>
    <w:rsid w:val="00E27EA0"/>
    <w:rsid w:val="00E27EFE"/>
    <w:rsid w:val="00E27FF4"/>
    <w:rsid w:val="00E30146"/>
    <w:rsid w:val="00E3016F"/>
    <w:rsid w:val="00E3025C"/>
    <w:rsid w:val="00E302DE"/>
    <w:rsid w:val="00E3056A"/>
    <w:rsid w:val="00E305AB"/>
    <w:rsid w:val="00E3064A"/>
    <w:rsid w:val="00E306C8"/>
    <w:rsid w:val="00E30776"/>
    <w:rsid w:val="00E30789"/>
    <w:rsid w:val="00E308A5"/>
    <w:rsid w:val="00E30AB4"/>
    <w:rsid w:val="00E30B0B"/>
    <w:rsid w:val="00E30B5E"/>
    <w:rsid w:val="00E30BF7"/>
    <w:rsid w:val="00E30D34"/>
    <w:rsid w:val="00E30E1F"/>
    <w:rsid w:val="00E31024"/>
    <w:rsid w:val="00E31039"/>
    <w:rsid w:val="00E3118D"/>
    <w:rsid w:val="00E31216"/>
    <w:rsid w:val="00E31327"/>
    <w:rsid w:val="00E31493"/>
    <w:rsid w:val="00E315C8"/>
    <w:rsid w:val="00E316C7"/>
    <w:rsid w:val="00E31791"/>
    <w:rsid w:val="00E317C1"/>
    <w:rsid w:val="00E31812"/>
    <w:rsid w:val="00E319A2"/>
    <w:rsid w:val="00E319B9"/>
    <w:rsid w:val="00E319D0"/>
    <w:rsid w:val="00E31A49"/>
    <w:rsid w:val="00E31B7F"/>
    <w:rsid w:val="00E31BA8"/>
    <w:rsid w:val="00E31C02"/>
    <w:rsid w:val="00E31EA5"/>
    <w:rsid w:val="00E31EFB"/>
    <w:rsid w:val="00E32078"/>
    <w:rsid w:val="00E320D6"/>
    <w:rsid w:val="00E321B3"/>
    <w:rsid w:val="00E3220D"/>
    <w:rsid w:val="00E323B3"/>
    <w:rsid w:val="00E323DD"/>
    <w:rsid w:val="00E32624"/>
    <w:rsid w:val="00E3263F"/>
    <w:rsid w:val="00E32683"/>
    <w:rsid w:val="00E3268E"/>
    <w:rsid w:val="00E32697"/>
    <w:rsid w:val="00E326AB"/>
    <w:rsid w:val="00E326E8"/>
    <w:rsid w:val="00E327FB"/>
    <w:rsid w:val="00E32AD8"/>
    <w:rsid w:val="00E32BDA"/>
    <w:rsid w:val="00E32D10"/>
    <w:rsid w:val="00E32D11"/>
    <w:rsid w:val="00E32E72"/>
    <w:rsid w:val="00E32EDC"/>
    <w:rsid w:val="00E330FF"/>
    <w:rsid w:val="00E33333"/>
    <w:rsid w:val="00E33347"/>
    <w:rsid w:val="00E33393"/>
    <w:rsid w:val="00E33478"/>
    <w:rsid w:val="00E33509"/>
    <w:rsid w:val="00E335F1"/>
    <w:rsid w:val="00E33896"/>
    <w:rsid w:val="00E33904"/>
    <w:rsid w:val="00E3391E"/>
    <w:rsid w:val="00E339FA"/>
    <w:rsid w:val="00E33AAF"/>
    <w:rsid w:val="00E33AEA"/>
    <w:rsid w:val="00E33B8F"/>
    <w:rsid w:val="00E33C55"/>
    <w:rsid w:val="00E33CB6"/>
    <w:rsid w:val="00E33EE7"/>
    <w:rsid w:val="00E34029"/>
    <w:rsid w:val="00E340A3"/>
    <w:rsid w:val="00E34136"/>
    <w:rsid w:val="00E34176"/>
    <w:rsid w:val="00E34191"/>
    <w:rsid w:val="00E343BE"/>
    <w:rsid w:val="00E3452B"/>
    <w:rsid w:val="00E3461B"/>
    <w:rsid w:val="00E346B5"/>
    <w:rsid w:val="00E34748"/>
    <w:rsid w:val="00E348DA"/>
    <w:rsid w:val="00E3490A"/>
    <w:rsid w:val="00E349AA"/>
    <w:rsid w:val="00E34AFD"/>
    <w:rsid w:val="00E34B5B"/>
    <w:rsid w:val="00E34CCB"/>
    <w:rsid w:val="00E34E0F"/>
    <w:rsid w:val="00E34E2F"/>
    <w:rsid w:val="00E34E87"/>
    <w:rsid w:val="00E34FC2"/>
    <w:rsid w:val="00E352C8"/>
    <w:rsid w:val="00E352CF"/>
    <w:rsid w:val="00E3542D"/>
    <w:rsid w:val="00E3543A"/>
    <w:rsid w:val="00E3547D"/>
    <w:rsid w:val="00E354E2"/>
    <w:rsid w:val="00E3571B"/>
    <w:rsid w:val="00E3591A"/>
    <w:rsid w:val="00E35AAF"/>
    <w:rsid w:val="00E35D3C"/>
    <w:rsid w:val="00E35DD2"/>
    <w:rsid w:val="00E35F00"/>
    <w:rsid w:val="00E35FCC"/>
    <w:rsid w:val="00E36576"/>
    <w:rsid w:val="00E365D6"/>
    <w:rsid w:val="00E36725"/>
    <w:rsid w:val="00E36761"/>
    <w:rsid w:val="00E367A0"/>
    <w:rsid w:val="00E367EB"/>
    <w:rsid w:val="00E3686E"/>
    <w:rsid w:val="00E368BD"/>
    <w:rsid w:val="00E36953"/>
    <w:rsid w:val="00E369E6"/>
    <w:rsid w:val="00E36ACB"/>
    <w:rsid w:val="00E36B9F"/>
    <w:rsid w:val="00E36C85"/>
    <w:rsid w:val="00E36D74"/>
    <w:rsid w:val="00E36EBA"/>
    <w:rsid w:val="00E3705C"/>
    <w:rsid w:val="00E370F8"/>
    <w:rsid w:val="00E37239"/>
    <w:rsid w:val="00E3723F"/>
    <w:rsid w:val="00E3728F"/>
    <w:rsid w:val="00E372AB"/>
    <w:rsid w:val="00E37326"/>
    <w:rsid w:val="00E37364"/>
    <w:rsid w:val="00E373C9"/>
    <w:rsid w:val="00E373F0"/>
    <w:rsid w:val="00E37437"/>
    <w:rsid w:val="00E3745B"/>
    <w:rsid w:val="00E37495"/>
    <w:rsid w:val="00E374DA"/>
    <w:rsid w:val="00E37599"/>
    <w:rsid w:val="00E375CA"/>
    <w:rsid w:val="00E37611"/>
    <w:rsid w:val="00E37680"/>
    <w:rsid w:val="00E376A9"/>
    <w:rsid w:val="00E376E3"/>
    <w:rsid w:val="00E376FD"/>
    <w:rsid w:val="00E37776"/>
    <w:rsid w:val="00E378EF"/>
    <w:rsid w:val="00E37915"/>
    <w:rsid w:val="00E37C57"/>
    <w:rsid w:val="00E37D70"/>
    <w:rsid w:val="00E37DA1"/>
    <w:rsid w:val="00E37E3C"/>
    <w:rsid w:val="00E37E41"/>
    <w:rsid w:val="00E37E58"/>
    <w:rsid w:val="00E37F44"/>
    <w:rsid w:val="00E37F71"/>
    <w:rsid w:val="00E4018E"/>
    <w:rsid w:val="00E401CE"/>
    <w:rsid w:val="00E401D6"/>
    <w:rsid w:val="00E401FD"/>
    <w:rsid w:val="00E40249"/>
    <w:rsid w:val="00E40273"/>
    <w:rsid w:val="00E4039D"/>
    <w:rsid w:val="00E403E5"/>
    <w:rsid w:val="00E405B4"/>
    <w:rsid w:val="00E4076A"/>
    <w:rsid w:val="00E407E8"/>
    <w:rsid w:val="00E4086D"/>
    <w:rsid w:val="00E408E3"/>
    <w:rsid w:val="00E4091A"/>
    <w:rsid w:val="00E40A0A"/>
    <w:rsid w:val="00E40A61"/>
    <w:rsid w:val="00E40B3D"/>
    <w:rsid w:val="00E40BCF"/>
    <w:rsid w:val="00E40CA7"/>
    <w:rsid w:val="00E40CD0"/>
    <w:rsid w:val="00E40E33"/>
    <w:rsid w:val="00E41011"/>
    <w:rsid w:val="00E41168"/>
    <w:rsid w:val="00E41184"/>
    <w:rsid w:val="00E411BA"/>
    <w:rsid w:val="00E4127D"/>
    <w:rsid w:val="00E41299"/>
    <w:rsid w:val="00E41364"/>
    <w:rsid w:val="00E4156E"/>
    <w:rsid w:val="00E41602"/>
    <w:rsid w:val="00E41717"/>
    <w:rsid w:val="00E41729"/>
    <w:rsid w:val="00E41753"/>
    <w:rsid w:val="00E41772"/>
    <w:rsid w:val="00E418D9"/>
    <w:rsid w:val="00E41AB9"/>
    <w:rsid w:val="00E41AF7"/>
    <w:rsid w:val="00E41BED"/>
    <w:rsid w:val="00E42053"/>
    <w:rsid w:val="00E42093"/>
    <w:rsid w:val="00E420A9"/>
    <w:rsid w:val="00E420B2"/>
    <w:rsid w:val="00E420DA"/>
    <w:rsid w:val="00E420DC"/>
    <w:rsid w:val="00E4230E"/>
    <w:rsid w:val="00E42451"/>
    <w:rsid w:val="00E42493"/>
    <w:rsid w:val="00E424D0"/>
    <w:rsid w:val="00E424E6"/>
    <w:rsid w:val="00E42527"/>
    <w:rsid w:val="00E425AB"/>
    <w:rsid w:val="00E425B7"/>
    <w:rsid w:val="00E42602"/>
    <w:rsid w:val="00E42668"/>
    <w:rsid w:val="00E428E3"/>
    <w:rsid w:val="00E4299C"/>
    <w:rsid w:val="00E42B92"/>
    <w:rsid w:val="00E42BC0"/>
    <w:rsid w:val="00E42C18"/>
    <w:rsid w:val="00E42CEC"/>
    <w:rsid w:val="00E42D29"/>
    <w:rsid w:val="00E42E4F"/>
    <w:rsid w:val="00E4301E"/>
    <w:rsid w:val="00E43055"/>
    <w:rsid w:val="00E43104"/>
    <w:rsid w:val="00E43176"/>
    <w:rsid w:val="00E43293"/>
    <w:rsid w:val="00E432AE"/>
    <w:rsid w:val="00E432E4"/>
    <w:rsid w:val="00E432FD"/>
    <w:rsid w:val="00E4331D"/>
    <w:rsid w:val="00E43453"/>
    <w:rsid w:val="00E43578"/>
    <w:rsid w:val="00E435F5"/>
    <w:rsid w:val="00E436AF"/>
    <w:rsid w:val="00E436BE"/>
    <w:rsid w:val="00E43762"/>
    <w:rsid w:val="00E43767"/>
    <w:rsid w:val="00E437F5"/>
    <w:rsid w:val="00E43AC2"/>
    <w:rsid w:val="00E43AEA"/>
    <w:rsid w:val="00E43B25"/>
    <w:rsid w:val="00E43ECE"/>
    <w:rsid w:val="00E43F40"/>
    <w:rsid w:val="00E43FCB"/>
    <w:rsid w:val="00E4408D"/>
    <w:rsid w:val="00E4412F"/>
    <w:rsid w:val="00E44251"/>
    <w:rsid w:val="00E44355"/>
    <w:rsid w:val="00E443D4"/>
    <w:rsid w:val="00E443E7"/>
    <w:rsid w:val="00E4462D"/>
    <w:rsid w:val="00E44832"/>
    <w:rsid w:val="00E4495B"/>
    <w:rsid w:val="00E44BAF"/>
    <w:rsid w:val="00E44C2A"/>
    <w:rsid w:val="00E44C41"/>
    <w:rsid w:val="00E44E81"/>
    <w:rsid w:val="00E453CD"/>
    <w:rsid w:val="00E457CE"/>
    <w:rsid w:val="00E4587E"/>
    <w:rsid w:val="00E4598F"/>
    <w:rsid w:val="00E45ABD"/>
    <w:rsid w:val="00E45AF8"/>
    <w:rsid w:val="00E45B29"/>
    <w:rsid w:val="00E45B80"/>
    <w:rsid w:val="00E45B98"/>
    <w:rsid w:val="00E45BB0"/>
    <w:rsid w:val="00E45C12"/>
    <w:rsid w:val="00E45DC5"/>
    <w:rsid w:val="00E45DD4"/>
    <w:rsid w:val="00E45DD5"/>
    <w:rsid w:val="00E45E16"/>
    <w:rsid w:val="00E45E91"/>
    <w:rsid w:val="00E4606D"/>
    <w:rsid w:val="00E460C1"/>
    <w:rsid w:val="00E4618A"/>
    <w:rsid w:val="00E46236"/>
    <w:rsid w:val="00E4639C"/>
    <w:rsid w:val="00E46454"/>
    <w:rsid w:val="00E464EC"/>
    <w:rsid w:val="00E46862"/>
    <w:rsid w:val="00E468B6"/>
    <w:rsid w:val="00E46B8F"/>
    <w:rsid w:val="00E46C2D"/>
    <w:rsid w:val="00E46C76"/>
    <w:rsid w:val="00E46D60"/>
    <w:rsid w:val="00E46DC1"/>
    <w:rsid w:val="00E46EA0"/>
    <w:rsid w:val="00E46ECF"/>
    <w:rsid w:val="00E46EE4"/>
    <w:rsid w:val="00E470C8"/>
    <w:rsid w:val="00E47124"/>
    <w:rsid w:val="00E4718D"/>
    <w:rsid w:val="00E4787A"/>
    <w:rsid w:val="00E4791C"/>
    <w:rsid w:val="00E479C2"/>
    <w:rsid w:val="00E479F8"/>
    <w:rsid w:val="00E47A6A"/>
    <w:rsid w:val="00E47C41"/>
    <w:rsid w:val="00E47E24"/>
    <w:rsid w:val="00E500B7"/>
    <w:rsid w:val="00E50228"/>
    <w:rsid w:val="00E50239"/>
    <w:rsid w:val="00E50269"/>
    <w:rsid w:val="00E50330"/>
    <w:rsid w:val="00E50498"/>
    <w:rsid w:val="00E50629"/>
    <w:rsid w:val="00E50681"/>
    <w:rsid w:val="00E50730"/>
    <w:rsid w:val="00E5079D"/>
    <w:rsid w:val="00E507E4"/>
    <w:rsid w:val="00E5084C"/>
    <w:rsid w:val="00E50942"/>
    <w:rsid w:val="00E50978"/>
    <w:rsid w:val="00E509BE"/>
    <w:rsid w:val="00E50A23"/>
    <w:rsid w:val="00E50A80"/>
    <w:rsid w:val="00E50CF3"/>
    <w:rsid w:val="00E50CF4"/>
    <w:rsid w:val="00E50D9B"/>
    <w:rsid w:val="00E50F1A"/>
    <w:rsid w:val="00E510C6"/>
    <w:rsid w:val="00E51166"/>
    <w:rsid w:val="00E5118D"/>
    <w:rsid w:val="00E51262"/>
    <w:rsid w:val="00E51289"/>
    <w:rsid w:val="00E512E7"/>
    <w:rsid w:val="00E51317"/>
    <w:rsid w:val="00E51361"/>
    <w:rsid w:val="00E513A6"/>
    <w:rsid w:val="00E515B3"/>
    <w:rsid w:val="00E51601"/>
    <w:rsid w:val="00E51887"/>
    <w:rsid w:val="00E51891"/>
    <w:rsid w:val="00E51B0A"/>
    <w:rsid w:val="00E51B83"/>
    <w:rsid w:val="00E51BBC"/>
    <w:rsid w:val="00E51BE5"/>
    <w:rsid w:val="00E51C18"/>
    <w:rsid w:val="00E51D8F"/>
    <w:rsid w:val="00E5212D"/>
    <w:rsid w:val="00E5219E"/>
    <w:rsid w:val="00E521E4"/>
    <w:rsid w:val="00E521F7"/>
    <w:rsid w:val="00E522D7"/>
    <w:rsid w:val="00E522E8"/>
    <w:rsid w:val="00E5246B"/>
    <w:rsid w:val="00E52533"/>
    <w:rsid w:val="00E52639"/>
    <w:rsid w:val="00E527E6"/>
    <w:rsid w:val="00E52827"/>
    <w:rsid w:val="00E5287E"/>
    <w:rsid w:val="00E528DF"/>
    <w:rsid w:val="00E52901"/>
    <w:rsid w:val="00E52994"/>
    <w:rsid w:val="00E52A64"/>
    <w:rsid w:val="00E52CC6"/>
    <w:rsid w:val="00E52D9F"/>
    <w:rsid w:val="00E52DE8"/>
    <w:rsid w:val="00E52E46"/>
    <w:rsid w:val="00E52E74"/>
    <w:rsid w:val="00E52E88"/>
    <w:rsid w:val="00E52FCA"/>
    <w:rsid w:val="00E530A6"/>
    <w:rsid w:val="00E531FB"/>
    <w:rsid w:val="00E532F7"/>
    <w:rsid w:val="00E53435"/>
    <w:rsid w:val="00E53452"/>
    <w:rsid w:val="00E534F4"/>
    <w:rsid w:val="00E535CD"/>
    <w:rsid w:val="00E535DE"/>
    <w:rsid w:val="00E538C2"/>
    <w:rsid w:val="00E53969"/>
    <w:rsid w:val="00E53A8F"/>
    <w:rsid w:val="00E53ADB"/>
    <w:rsid w:val="00E53CEF"/>
    <w:rsid w:val="00E53D1C"/>
    <w:rsid w:val="00E53D2C"/>
    <w:rsid w:val="00E53D33"/>
    <w:rsid w:val="00E53D72"/>
    <w:rsid w:val="00E53DAE"/>
    <w:rsid w:val="00E53E99"/>
    <w:rsid w:val="00E53EA9"/>
    <w:rsid w:val="00E53EC6"/>
    <w:rsid w:val="00E53FE7"/>
    <w:rsid w:val="00E54115"/>
    <w:rsid w:val="00E5413B"/>
    <w:rsid w:val="00E541EE"/>
    <w:rsid w:val="00E542CF"/>
    <w:rsid w:val="00E54316"/>
    <w:rsid w:val="00E543AF"/>
    <w:rsid w:val="00E543EE"/>
    <w:rsid w:val="00E54522"/>
    <w:rsid w:val="00E54526"/>
    <w:rsid w:val="00E5461D"/>
    <w:rsid w:val="00E54810"/>
    <w:rsid w:val="00E5481C"/>
    <w:rsid w:val="00E54847"/>
    <w:rsid w:val="00E5484B"/>
    <w:rsid w:val="00E5491B"/>
    <w:rsid w:val="00E549B8"/>
    <w:rsid w:val="00E54B0A"/>
    <w:rsid w:val="00E54C5E"/>
    <w:rsid w:val="00E54C6A"/>
    <w:rsid w:val="00E54C94"/>
    <w:rsid w:val="00E54CF9"/>
    <w:rsid w:val="00E54D37"/>
    <w:rsid w:val="00E54DC6"/>
    <w:rsid w:val="00E54E41"/>
    <w:rsid w:val="00E54EB3"/>
    <w:rsid w:val="00E55175"/>
    <w:rsid w:val="00E551AD"/>
    <w:rsid w:val="00E55203"/>
    <w:rsid w:val="00E55315"/>
    <w:rsid w:val="00E553DC"/>
    <w:rsid w:val="00E553EE"/>
    <w:rsid w:val="00E55400"/>
    <w:rsid w:val="00E5552A"/>
    <w:rsid w:val="00E5552E"/>
    <w:rsid w:val="00E5556B"/>
    <w:rsid w:val="00E555BF"/>
    <w:rsid w:val="00E555DD"/>
    <w:rsid w:val="00E556D8"/>
    <w:rsid w:val="00E556F0"/>
    <w:rsid w:val="00E55783"/>
    <w:rsid w:val="00E5594B"/>
    <w:rsid w:val="00E5597F"/>
    <w:rsid w:val="00E55A51"/>
    <w:rsid w:val="00E55A8B"/>
    <w:rsid w:val="00E55D24"/>
    <w:rsid w:val="00E55D28"/>
    <w:rsid w:val="00E55D57"/>
    <w:rsid w:val="00E55E6D"/>
    <w:rsid w:val="00E55E98"/>
    <w:rsid w:val="00E55EEE"/>
    <w:rsid w:val="00E56093"/>
    <w:rsid w:val="00E56161"/>
    <w:rsid w:val="00E5636A"/>
    <w:rsid w:val="00E56377"/>
    <w:rsid w:val="00E56397"/>
    <w:rsid w:val="00E5658B"/>
    <w:rsid w:val="00E566F3"/>
    <w:rsid w:val="00E56828"/>
    <w:rsid w:val="00E568B9"/>
    <w:rsid w:val="00E569BD"/>
    <w:rsid w:val="00E569E1"/>
    <w:rsid w:val="00E56A1C"/>
    <w:rsid w:val="00E56A32"/>
    <w:rsid w:val="00E56C69"/>
    <w:rsid w:val="00E56C73"/>
    <w:rsid w:val="00E56E1D"/>
    <w:rsid w:val="00E56EE5"/>
    <w:rsid w:val="00E56EEB"/>
    <w:rsid w:val="00E56F21"/>
    <w:rsid w:val="00E56F4C"/>
    <w:rsid w:val="00E5704E"/>
    <w:rsid w:val="00E571AA"/>
    <w:rsid w:val="00E57408"/>
    <w:rsid w:val="00E574BB"/>
    <w:rsid w:val="00E57553"/>
    <w:rsid w:val="00E57677"/>
    <w:rsid w:val="00E576BE"/>
    <w:rsid w:val="00E577AE"/>
    <w:rsid w:val="00E57849"/>
    <w:rsid w:val="00E578CB"/>
    <w:rsid w:val="00E57A76"/>
    <w:rsid w:val="00E57AB7"/>
    <w:rsid w:val="00E57B43"/>
    <w:rsid w:val="00E57C17"/>
    <w:rsid w:val="00E57C7A"/>
    <w:rsid w:val="00E57DB9"/>
    <w:rsid w:val="00E57EC2"/>
    <w:rsid w:val="00E57EEE"/>
    <w:rsid w:val="00E6012A"/>
    <w:rsid w:val="00E60170"/>
    <w:rsid w:val="00E60258"/>
    <w:rsid w:val="00E60265"/>
    <w:rsid w:val="00E602B6"/>
    <w:rsid w:val="00E60471"/>
    <w:rsid w:val="00E60497"/>
    <w:rsid w:val="00E604CE"/>
    <w:rsid w:val="00E604E7"/>
    <w:rsid w:val="00E604F4"/>
    <w:rsid w:val="00E6054F"/>
    <w:rsid w:val="00E6069F"/>
    <w:rsid w:val="00E606C2"/>
    <w:rsid w:val="00E60781"/>
    <w:rsid w:val="00E607A9"/>
    <w:rsid w:val="00E607E5"/>
    <w:rsid w:val="00E6082B"/>
    <w:rsid w:val="00E60977"/>
    <w:rsid w:val="00E609F9"/>
    <w:rsid w:val="00E609FA"/>
    <w:rsid w:val="00E60A6D"/>
    <w:rsid w:val="00E60AF6"/>
    <w:rsid w:val="00E60B83"/>
    <w:rsid w:val="00E60D66"/>
    <w:rsid w:val="00E60EC6"/>
    <w:rsid w:val="00E6109D"/>
    <w:rsid w:val="00E61303"/>
    <w:rsid w:val="00E61417"/>
    <w:rsid w:val="00E61596"/>
    <w:rsid w:val="00E6171F"/>
    <w:rsid w:val="00E61883"/>
    <w:rsid w:val="00E618AF"/>
    <w:rsid w:val="00E618B3"/>
    <w:rsid w:val="00E61957"/>
    <w:rsid w:val="00E6197B"/>
    <w:rsid w:val="00E61A78"/>
    <w:rsid w:val="00E61C2D"/>
    <w:rsid w:val="00E61DCB"/>
    <w:rsid w:val="00E61ECD"/>
    <w:rsid w:val="00E61EDF"/>
    <w:rsid w:val="00E61F1C"/>
    <w:rsid w:val="00E6208E"/>
    <w:rsid w:val="00E62508"/>
    <w:rsid w:val="00E6250F"/>
    <w:rsid w:val="00E62575"/>
    <w:rsid w:val="00E62692"/>
    <w:rsid w:val="00E626BE"/>
    <w:rsid w:val="00E627ED"/>
    <w:rsid w:val="00E6282F"/>
    <w:rsid w:val="00E628B1"/>
    <w:rsid w:val="00E628EC"/>
    <w:rsid w:val="00E62A32"/>
    <w:rsid w:val="00E62B41"/>
    <w:rsid w:val="00E62C13"/>
    <w:rsid w:val="00E62CD6"/>
    <w:rsid w:val="00E62CEA"/>
    <w:rsid w:val="00E62D76"/>
    <w:rsid w:val="00E62FBE"/>
    <w:rsid w:val="00E630C9"/>
    <w:rsid w:val="00E6326A"/>
    <w:rsid w:val="00E63270"/>
    <w:rsid w:val="00E63297"/>
    <w:rsid w:val="00E6331D"/>
    <w:rsid w:val="00E63330"/>
    <w:rsid w:val="00E6344D"/>
    <w:rsid w:val="00E634AF"/>
    <w:rsid w:val="00E63625"/>
    <w:rsid w:val="00E63AB3"/>
    <w:rsid w:val="00E63B48"/>
    <w:rsid w:val="00E63DA5"/>
    <w:rsid w:val="00E63E46"/>
    <w:rsid w:val="00E640AF"/>
    <w:rsid w:val="00E6428C"/>
    <w:rsid w:val="00E642C8"/>
    <w:rsid w:val="00E64313"/>
    <w:rsid w:val="00E6435A"/>
    <w:rsid w:val="00E6439F"/>
    <w:rsid w:val="00E643FA"/>
    <w:rsid w:val="00E64451"/>
    <w:rsid w:val="00E644D4"/>
    <w:rsid w:val="00E644F5"/>
    <w:rsid w:val="00E64515"/>
    <w:rsid w:val="00E64587"/>
    <w:rsid w:val="00E64621"/>
    <w:rsid w:val="00E64848"/>
    <w:rsid w:val="00E6484A"/>
    <w:rsid w:val="00E64862"/>
    <w:rsid w:val="00E64901"/>
    <w:rsid w:val="00E64ABD"/>
    <w:rsid w:val="00E64AE6"/>
    <w:rsid w:val="00E64C77"/>
    <w:rsid w:val="00E64E2C"/>
    <w:rsid w:val="00E64ECD"/>
    <w:rsid w:val="00E64F2C"/>
    <w:rsid w:val="00E65107"/>
    <w:rsid w:val="00E6520F"/>
    <w:rsid w:val="00E65234"/>
    <w:rsid w:val="00E652C9"/>
    <w:rsid w:val="00E653D4"/>
    <w:rsid w:val="00E65403"/>
    <w:rsid w:val="00E6571D"/>
    <w:rsid w:val="00E65778"/>
    <w:rsid w:val="00E65A75"/>
    <w:rsid w:val="00E65B2E"/>
    <w:rsid w:val="00E65C1B"/>
    <w:rsid w:val="00E65D72"/>
    <w:rsid w:val="00E65D88"/>
    <w:rsid w:val="00E660CB"/>
    <w:rsid w:val="00E660D5"/>
    <w:rsid w:val="00E66333"/>
    <w:rsid w:val="00E663B7"/>
    <w:rsid w:val="00E66411"/>
    <w:rsid w:val="00E6655F"/>
    <w:rsid w:val="00E665C9"/>
    <w:rsid w:val="00E66610"/>
    <w:rsid w:val="00E66815"/>
    <w:rsid w:val="00E66902"/>
    <w:rsid w:val="00E6693B"/>
    <w:rsid w:val="00E669A2"/>
    <w:rsid w:val="00E669A7"/>
    <w:rsid w:val="00E669B3"/>
    <w:rsid w:val="00E66B31"/>
    <w:rsid w:val="00E66B94"/>
    <w:rsid w:val="00E66C62"/>
    <w:rsid w:val="00E66D33"/>
    <w:rsid w:val="00E66DDD"/>
    <w:rsid w:val="00E66EBF"/>
    <w:rsid w:val="00E66F1E"/>
    <w:rsid w:val="00E67028"/>
    <w:rsid w:val="00E67085"/>
    <w:rsid w:val="00E670AA"/>
    <w:rsid w:val="00E670EA"/>
    <w:rsid w:val="00E67159"/>
    <w:rsid w:val="00E67261"/>
    <w:rsid w:val="00E67357"/>
    <w:rsid w:val="00E673E3"/>
    <w:rsid w:val="00E67692"/>
    <w:rsid w:val="00E6770B"/>
    <w:rsid w:val="00E67832"/>
    <w:rsid w:val="00E67837"/>
    <w:rsid w:val="00E67845"/>
    <w:rsid w:val="00E6786B"/>
    <w:rsid w:val="00E678C6"/>
    <w:rsid w:val="00E678FC"/>
    <w:rsid w:val="00E67917"/>
    <w:rsid w:val="00E679D9"/>
    <w:rsid w:val="00E67AF8"/>
    <w:rsid w:val="00E67B6C"/>
    <w:rsid w:val="00E67C64"/>
    <w:rsid w:val="00E67CA9"/>
    <w:rsid w:val="00E67D88"/>
    <w:rsid w:val="00E67DAC"/>
    <w:rsid w:val="00E67E47"/>
    <w:rsid w:val="00E67F0E"/>
    <w:rsid w:val="00E67F50"/>
    <w:rsid w:val="00E67F79"/>
    <w:rsid w:val="00E67FDB"/>
    <w:rsid w:val="00E701FB"/>
    <w:rsid w:val="00E70356"/>
    <w:rsid w:val="00E70474"/>
    <w:rsid w:val="00E7049E"/>
    <w:rsid w:val="00E70514"/>
    <w:rsid w:val="00E70638"/>
    <w:rsid w:val="00E7066B"/>
    <w:rsid w:val="00E706A5"/>
    <w:rsid w:val="00E70824"/>
    <w:rsid w:val="00E70925"/>
    <w:rsid w:val="00E70A87"/>
    <w:rsid w:val="00E70AA9"/>
    <w:rsid w:val="00E70ABC"/>
    <w:rsid w:val="00E70E45"/>
    <w:rsid w:val="00E7104F"/>
    <w:rsid w:val="00E71110"/>
    <w:rsid w:val="00E7113A"/>
    <w:rsid w:val="00E7118A"/>
    <w:rsid w:val="00E71197"/>
    <w:rsid w:val="00E71301"/>
    <w:rsid w:val="00E71456"/>
    <w:rsid w:val="00E7145F"/>
    <w:rsid w:val="00E71461"/>
    <w:rsid w:val="00E71507"/>
    <w:rsid w:val="00E7159D"/>
    <w:rsid w:val="00E71630"/>
    <w:rsid w:val="00E7182F"/>
    <w:rsid w:val="00E71A5A"/>
    <w:rsid w:val="00E71B74"/>
    <w:rsid w:val="00E71CFA"/>
    <w:rsid w:val="00E71F37"/>
    <w:rsid w:val="00E71F3C"/>
    <w:rsid w:val="00E71F4C"/>
    <w:rsid w:val="00E7210B"/>
    <w:rsid w:val="00E72381"/>
    <w:rsid w:val="00E7238A"/>
    <w:rsid w:val="00E7243A"/>
    <w:rsid w:val="00E72508"/>
    <w:rsid w:val="00E7255D"/>
    <w:rsid w:val="00E725B8"/>
    <w:rsid w:val="00E725E8"/>
    <w:rsid w:val="00E725FA"/>
    <w:rsid w:val="00E72629"/>
    <w:rsid w:val="00E7263C"/>
    <w:rsid w:val="00E7272C"/>
    <w:rsid w:val="00E7273F"/>
    <w:rsid w:val="00E72A7B"/>
    <w:rsid w:val="00E72B15"/>
    <w:rsid w:val="00E72B4B"/>
    <w:rsid w:val="00E72B98"/>
    <w:rsid w:val="00E72BEF"/>
    <w:rsid w:val="00E72C77"/>
    <w:rsid w:val="00E72EA4"/>
    <w:rsid w:val="00E72ECD"/>
    <w:rsid w:val="00E72FAF"/>
    <w:rsid w:val="00E72FEC"/>
    <w:rsid w:val="00E730A9"/>
    <w:rsid w:val="00E730C8"/>
    <w:rsid w:val="00E730F0"/>
    <w:rsid w:val="00E73117"/>
    <w:rsid w:val="00E7325A"/>
    <w:rsid w:val="00E734DD"/>
    <w:rsid w:val="00E73514"/>
    <w:rsid w:val="00E7354A"/>
    <w:rsid w:val="00E73590"/>
    <w:rsid w:val="00E736B8"/>
    <w:rsid w:val="00E73784"/>
    <w:rsid w:val="00E738B1"/>
    <w:rsid w:val="00E73933"/>
    <w:rsid w:val="00E73ABE"/>
    <w:rsid w:val="00E73B7A"/>
    <w:rsid w:val="00E73B98"/>
    <w:rsid w:val="00E73BFE"/>
    <w:rsid w:val="00E73CC9"/>
    <w:rsid w:val="00E73CD2"/>
    <w:rsid w:val="00E73CE6"/>
    <w:rsid w:val="00E73CEC"/>
    <w:rsid w:val="00E73D34"/>
    <w:rsid w:val="00E73E67"/>
    <w:rsid w:val="00E73F2F"/>
    <w:rsid w:val="00E73FCE"/>
    <w:rsid w:val="00E74030"/>
    <w:rsid w:val="00E7422C"/>
    <w:rsid w:val="00E743C6"/>
    <w:rsid w:val="00E74426"/>
    <w:rsid w:val="00E74465"/>
    <w:rsid w:val="00E745B6"/>
    <w:rsid w:val="00E7465A"/>
    <w:rsid w:val="00E747E0"/>
    <w:rsid w:val="00E74827"/>
    <w:rsid w:val="00E74AA8"/>
    <w:rsid w:val="00E74B36"/>
    <w:rsid w:val="00E74BEB"/>
    <w:rsid w:val="00E74C2D"/>
    <w:rsid w:val="00E74CF7"/>
    <w:rsid w:val="00E74D17"/>
    <w:rsid w:val="00E74D2A"/>
    <w:rsid w:val="00E74F85"/>
    <w:rsid w:val="00E74FF5"/>
    <w:rsid w:val="00E7508D"/>
    <w:rsid w:val="00E75239"/>
    <w:rsid w:val="00E752B7"/>
    <w:rsid w:val="00E75444"/>
    <w:rsid w:val="00E756F7"/>
    <w:rsid w:val="00E75714"/>
    <w:rsid w:val="00E7571C"/>
    <w:rsid w:val="00E75810"/>
    <w:rsid w:val="00E75861"/>
    <w:rsid w:val="00E758AA"/>
    <w:rsid w:val="00E758EF"/>
    <w:rsid w:val="00E7599D"/>
    <w:rsid w:val="00E759F2"/>
    <w:rsid w:val="00E75BA0"/>
    <w:rsid w:val="00E75D26"/>
    <w:rsid w:val="00E75D86"/>
    <w:rsid w:val="00E76014"/>
    <w:rsid w:val="00E760E2"/>
    <w:rsid w:val="00E76218"/>
    <w:rsid w:val="00E76238"/>
    <w:rsid w:val="00E7623A"/>
    <w:rsid w:val="00E76285"/>
    <w:rsid w:val="00E762B1"/>
    <w:rsid w:val="00E764B1"/>
    <w:rsid w:val="00E76722"/>
    <w:rsid w:val="00E76734"/>
    <w:rsid w:val="00E76A2E"/>
    <w:rsid w:val="00E76A4B"/>
    <w:rsid w:val="00E76A86"/>
    <w:rsid w:val="00E76B68"/>
    <w:rsid w:val="00E76B75"/>
    <w:rsid w:val="00E76B8D"/>
    <w:rsid w:val="00E76BF1"/>
    <w:rsid w:val="00E76CCB"/>
    <w:rsid w:val="00E76D41"/>
    <w:rsid w:val="00E76D5E"/>
    <w:rsid w:val="00E76DE5"/>
    <w:rsid w:val="00E76E53"/>
    <w:rsid w:val="00E76EE5"/>
    <w:rsid w:val="00E7708F"/>
    <w:rsid w:val="00E77170"/>
    <w:rsid w:val="00E773E7"/>
    <w:rsid w:val="00E776A1"/>
    <w:rsid w:val="00E7794A"/>
    <w:rsid w:val="00E77962"/>
    <w:rsid w:val="00E77AAF"/>
    <w:rsid w:val="00E77C03"/>
    <w:rsid w:val="00E77CC8"/>
    <w:rsid w:val="00E77D67"/>
    <w:rsid w:val="00E77E0B"/>
    <w:rsid w:val="00E77E8E"/>
    <w:rsid w:val="00E8000E"/>
    <w:rsid w:val="00E80073"/>
    <w:rsid w:val="00E80126"/>
    <w:rsid w:val="00E801C6"/>
    <w:rsid w:val="00E803E7"/>
    <w:rsid w:val="00E803FC"/>
    <w:rsid w:val="00E80429"/>
    <w:rsid w:val="00E8043C"/>
    <w:rsid w:val="00E80473"/>
    <w:rsid w:val="00E8048A"/>
    <w:rsid w:val="00E80591"/>
    <w:rsid w:val="00E8061F"/>
    <w:rsid w:val="00E808EC"/>
    <w:rsid w:val="00E808ED"/>
    <w:rsid w:val="00E8098A"/>
    <w:rsid w:val="00E80A36"/>
    <w:rsid w:val="00E80AE3"/>
    <w:rsid w:val="00E80B13"/>
    <w:rsid w:val="00E80B37"/>
    <w:rsid w:val="00E80B49"/>
    <w:rsid w:val="00E80B7E"/>
    <w:rsid w:val="00E80C0A"/>
    <w:rsid w:val="00E80C37"/>
    <w:rsid w:val="00E80E7E"/>
    <w:rsid w:val="00E80EFD"/>
    <w:rsid w:val="00E8113A"/>
    <w:rsid w:val="00E81251"/>
    <w:rsid w:val="00E81276"/>
    <w:rsid w:val="00E813AD"/>
    <w:rsid w:val="00E813C1"/>
    <w:rsid w:val="00E814FD"/>
    <w:rsid w:val="00E81569"/>
    <w:rsid w:val="00E8157B"/>
    <w:rsid w:val="00E815E7"/>
    <w:rsid w:val="00E8162C"/>
    <w:rsid w:val="00E81735"/>
    <w:rsid w:val="00E81807"/>
    <w:rsid w:val="00E8180C"/>
    <w:rsid w:val="00E81CBB"/>
    <w:rsid w:val="00E81CE8"/>
    <w:rsid w:val="00E81CF8"/>
    <w:rsid w:val="00E81D80"/>
    <w:rsid w:val="00E81DBB"/>
    <w:rsid w:val="00E81E63"/>
    <w:rsid w:val="00E81F40"/>
    <w:rsid w:val="00E81F4A"/>
    <w:rsid w:val="00E81F51"/>
    <w:rsid w:val="00E82061"/>
    <w:rsid w:val="00E82087"/>
    <w:rsid w:val="00E820A4"/>
    <w:rsid w:val="00E82117"/>
    <w:rsid w:val="00E82190"/>
    <w:rsid w:val="00E82240"/>
    <w:rsid w:val="00E8226D"/>
    <w:rsid w:val="00E822B0"/>
    <w:rsid w:val="00E8231E"/>
    <w:rsid w:val="00E823A3"/>
    <w:rsid w:val="00E825DD"/>
    <w:rsid w:val="00E825E7"/>
    <w:rsid w:val="00E825EE"/>
    <w:rsid w:val="00E826B9"/>
    <w:rsid w:val="00E8279C"/>
    <w:rsid w:val="00E829C5"/>
    <w:rsid w:val="00E82D57"/>
    <w:rsid w:val="00E82E8F"/>
    <w:rsid w:val="00E82F0F"/>
    <w:rsid w:val="00E82F19"/>
    <w:rsid w:val="00E82FF9"/>
    <w:rsid w:val="00E8306F"/>
    <w:rsid w:val="00E83110"/>
    <w:rsid w:val="00E831A3"/>
    <w:rsid w:val="00E831EF"/>
    <w:rsid w:val="00E83240"/>
    <w:rsid w:val="00E8326C"/>
    <w:rsid w:val="00E835A9"/>
    <w:rsid w:val="00E835ED"/>
    <w:rsid w:val="00E8361B"/>
    <w:rsid w:val="00E8361C"/>
    <w:rsid w:val="00E83655"/>
    <w:rsid w:val="00E83685"/>
    <w:rsid w:val="00E83917"/>
    <w:rsid w:val="00E8395E"/>
    <w:rsid w:val="00E83A80"/>
    <w:rsid w:val="00E83C29"/>
    <w:rsid w:val="00E83C87"/>
    <w:rsid w:val="00E83D26"/>
    <w:rsid w:val="00E83DDC"/>
    <w:rsid w:val="00E83E56"/>
    <w:rsid w:val="00E83ECB"/>
    <w:rsid w:val="00E83F22"/>
    <w:rsid w:val="00E83FCA"/>
    <w:rsid w:val="00E8409D"/>
    <w:rsid w:val="00E8415C"/>
    <w:rsid w:val="00E84169"/>
    <w:rsid w:val="00E84175"/>
    <w:rsid w:val="00E8425A"/>
    <w:rsid w:val="00E8430C"/>
    <w:rsid w:val="00E84326"/>
    <w:rsid w:val="00E84361"/>
    <w:rsid w:val="00E84378"/>
    <w:rsid w:val="00E84573"/>
    <w:rsid w:val="00E8463C"/>
    <w:rsid w:val="00E846D4"/>
    <w:rsid w:val="00E84744"/>
    <w:rsid w:val="00E8496A"/>
    <w:rsid w:val="00E849FC"/>
    <w:rsid w:val="00E84ABC"/>
    <w:rsid w:val="00E84EDE"/>
    <w:rsid w:val="00E84F5F"/>
    <w:rsid w:val="00E84F9D"/>
    <w:rsid w:val="00E84FBB"/>
    <w:rsid w:val="00E8503A"/>
    <w:rsid w:val="00E85168"/>
    <w:rsid w:val="00E8544A"/>
    <w:rsid w:val="00E85486"/>
    <w:rsid w:val="00E854CF"/>
    <w:rsid w:val="00E85528"/>
    <w:rsid w:val="00E85597"/>
    <w:rsid w:val="00E855BD"/>
    <w:rsid w:val="00E855DC"/>
    <w:rsid w:val="00E85693"/>
    <w:rsid w:val="00E856AC"/>
    <w:rsid w:val="00E856CC"/>
    <w:rsid w:val="00E85782"/>
    <w:rsid w:val="00E8584E"/>
    <w:rsid w:val="00E858D7"/>
    <w:rsid w:val="00E85A95"/>
    <w:rsid w:val="00E85B05"/>
    <w:rsid w:val="00E85CEC"/>
    <w:rsid w:val="00E85D37"/>
    <w:rsid w:val="00E85D88"/>
    <w:rsid w:val="00E85E90"/>
    <w:rsid w:val="00E85EDE"/>
    <w:rsid w:val="00E85EF2"/>
    <w:rsid w:val="00E85F3B"/>
    <w:rsid w:val="00E85F65"/>
    <w:rsid w:val="00E86007"/>
    <w:rsid w:val="00E8608E"/>
    <w:rsid w:val="00E8621C"/>
    <w:rsid w:val="00E86375"/>
    <w:rsid w:val="00E863E7"/>
    <w:rsid w:val="00E8641A"/>
    <w:rsid w:val="00E864B3"/>
    <w:rsid w:val="00E86576"/>
    <w:rsid w:val="00E86666"/>
    <w:rsid w:val="00E868FE"/>
    <w:rsid w:val="00E86A89"/>
    <w:rsid w:val="00E86C89"/>
    <w:rsid w:val="00E86DFE"/>
    <w:rsid w:val="00E86E58"/>
    <w:rsid w:val="00E86EC7"/>
    <w:rsid w:val="00E86FD0"/>
    <w:rsid w:val="00E870EF"/>
    <w:rsid w:val="00E87278"/>
    <w:rsid w:val="00E8729E"/>
    <w:rsid w:val="00E873C7"/>
    <w:rsid w:val="00E873DC"/>
    <w:rsid w:val="00E87476"/>
    <w:rsid w:val="00E874DE"/>
    <w:rsid w:val="00E87590"/>
    <w:rsid w:val="00E87667"/>
    <w:rsid w:val="00E87722"/>
    <w:rsid w:val="00E877FE"/>
    <w:rsid w:val="00E8797F"/>
    <w:rsid w:val="00E87A24"/>
    <w:rsid w:val="00E87B12"/>
    <w:rsid w:val="00E87C53"/>
    <w:rsid w:val="00E87CBB"/>
    <w:rsid w:val="00E87CC2"/>
    <w:rsid w:val="00E87CC6"/>
    <w:rsid w:val="00E87D57"/>
    <w:rsid w:val="00E87D59"/>
    <w:rsid w:val="00E87D5B"/>
    <w:rsid w:val="00E87DC9"/>
    <w:rsid w:val="00E9002A"/>
    <w:rsid w:val="00E9017A"/>
    <w:rsid w:val="00E9026E"/>
    <w:rsid w:val="00E902D9"/>
    <w:rsid w:val="00E904D3"/>
    <w:rsid w:val="00E9073E"/>
    <w:rsid w:val="00E90865"/>
    <w:rsid w:val="00E908B9"/>
    <w:rsid w:val="00E90AEF"/>
    <w:rsid w:val="00E90AF7"/>
    <w:rsid w:val="00E90B3F"/>
    <w:rsid w:val="00E90C40"/>
    <w:rsid w:val="00E90C9F"/>
    <w:rsid w:val="00E90CB4"/>
    <w:rsid w:val="00E9135A"/>
    <w:rsid w:val="00E914C0"/>
    <w:rsid w:val="00E914D3"/>
    <w:rsid w:val="00E9152E"/>
    <w:rsid w:val="00E915B7"/>
    <w:rsid w:val="00E91652"/>
    <w:rsid w:val="00E91794"/>
    <w:rsid w:val="00E91873"/>
    <w:rsid w:val="00E91AC2"/>
    <w:rsid w:val="00E91B5E"/>
    <w:rsid w:val="00E91C05"/>
    <w:rsid w:val="00E91C7D"/>
    <w:rsid w:val="00E91C8F"/>
    <w:rsid w:val="00E91E66"/>
    <w:rsid w:val="00E92098"/>
    <w:rsid w:val="00E920FA"/>
    <w:rsid w:val="00E9221A"/>
    <w:rsid w:val="00E922F2"/>
    <w:rsid w:val="00E923AB"/>
    <w:rsid w:val="00E92516"/>
    <w:rsid w:val="00E92518"/>
    <w:rsid w:val="00E92560"/>
    <w:rsid w:val="00E9258E"/>
    <w:rsid w:val="00E9263C"/>
    <w:rsid w:val="00E92665"/>
    <w:rsid w:val="00E926B6"/>
    <w:rsid w:val="00E9272B"/>
    <w:rsid w:val="00E929EC"/>
    <w:rsid w:val="00E92A23"/>
    <w:rsid w:val="00E92AC1"/>
    <w:rsid w:val="00E92B49"/>
    <w:rsid w:val="00E92B7D"/>
    <w:rsid w:val="00E92F35"/>
    <w:rsid w:val="00E92FA9"/>
    <w:rsid w:val="00E93073"/>
    <w:rsid w:val="00E930E4"/>
    <w:rsid w:val="00E93127"/>
    <w:rsid w:val="00E9313A"/>
    <w:rsid w:val="00E93311"/>
    <w:rsid w:val="00E93430"/>
    <w:rsid w:val="00E934CB"/>
    <w:rsid w:val="00E934F3"/>
    <w:rsid w:val="00E9355E"/>
    <w:rsid w:val="00E935CE"/>
    <w:rsid w:val="00E936E7"/>
    <w:rsid w:val="00E937D7"/>
    <w:rsid w:val="00E938A4"/>
    <w:rsid w:val="00E938D3"/>
    <w:rsid w:val="00E938F4"/>
    <w:rsid w:val="00E93B09"/>
    <w:rsid w:val="00E93D21"/>
    <w:rsid w:val="00E93D31"/>
    <w:rsid w:val="00E93E2A"/>
    <w:rsid w:val="00E93E9A"/>
    <w:rsid w:val="00E93F94"/>
    <w:rsid w:val="00E94138"/>
    <w:rsid w:val="00E9421C"/>
    <w:rsid w:val="00E94250"/>
    <w:rsid w:val="00E94296"/>
    <w:rsid w:val="00E94322"/>
    <w:rsid w:val="00E943D3"/>
    <w:rsid w:val="00E945D7"/>
    <w:rsid w:val="00E945F1"/>
    <w:rsid w:val="00E94828"/>
    <w:rsid w:val="00E94884"/>
    <w:rsid w:val="00E948CD"/>
    <w:rsid w:val="00E949C2"/>
    <w:rsid w:val="00E94A12"/>
    <w:rsid w:val="00E94A7B"/>
    <w:rsid w:val="00E94B11"/>
    <w:rsid w:val="00E94BCF"/>
    <w:rsid w:val="00E94C03"/>
    <w:rsid w:val="00E94C46"/>
    <w:rsid w:val="00E94C5C"/>
    <w:rsid w:val="00E94DDD"/>
    <w:rsid w:val="00E94E40"/>
    <w:rsid w:val="00E94EC9"/>
    <w:rsid w:val="00E94ED4"/>
    <w:rsid w:val="00E94EED"/>
    <w:rsid w:val="00E94F14"/>
    <w:rsid w:val="00E95152"/>
    <w:rsid w:val="00E951E5"/>
    <w:rsid w:val="00E953A7"/>
    <w:rsid w:val="00E953CB"/>
    <w:rsid w:val="00E95472"/>
    <w:rsid w:val="00E9547E"/>
    <w:rsid w:val="00E954A6"/>
    <w:rsid w:val="00E9551F"/>
    <w:rsid w:val="00E9553F"/>
    <w:rsid w:val="00E95777"/>
    <w:rsid w:val="00E9580F"/>
    <w:rsid w:val="00E9583D"/>
    <w:rsid w:val="00E9587F"/>
    <w:rsid w:val="00E958D8"/>
    <w:rsid w:val="00E95A6C"/>
    <w:rsid w:val="00E95A7E"/>
    <w:rsid w:val="00E95B85"/>
    <w:rsid w:val="00E95BBA"/>
    <w:rsid w:val="00E95BF0"/>
    <w:rsid w:val="00E95CE1"/>
    <w:rsid w:val="00E95D2D"/>
    <w:rsid w:val="00E95E24"/>
    <w:rsid w:val="00E95E26"/>
    <w:rsid w:val="00E95E55"/>
    <w:rsid w:val="00E95EC8"/>
    <w:rsid w:val="00E95F27"/>
    <w:rsid w:val="00E95FE2"/>
    <w:rsid w:val="00E96099"/>
    <w:rsid w:val="00E96146"/>
    <w:rsid w:val="00E96277"/>
    <w:rsid w:val="00E962A2"/>
    <w:rsid w:val="00E9639E"/>
    <w:rsid w:val="00E96435"/>
    <w:rsid w:val="00E96576"/>
    <w:rsid w:val="00E9657D"/>
    <w:rsid w:val="00E9667D"/>
    <w:rsid w:val="00E9672D"/>
    <w:rsid w:val="00E967D2"/>
    <w:rsid w:val="00E96869"/>
    <w:rsid w:val="00E968E8"/>
    <w:rsid w:val="00E96A16"/>
    <w:rsid w:val="00E96A7E"/>
    <w:rsid w:val="00E96B50"/>
    <w:rsid w:val="00E96C8B"/>
    <w:rsid w:val="00E96D5E"/>
    <w:rsid w:val="00E96D92"/>
    <w:rsid w:val="00E96F24"/>
    <w:rsid w:val="00E97085"/>
    <w:rsid w:val="00E970B8"/>
    <w:rsid w:val="00E9713B"/>
    <w:rsid w:val="00E971D9"/>
    <w:rsid w:val="00E971E3"/>
    <w:rsid w:val="00E9720A"/>
    <w:rsid w:val="00E97365"/>
    <w:rsid w:val="00E97397"/>
    <w:rsid w:val="00E97456"/>
    <w:rsid w:val="00E974DB"/>
    <w:rsid w:val="00E974E0"/>
    <w:rsid w:val="00E974E5"/>
    <w:rsid w:val="00E9765A"/>
    <w:rsid w:val="00E976A0"/>
    <w:rsid w:val="00E97710"/>
    <w:rsid w:val="00E97760"/>
    <w:rsid w:val="00E97796"/>
    <w:rsid w:val="00E97903"/>
    <w:rsid w:val="00E9794C"/>
    <w:rsid w:val="00E97985"/>
    <w:rsid w:val="00E9799B"/>
    <w:rsid w:val="00E97B2A"/>
    <w:rsid w:val="00E97CD8"/>
    <w:rsid w:val="00E97DCE"/>
    <w:rsid w:val="00E97E1D"/>
    <w:rsid w:val="00E97EC2"/>
    <w:rsid w:val="00EA0008"/>
    <w:rsid w:val="00EA0198"/>
    <w:rsid w:val="00EA033B"/>
    <w:rsid w:val="00EA039F"/>
    <w:rsid w:val="00EA0443"/>
    <w:rsid w:val="00EA04D8"/>
    <w:rsid w:val="00EA0548"/>
    <w:rsid w:val="00EA062B"/>
    <w:rsid w:val="00EA0646"/>
    <w:rsid w:val="00EA07B0"/>
    <w:rsid w:val="00EA0913"/>
    <w:rsid w:val="00EA0921"/>
    <w:rsid w:val="00EA0943"/>
    <w:rsid w:val="00EA09F7"/>
    <w:rsid w:val="00EA0AA5"/>
    <w:rsid w:val="00EA0BE8"/>
    <w:rsid w:val="00EA0C24"/>
    <w:rsid w:val="00EA0D04"/>
    <w:rsid w:val="00EA0E76"/>
    <w:rsid w:val="00EA1073"/>
    <w:rsid w:val="00EA10C7"/>
    <w:rsid w:val="00EA1210"/>
    <w:rsid w:val="00EA12A1"/>
    <w:rsid w:val="00EA12F8"/>
    <w:rsid w:val="00EA1450"/>
    <w:rsid w:val="00EA1588"/>
    <w:rsid w:val="00EA1717"/>
    <w:rsid w:val="00EA17EC"/>
    <w:rsid w:val="00EA1AD4"/>
    <w:rsid w:val="00EA1D8E"/>
    <w:rsid w:val="00EA1E70"/>
    <w:rsid w:val="00EA207C"/>
    <w:rsid w:val="00EA209F"/>
    <w:rsid w:val="00EA20AE"/>
    <w:rsid w:val="00EA20DD"/>
    <w:rsid w:val="00EA21B0"/>
    <w:rsid w:val="00EA237E"/>
    <w:rsid w:val="00EA2400"/>
    <w:rsid w:val="00EA2459"/>
    <w:rsid w:val="00EA252E"/>
    <w:rsid w:val="00EA2599"/>
    <w:rsid w:val="00EA25E5"/>
    <w:rsid w:val="00EA266E"/>
    <w:rsid w:val="00EA2688"/>
    <w:rsid w:val="00EA272E"/>
    <w:rsid w:val="00EA27CB"/>
    <w:rsid w:val="00EA28E0"/>
    <w:rsid w:val="00EA294B"/>
    <w:rsid w:val="00EA2AD9"/>
    <w:rsid w:val="00EA2AED"/>
    <w:rsid w:val="00EA2B32"/>
    <w:rsid w:val="00EA2B54"/>
    <w:rsid w:val="00EA2B68"/>
    <w:rsid w:val="00EA2B7D"/>
    <w:rsid w:val="00EA2BBB"/>
    <w:rsid w:val="00EA2CB8"/>
    <w:rsid w:val="00EA2CFC"/>
    <w:rsid w:val="00EA2D47"/>
    <w:rsid w:val="00EA2D5A"/>
    <w:rsid w:val="00EA2E26"/>
    <w:rsid w:val="00EA2EA6"/>
    <w:rsid w:val="00EA2EED"/>
    <w:rsid w:val="00EA2F20"/>
    <w:rsid w:val="00EA2FA8"/>
    <w:rsid w:val="00EA2FEC"/>
    <w:rsid w:val="00EA3024"/>
    <w:rsid w:val="00EA3459"/>
    <w:rsid w:val="00EA349E"/>
    <w:rsid w:val="00EA3639"/>
    <w:rsid w:val="00EA3BFA"/>
    <w:rsid w:val="00EA3C02"/>
    <w:rsid w:val="00EA3C52"/>
    <w:rsid w:val="00EA3E2B"/>
    <w:rsid w:val="00EA3F92"/>
    <w:rsid w:val="00EA40D2"/>
    <w:rsid w:val="00EA411D"/>
    <w:rsid w:val="00EA4120"/>
    <w:rsid w:val="00EA4127"/>
    <w:rsid w:val="00EA4444"/>
    <w:rsid w:val="00EA44B9"/>
    <w:rsid w:val="00EA454B"/>
    <w:rsid w:val="00EA45D4"/>
    <w:rsid w:val="00EA486B"/>
    <w:rsid w:val="00EA48BE"/>
    <w:rsid w:val="00EA4960"/>
    <w:rsid w:val="00EA4966"/>
    <w:rsid w:val="00EA49AA"/>
    <w:rsid w:val="00EA4A50"/>
    <w:rsid w:val="00EA4A78"/>
    <w:rsid w:val="00EA4BFC"/>
    <w:rsid w:val="00EA4C1B"/>
    <w:rsid w:val="00EA4D69"/>
    <w:rsid w:val="00EA4DF4"/>
    <w:rsid w:val="00EA4F51"/>
    <w:rsid w:val="00EA50C7"/>
    <w:rsid w:val="00EA519B"/>
    <w:rsid w:val="00EA52B3"/>
    <w:rsid w:val="00EA53B4"/>
    <w:rsid w:val="00EA53D5"/>
    <w:rsid w:val="00EA5404"/>
    <w:rsid w:val="00EA5417"/>
    <w:rsid w:val="00EA54DE"/>
    <w:rsid w:val="00EA57D9"/>
    <w:rsid w:val="00EA57E7"/>
    <w:rsid w:val="00EA5B9C"/>
    <w:rsid w:val="00EA5C23"/>
    <w:rsid w:val="00EA5C25"/>
    <w:rsid w:val="00EA5D5F"/>
    <w:rsid w:val="00EA5E02"/>
    <w:rsid w:val="00EA5E40"/>
    <w:rsid w:val="00EA5E4A"/>
    <w:rsid w:val="00EA5EC5"/>
    <w:rsid w:val="00EA5FF6"/>
    <w:rsid w:val="00EA6016"/>
    <w:rsid w:val="00EA6134"/>
    <w:rsid w:val="00EA616C"/>
    <w:rsid w:val="00EA6189"/>
    <w:rsid w:val="00EA62CB"/>
    <w:rsid w:val="00EA62D6"/>
    <w:rsid w:val="00EA652C"/>
    <w:rsid w:val="00EA6562"/>
    <w:rsid w:val="00EA6567"/>
    <w:rsid w:val="00EA66B4"/>
    <w:rsid w:val="00EA66E5"/>
    <w:rsid w:val="00EA670A"/>
    <w:rsid w:val="00EA67D8"/>
    <w:rsid w:val="00EA682D"/>
    <w:rsid w:val="00EA687E"/>
    <w:rsid w:val="00EA68FB"/>
    <w:rsid w:val="00EA6957"/>
    <w:rsid w:val="00EA6962"/>
    <w:rsid w:val="00EA6C62"/>
    <w:rsid w:val="00EA6CFA"/>
    <w:rsid w:val="00EA6D53"/>
    <w:rsid w:val="00EA6DF6"/>
    <w:rsid w:val="00EA6F50"/>
    <w:rsid w:val="00EA71C5"/>
    <w:rsid w:val="00EA7273"/>
    <w:rsid w:val="00EA73D4"/>
    <w:rsid w:val="00EA745B"/>
    <w:rsid w:val="00EA7548"/>
    <w:rsid w:val="00EA7696"/>
    <w:rsid w:val="00EA76B0"/>
    <w:rsid w:val="00EA76F0"/>
    <w:rsid w:val="00EA76F7"/>
    <w:rsid w:val="00EA778F"/>
    <w:rsid w:val="00EA78E0"/>
    <w:rsid w:val="00EA79C6"/>
    <w:rsid w:val="00EA7B14"/>
    <w:rsid w:val="00EA7C78"/>
    <w:rsid w:val="00EA7D24"/>
    <w:rsid w:val="00EA7D9A"/>
    <w:rsid w:val="00EA7E12"/>
    <w:rsid w:val="00EA7E39"/>
    <w:rsid w:val="00EA7E3F"/>
    <w:rsid w:val="00EA7E8E"/>
    <w:rsid w:val="00EA7F0E"/>
    <w:rsid w:val="00EA7F8C"/>
    <w:rsid w:val="00EB0021"/>
    <w:rsid w:val="00EB005A"/>
    <w:rsid w:val="00EB010E"/>
    <w:rsid w:val="00EB0222"/>
    <w:rsid w:val="00EB023B"/>
    <w:rsid w:val="00EB02BE"/>
    <w:rsid w:val="00EB02E3"/>
    <w:rsid w:val="00EB02ED"/>
    <w:rsid w:val="00EB044C"/>
    <w:rsid w:val="00EB04BC"/>
    <w:rsid w:val="00EB0504"/>
    <w:rsid w:val="00EB075C"/>
    <w:rsid w:val="00EB0777"/>
    <w:rsid w:val="00EB084A"/>
    <w:rsid w:val="00EB091F"/>
    <w:rsid w:val="00EB09FC"/>
    <w:rsid w:val="00EB0A67"/>
    <w:rsid w:val="00EB0BBB"/>
    <w:rsid w:val="00EB0CE5"/>
    <w:rsid w:val="00EB0EEE"/>
    <w:rsid w:val="00EB0F96"/>
    <w:rsid w:val="00EB1107"/>
    <w:rsid w:val="00EB1187"/>
    <w:rsid w:val="00EB11AC"/>
    <w:rsid w:val="00EB1219"/>
    <w:rsid w:val="00EB1329"/>
    <w:rsid w:val="00EB1357"/>
    <w:rsid w:val="00EB135B"/>
    <w:rsid w:val="00EB15F0"/>
    <w:rsid w:val="00EB168E"/>
    <w:rsid w:val="00EB178E"/>
    <w:rsid w:val="00EB17A5"/>
    <w:rsid w:val="00EB17EA"/>
    <w:rsid w:val="00EB18F8"/>
    <w:rsid w:val="00EB193A"/>
    <w:rsid w:val="00EB19DE"/>
    <w:rsid w:val="00EB1B0F"/>
    <w:rsid w:val="00EB1B96"/>
    <w:rsid w:val="00EB1D77"/>
    <w:rsid w:val="00EB1DBE"/>
    <w:rsid w:val="00EB1DFD"/>
    <w:rsid w:val="00EB1E0E"/>
    <w:rsid w:val="00EB1E17"/>
    <w:rsid w:val="00EB1EDE"/>
    <w:rsid w:val="00EB1F61"/>
    <w:rsid w:val="00EB2072"/>
    <w:rsid w:val="00EB208C"/>
    <w:rsid w:val="00EB209D"/>
    <w:rsid w:val="00EB217D"/>
    <w:rsid w:val="00EB2409"/>
    <w:rsid w:val="00EB246B"/>
    <w:rsid w:val="00EB24AB"/>
    <w:rsid w:val="00EB267A"/>
    <w:rsid w:val="00EB268E"/>
    <w:rsid w:val="00EB2720"/>
    <w:rsid w:val="00EB29D1"/>
    <w:rsid w:val="00EB2A42"/>
    <w:rsid w:val="00EB2A72"/>
    <w:rsid w:val="00EB2A91"/>
    <w:rsid w:val="00EB2ADB"/>
    <w:rsid w:val="00EB2B3E"/>
    <w:rsid w:val="00EB2BDF"/>
    <w:rsid w:val="00EB2C24"/>
    <w:rsid w:val="00EB2C52"/>
    <w:rsid w:val="00EB2C7D"/>
    <w:rsid w:val="00EB2C81"/>
    <w:rsid w:val="00EB2DEA"/>
    <w:rsid w:val="00EB2E72"/>
    <w:rsid w:val="00EB2EC0"/>
    <w:rsid w:val="00EB2ED6"/>
    <w:rsid w:val="00EB2EFD"/>
    <w:rsid w:val="00EB2F7D"/>
    <w:rsid w:val="00EB2FB8"/>
    <w:rsid w:val="00EB3064"/>
    <w:rsid w:val="00EB3081"/>
    <w:rsid w:val="00EB308A"/>
    <w:rsid w:val="00EB30BC"/>
    <w:rsid w:val="00EB30F1"/>
    <w:rsid w:val="00EB31B3"/>
    <w:rsid w:val="00EB326A"/>
    <w:rsid w:val="00EB3317"/>
    <w:rsid w:val="00EB331A"/>
    <w:rsid w:val="00EB3346"/>
    <w:rsid w:val="00EB3378"/>
    <w:rsid w:val="00EB33B8"/>
    <w:rsid w:val="00EB3494"/>
    <w:rsid w:val="00EB34FE"/>
    <w:rsid w:val="00EB353F"/>
    <w:rsid w:val="00EB3602"/>
    <w:rsid w:val="00EB366C"/>
    <w:rsid w:val="00EB3703"/>
    <w:rsid w:val="00EB3749"/>
    <w:rsid w:val="00EB37FD"/>
    <w:rsid w:val="00EB38C6"/>
    <w:rsid w:val="00EB39A2"/>
    <w:rsid w:val="00EB3ABF"/>
    <w:rsid w:val="00EB3B81"/>
    <w:rsid w:val="00EB3BB7"/>
    <w:rsid w:val="00EB3C00"/>
    <w:rsid w:val="00EB3C62"/>
    <w:rsid w:val="00EB3C87"/>
    <w:rsid w:val="00EB3D4E"/>
    <w:rsid w:val="00EB3E0F"/>
    <w:rsid w:val="00EB3EB4"/>
    <w:rsid w:val="00EB3F29"/>
    <w:rsid w:val="00EB3FFC"/>
    <w:rsid w:val="00EB4019"/>
    <w:rsid w:val="00EB4058"/>
    <w:rsid w:val="00EB4080"/>
    <w:rsid w:val="00EB4085"/>
    <w:rsid w:val="00EB4545"/>
    <w:rsid w:val="00EB4613"/>
    <w:rsid w:val="00EB4907"/>
    <w:rsid w:val="00EB4948"/>
    <w:rsid w:val="00EB4A32"/>
    <w:rsid w:val="00EB4A3C"/>
    <w:rsid w:val="00EB4C76"/>
    <w:rsid w:val="00EB4D88"/>
    <w:rsid w:val="00EB4DE3"/>
    <w:rsid w:val="00EB4E70"/>
    <w:rsid w:val="00EB4FAB"/>
    <w:rsid w:val="00EB4FC9"/>
    <w:rsid w:val="00EB5043"/>
    <w:rsid w:val="00EB506E"/>
    <w:rsid w:val="00EB5104"/>
    <w:rsid w:val="00EB5120"/>
    <w:rsid w:val="00EB527F"/>
    <w:rsid w:val="00EB52CF"/>
    <w:rsid w:val="00EB5365"/>
    <w:rsid w:val="00EB5437"/>
    <w:rsid w:val="00EB5581"/>
    <w:rsid w:val="00EB558D"/>
    <w:rsid w:val="00EB55CA"/>
    <w:rsid w:val="00EB5823"/>
    <w:rsid w:val="00EB587F"/>
    <w:rsid w:val="00EB58F1"/>
    <w:rsid w:val="00EB5AAE"/>
    <w:rsid w:val="00EB5AEC"/>
    <w:rsid w:val="00EB5B84"/>
    <w:rsid w:val="00EB5BE1"/>
    <w:rsid w:val="00EB5BFC"/>
    <w:rsid w:val="00EB5C91"/>
    <w:rsid w:val="00EB5C99"/>
    <w:rsid w:val="00EB5D99"/>
    <w:rsid w:val="00EB5DD9"/>
    <w:rsid w:val="00EB5E59"/>
    <w:rsid w:val="00EB5FED"/>
    <w:rsid w:val="00EB6044"/>
    <w:rsid w:val="00EB606D"/>
    <w:rsid w:val="00EB6261"/>
    <w:rsid w:val="00EB62B4"/>
    <w:rsid w:val="00EB631E"/>
    <w:rsid w:val="00EB6359"/>
    <w:rsid w:val="00EB64C6"/>
    <w:rsid w:val="00EB654D"/>
    <w:rsid w:val="00EB66CB"/>
    <w:rsid w:val="00EB66E6"/>
    <w:rsid w:val="00EB673A"/>
    <w:rsid w:val="00EB674F"/>
    <w:rsid w:val="00EB67B6"/>
    <w:rsid w:val="00EB685B"/>
    <w:rsid w:val="00EB688A"/>
    <w:rsid w:val="00EB68CA"/>
    <w:rsid w:val="00EB6925"/>
    <w:rsid w:val="00EB6952"/>
    <w:rsid w:val="00EB6A31"/>
    <w:rsid w:val="00EB6A8F"/>
    <w:rsid w:val="00EB6AC8"/>
    <w:rsid w:val="00EB6B25"/>
    <w:rsid w:val="00EB6B2C"/>
    <w:rsid w:val="00EB6C42"/>
    <w:rsid w:val="00EB6C80"/>
    <w:rsid w:val="00EB6CA0"/>
    <w:rsid w:val="00EB6E10"/>
    <w:rsid w:val="00EB6F2E"/>
    <w:rsid w:val="00EB6F71"/>
    <w:rsid w:val="00EB6FBC"/>
    <w:rsid w:val="00EB7208"/>
    <w:rsid w:val="00EB74F4"/>
    <w:rsid w:val="00EB75D0"/>
    <w:rsid w:val="00EB7641"/>
    <w:rsid w:val="00EB77BA"/>
    <w:rsid w:val="00EB7C80"/>
    <w:rsid w:val="00EB7CE6"/>
    <w:rsid w:val="00EB7E42"/>
    <w:rsid w:val="00EB7E91"/>
    <w:rsid w:val="00EB7EBF"/>
    <w:rsid w:val="00EC001C"/>
    <w:rsid w:val="00EC001F"/>
    <w:rsid w:val="00EC00B3"/>
    <w:rsid w:val="00EC01BD"/>
    <w:rsid w:val="00EC02B9"/>
    <w:rsid w:val="00EC0319"/>
    <w:rsid w:val="00EC034F"/>
    <w:rsid w:val="00EC045B"/>
    <w:rsid w:val="00EC0462"/>
    <w:rsid w:val="00EC0621"/>
    <w:rsid w:val="00EC0667"/>
    <w:rsid w:val="00EC0691"/>
    <w:rsid w:val="00EC071C"/>
    <w:rsid w:val="00EC0726"/>
    <w:rsid w:val="00EC072F"/>
    <w:rsid w:val="00EC0745"/>
    <w:rsid w:val="00EC0759"/>
    <w:rsid w:val="00EC0877"/>
    <w:rsid w:val="00EC089C"/>
    <w:rsid w:val="00EC08A5"/>
    <w:rsid w:val="00EC0D78"/>
    <w:rsid w:val="00EC0DE9"/>
    <w:rsid w:val="00EC0E18"/>
    <w:rsid w:val="00EC0FDE"/>
    <w:rsid w:val="00EC10AA"/>
    <w:rsid w:val="00EC124C"/>
    <w:rsid w:val="00EC1378"/>
    <w:rsid w:val="00EC1400"/>
    <w:rsid w:val="00EC1552"/>
    <w:rsid w:val="00EC15C9"/>
    <w:rsid w:val="00EC15F5"/>
    <w:rsid w:val="00EC1624"/>
    <w:rsid w:val="00EC17D1"/>
    <w:rsid w:val="00EC18BC"/>
    <w:rsid w:val="00EC1B57"/>
    <w:rsid w:val="00EC1D2A"/>
    <w:rsid w:val="00EC1D66"/>
    <w:rsid w:val="00EC1E78"/>
    <w:rsid w:val="00EC1EEC"/>
    <w:rsid w:val="00EC1FB1"/>
    <w:rsid w:val="00EC2061"/>
    <w:rsid w:val="00EC213A"/>
    <w:rsid w:val="00EC21E8"/>
    <w:rsid w:val="00EC2307"/>
    <w:rsid w:val="00EC23AE"/>
    <w:rsid w:val="00EC2436"/>
    <w:rsid w:val="00EC24FA"/>
    <w:rsid w:val="00EC2546"/>
    <w:rsid w:val="00EC25DF"/>
    <w:rsid w:val="00EC2625"/>
    <w:rsid w:val="00EC2630"/>
    <w:rsid w:val="00EC263C"/>
    <w:rsid w:val="00EC27CE"/>
    <w:rsid w:val="00EC27F4"/>
    <w:rsid w:val="00EC2824"/>
    <w:rsid w:val="00EC2883"/>
    <w:rsid w:val="00EC29F4"/>
    <w:rsid w:val="00EC2ACD"/>
    <w:rsid w:val="00EC2BFE"/>
    <w:rsid w:val="00EC2D9D"/>
    <w:rsid w:val="00EC2E5B"/>
    <w:rsid w:val="00EC2EB4"/>
    <w:rsid w:val="00EC2EFD"/>
    <w:rsid w:val="00EC2F11"/>
    <w:rsid w:val="00EC2FDB"/>
    <w:rsid w:val="00EC301E"/>
    <w:rsid w:val="00EC3052"/>
    <w:rsid w:val="00EC3073"/>
    <w:rsid w:val="00EC30B5"/>
    <w:rsid w:val="00EC30CF"/>
    <w:rsid w:val="00EC311C"/>
    <w:rsid w:val="00EC33B0"/>
    <w:rsid w:val="00EC359F"/>
    <w:rsid w:val="00EC35B8"/>
    <w:rsid w:val="00EC35D8"/>
    <w:rsid w:val="00EC364E"/>
    <w:rsid w:val="00EC3652"/>
    <w:rsid w:val="00EC3739"/>
    <w:rsid w:val="00EC3B61"/>
    <w:rsid w:val="00EC3B95"/>
    <w:rsid w:val="00EC3BC3"/>
    <w:rsid w:val="00EC3BF4"/>
    <w:rsid w:val="00EC3C53"/>
    <w:rsid w:val="00EC3C8B"/>
    <w:rsid w:val="00EC3E0A"/>
    <w:rsid w:val="00EC3EE8"/>
    <w:rsid w:val="00EC3F43"/>
    <w:rsid w:val="00EC4094"/>
    <w:rsid w:val="00EC4337"/>
    <w:rsid w:val="00EC43B9"/>
    <w:rsid w:val="00EC4422"/>
    <w:rsid w:val="00EC4682"/>
    <w:rsid w:val="00EC4913"/>
    <w:rsid w:val="00EC49CE"/>
    <w:rsid w:val="00EC4B19"/>
    <w:rsid w:val="00EC4BBE"/>
    <w:rsid w:val="00EC4BF7"/>
    <w:rsid w:val="00EC4CBD"/>
    <w:rsid w:val="00EC4CD8"/>
    <w:rsid w:val="00EC4D15"/>
    <w:rsid w:val="00EC4D28"/>
    <w:rsid w:val="00EC4E54"/>
    <w:rsid w:val="00EC4EB0"/>
    <w:rsid w:val="00EC4F13"/>
    <w:rsid w:val="00EC4FC0"/>
    <w:rsid w:val="00EC5046"/>
    <w:rsid w:val="00EC50D2"/>
    <w:rsid w:val="00EC5138"/>
    <w:rsid w:val="00EC534F"/>
    <w:rsid w:val="00EC5389"/>
    <w:rsid w:val="00EC54D0"/>
    <w:rsid w:val="00EC558E"/>
    <w:rsid w:val="00EC5627"/>
    <w:rsid w:val="00EC5629"/>
    <w:rsid w:val="00EC56C9"/>
    <w:rsid w:val="00EC57E1"/>
    <w:rsid w:val="00EC58B6"/>
    <w:rsid w:val="00EC58EE"/>
    <w:rsid w:val="00EC59C4"/>
    <w:rsid w:val="00EC59EB"/>
    <w:rsid w:val="00EC5A72"/>
    <w:rsid w:val="00EC5C5D"/>
    <w:rsid w:val="00EC5E5F"/>
    <w:rsid w:val="00EC5F8B"/>
    <w:rsid w:val="00EC5FC3"/>
    <w:rsid w:val="00EC5FEB"/>
    <w:rsid w:val="00EC606E"/>
    <w:rsid w:val="00EC6234"/>
    <w:rsid w:val="00EC63F4"/>
    <w:rsid w:val="00EC64B1"/>
    <w:rsid w:val="00EC66A4"/>
    <w:rsid w:val="00EC6826"/>
    <w:rsid w:val="00EC688C"/>
    <w:rsid w:val="00EC6925"/>
    <w:rsid w:val="00EC69BB"/>
    <w:rsid w:val="00EC6A42"/>
    <w:rsid w:val="00EC6A49"/>
    <w:rsid w:val="00EC6A63"/>
    <w:rsid w:val="00EC6A87"/>
    <w:rsid w:val="00EC6AAF"/>
    <w:rsid w:val="00EC6B20"/>
    <w:rsid w:val="00EC6B7A"/>
    <w:rsid w:val="00EC6B87"/>
    <w:rsid w:val="00EC6BF6"/>
    <w:rsid w:val="00EC6C29"/>
    <w:rsid w:val="00EC6D53"/>
    <w:rsid w:val="00EC6F10"/>
    <w:rsid w:val="00EC6F1A"/>
    <w:rsid w:val="00EC6FBA"/>
    <w:rsid w:val="00EC6FEC"/>
    <w:rsid w:val="00EC7071"/>
    <w:rsid w:val="00EC70A1"/>
    <w:rsid w:val="00EC712F"/>
    <w:rsid w:val="00EC72A3"/>
    <w:rsid w:val="00EC72DF"/>
    <w:rsid w:val="00EC7461"/>
    <w:rsid w:val="00EC7612"/>
    <w:rsid w:val="00EC7627"/>
    <w:rsid w:val="00EC7B5B"/>
    <w:rsid w:val="00EC7D29"/>
    <w:rsid w:val="00EC7D2F"/>
    <w:rsid w:val="00EC7D35"/>
    <w:rsid w:val="00EC7F01"/>
    <w:rsid w:val="00EC7FE4"/>
    <w:rsid w:val="00ED004D"/>
    <w:rsid w:val="00ED0062"/>
    <w:rsid w:val="00ED0097"/>
    <w:rsid w:val="00ED02CA"/>
    <w:rsid w:val="00ED0363"/>
    <w:rsid w:val="00ED0492"/>
    <w:rsid w:val="00ED05D7"/>
    <w:rsid w:val="00ED05F6"/>
    <w:rsid w:val="00ED066C"/>
    <w:rsid w:val="00ED06A1"/>
    <w:rsid w:val="00ED06B4"/>
    <w:rsid w:val="00ED0755"/>
    <w:rsid w:val="00ED07A1"/>
    <w:rsid w:val="00ED0943"/>
    <w:rsid w:val="00ED0972"/>
    <w:rsid w:val="00ED0976"/>
    <w:rsid w:val="00ED09DA"/>
    <w:rsid w:val="00ED0A49"/>
    <w:rsid w:val="00ED0A4B"/>
    <w:rsid w:val="00ED0AB9"/>
    <w:rsid w:val="00ED0BB0"/>
    <w:rsid w:val="00ED0DD3"/>
    <w:rsid w:val="00ED0EFA"/>
    <w:rsid w:val="00ED0FD3"/>
    <w:rsid w:val="00ED1103"/>
    <w:rsid w:val="00ED1177"/>
    <w:rsid w:val="00ED137F"/>
    <w:rsid w:val="00ED13C2"/>
    <w:rsid w:val="00ED150D"/>
    <w:rsid w:val="00ED151E"/>
    <w:rsid w:val="00ED15DF"/>
    <w:rsid w:val="00ED1673"/>
    <w:rsid w:val="00ED179D"/>
    <w:rsid w:val="00ED18EF"/>
    <w:rsid w:val="00ED1971"/>
    <w:rsid w:val="00ED1AA3"/>
    <w:rsid w:val="00ED1B3B"/>
    <w:rsid w:val="00ED1BB7"/>
    <w:rsid w:val="00ED1E00"/>
    <w:rsid w:val="00ED1E4E"/>
    <w:rsid w:val="00ED1F3B"/>
    <w:rsid w:val="00ED200F"/>
    <w:rsid w:val="00ED204F"/>
    <w:rsid w:val="00ED20E7"/>
    <w:rsid w:val="00ED20F6"/>
    <w:rsid w:val="00ED21A0"/>
    <w:rsid w:val="00ED224D"/>
    <w:rsid w:val="00ED2318"/>
    <w:rsid w:val="00ED2504"/>
    <w:rsid w:val="00ED25E8"/>
    <w:rsid w:val="00ED2757"/>
    <w:rsid w:val="00ED2820"/>
    <w:rsid w:val="00ED28DD"/>
    <w:rsid w:val="00ED2A37"/>
    <w:rsid w:val="00ED2CEE"/>
    <w:rsid w:val="00ED2FF2"/>
    <w:rsid w:val="00ED3026"/>
    <w:rsid w:val="00ED3176"/>
    <w:rsid w:val="00ED31D7"/>
    <w:rsid w:val="00ED32E6"/>
    <w:rsid w:val="00ED348E"/>
    <w:rsid w:val="00ED3574"/>
    <w:rsid w:val="00ED35A9"/>
    <w:rsid w:val="00ED36F6"/>
    <w:rsid w:val="00ED370D"/>
    <w:rsid w:val="00ED3782"/>
    <w:rsid w:val="00ED3AE3"/>
    <w:rsid w:val="00ED3C76"/>
    <w:rsid w:val="00ED3CB9"/>
    <w:rsid w:val="00ED3DE3"/>
    <w:rsid w:val="00ED3EC5"/>
    <w:rsid w:val="00ED3F3D"/>
    <w:rsid w:val="00ED3FA7"/>
    <w:rsid w:val="00ED3FF5"/>
    <w:rsid w:val="00ED4026"/>
    <w:rsid w:val="00ED41ED"/>
    <w:rsid w:val="00ED4238"/>
    <w:rsid w:val="00ED4250"/>
    <w:rsid w:val="00ED4323"/>
    <w:rsid w:val="00ED445A"/>
    <w:rsid w:val="00ED465E"/>
    <w:rsid w:val="00ED4674"/>
    <w:rsid w:val="00ED469D"/>
    <w:rsid w:val="00ED46F2"/>
    <w:rsid w:val="00ED47DB"/>
    <w:rsid w:val="00ED4A71"/>
    <w:rsid w:val="00ED4A7B"/>
    <w:rsid w:val="00ED4AF9"/>
    <w:rsid w:val="00ED4B49"/>
    <w:rsid w:val="00ED4B58"/>
    <w:rsid w:val="00ED4CA5"/>
    <w:rsid w:val="00ED4D57"/>
    <w:rsid w:val="00ED4D70"/>
    <w:rsid w:val="00ED4DFF"/>
    <w:rsid w:val="00ED4EE8"/>
    <w:rsid w:val="00ED5426"/>
    <w:rsid w:val="00ED544B"/>
    <w:rsid w:val="00ED5467"/>
    <w:rsid w:val="00ED55F1"/>
    <w:rsid w:val="00ED578B"/>
    <w:rsid w:val="00ED5876"/>
    <w:rsid w:val="00ED5882"/>
    <w:rsid w:val="00ED5994"/>
    <w:rsid w:val="00ED5A5A"/>
    <w:rsid w:val="00ED5B10"/>
    <w:rsid w:val="00ED5BCD"/>
    <w:rsid w:val="00ED5E80"/>
    <w:rsid w:val="00ED5F4E"/>
    <w:rsid w:val="00ED60D1"/>
    <w:rsid w:val="00ED61C0"/>
    <w:rsid w:val="00ED61CE"/>
    <w:rsid w:val="00ED631D"/>
    <w:rsid w:val="00ED6400"/>
    <w:rsid w:val="00ED6403"/>
    <w:rsid w:val="00ED6465"/>
    <w:rsid w:val="00ED6521"/>
    <w:rsid w:val="00ED660F"/>
    <w:rsid w:val="00ED663F"/>
    <w:rsid w:val="00ED6839"/>
    <w:rsid w:val="00ED68C3"/>
    <w:rsid w:val="00ED6925"/>
    <w:rsid w:val="00ED69AC"/>
    <w:rsid w:val="00ED6A5D"/>
    <w:rsid w:val="00ED6C45"/>
    <w:rsid w:val="00ED6D7B"/>
    <w:rsid w:val="00ED6DAC"/>
    <w:rsid w:val="00ED6E6C"/>
    <w:rsid w:val="00ED7017"/>
    <w:rsid w:val="00ED720F"/>
    <w:rsid w:val="00ED7329"/>
    <w:rsid w:val="00ED739D"/>
    <w:rsid w:val="00ED73B9"/>
    <w:rsid w:val="00ED743A"/>
    <w:rsid w:val="00ED7568"/>
    <w:rsid w:val="00ED7586"/>
    <w:rsid w:val="00ED758C"/>
    <w:rsid w:val="00ED7825"/>
    <w:rsid w:val="00ED7838"/>
    <w:rsid w:val="00ED78D4"/>
    <w:rsid w:val="00ED792C"/>
    <w:rsid w:val="00ED7A39"/>
    <w:rsid w:val="00ED7AD9"/>
    <w:rsid w:val="00ED7D5E"/>
    <w:rsid w:val="00ED7DF7"/>
    <w:rsid w:val="00ED7E9E"/>
    <w:rsid w:val="00EE0024"/>
    <w:rsid w:val="00EE01D0"/>
    <w:rsid w:val="00EE01E7"/>
    <w:rsid w:val="00EE0470"/>
    <w:rsid w:val="00EE0471"/>
    <w:rsid w:val="00EE0534"/>
    <w:rsid w:val="00EE059D"/>
    <w:rsid w:val="00EE067F"/>
    <w:rsid w:val="00EE07DE"/>
    <w:rsid w:val="00EE08B4"/>
    <w:rsid w:val="00EE0954"/>
    <w:rsid w:val="00EE0B90"/>
    <w:rsid w:val="00EE0BE3"/>
    <w:rsid w:val="00EE0C8D"/>
    <w:rsid w:val="00EE0C9C"/>
    <w:rsid w:val="00EE0CE6"/>
    <w:rsid w:val="00EE0DAF"/>
    <w:rsid w:val="00EE0E54"/>
    <w:rsid w:val="00EE0F80"/>
    <w:rsid w:val="00EE1008"/>
    <w:rsid w:val="00EE10D8"/>
    <w:rsid w:val="00EE115B"/>
    <w:rsid w:val="00EE1169"/>
    <w:rsid w:val="00EE11AD"/>
    <w:rsid w:val="00EE1226"/>
    <w:rsid w:val="00EE13E3"/>
    <w:rsid w:val="00EE146F"/>
    <w:rsid w:val="00EE196D"/>
    <w:rsid w:val="00EE1A19"/>
    <w:rsid w:val="00EE1BBB"/>
    <w:rsid w:val="00EE1ED8"/>
    <w:rsid w:val="00EE1F92"/>
    <w:rsid w:val="00EE20D8"/>
    <w:rsid w:val="00EE2192"/>
    <w:rsid w:val="00EE2224"/>
    <w:rsid w:val="00EE2227"/>
    <w:rsid w:val="00EE2241"/>
    <w:rsid w:val="00EE23CC"/>
    <w:rsid w:val="00EE2408"/>
    <w:rsid w:val="00EE242E"/>
    <w:rsid w:val="00EE2469"/>
    <w:rsid w:val="00EE24CE"/>
    <w:rsid w:val="00EE25C5"/>
    <w:rsid w:val="00EE25FB"/>
    <w:rsid w:val="00EE261F"/>
    <w:rsid w:val="00EE2749"/>
    <w:rsid w:val="00EE2892"/>
    <w:rsid w:val="00EE289D"/>
    <w:rsid w:val="00EE28F9"/>
    <w:rsid w:val="00EE2906"/>
    <w:rsid w:val="00EE2C18"/>
    <w:rsid w:val="00EE2C3A"/>
    <w:rsid w:val="00EE2D14"/>
    <w:rsid w:val="00EE2D36"/>
    <w:rsid w:val="00EE2D48"/>
    <w:rsid w:val="00EE2E33"/>
    <w:rsid w:val="00EE2E92"/>
    <w:rsid w:val="00EE2F0D"/>
    <w:rsid w:val="00EE2F31"/>
    <w:rsid w:val="00EE3034"/>
    <w:rsid w:val="00EE32DF"/>
    <w:rsid w:val="00EE331B"/>
    <w:rsid w:val="00EE3339"/>
    <w:rsid w:val="00EE33CC"/>
    <w:rsid w:val="00EE33D1"/>
    <w:rsid w:val="00EE35E6"/>
    <w:rsid w:val="00EE37C0"/>
    <w:rsid w:val="00EE380D"/>
    <w:rsid w:val="00EE3863"/>
    <w:rsid w:val="00EE398C"/>
    <w:rsid w:val="00EE398D"/>
    <w:rsid w:val="00EE39B4"/>
    <w:rsid w:val="00EE3A1B"/>
    <w:rsid w:val="00EE3C9B"/>
    <w:rsid w:val="00EE3CF5"/>
    <w:rsid w:val="00EE3D5C"/>
    <w:rsid w:val="00EE3D64"/>
    <w:rsid w:val="00EE3D6E"/>
    <w:rsid w:val="00EE3E2C"/>
    <w:rsid w:val="00EE3E67"/>
    <w:rsid w:val="00EE3EBC"/>
    <w:rsid w:val="00EE3F4D"/>
    <w:rsid w:val="00EE4062"/>
    <w:rsid w:val="00EE40D5"/>
    <w:rsid w:val="00EE4160"/>
    <w:rsid w:val="00EE4211"/>
    <w:rsid w:val="00EE43B7"/>
    <w:rsid w:val="00EE4A6D"/>
    <w:rsid w:val="00EE4B0E"/>
    <w:rsid w:val="00EE4B3F"/>
    <w:rsid w:val="00EE4B79"/>
    <w:rsid w:val="00EE4BD5"/>
    <w:rsid w:val="00EE4CCC"/>
    <w:rsid w:val="00EE4DEA"/>
    <w:rsid w:val="00EE4F3C"/>
    <w:rsid w:val="00EE4FF5"/>
    <w:rsid w:val="00EE5010"/>
    <w:rsid w:val="00EE509B"/>
    <w:rsid w:val="00EE5481"/>
    <w:rsid w:val="00EE5496"/>
    <w:rsid w:val="00EE5650"/>
    <w:rsid w:val="00EE5658"/>
    <w:rsid w:val="00EE56DC"/>
    <w:rsid w:val="00EE57C6"/>
    <w:rsid w:val="00EE5B90"/>
    <w:rsid w:val="00EE5BBC"/>
    <w:rsid w:val="00EE5BF2"/>
    <w:rsid w:val="00EE5C67"/>
    <w:rsid w:val="00EE5D8D"/>
    <w:rsid w:val="00EE5DF0"/>
    <w:rsid w:val="00EE61B8"/>
    <w:rsid w:val="00EE629B"/>
    <w:rsid w:val="00EE631D"/>
    <w:rsid w:val="00EE6328"/>
    <w:rsid w:val="00EE639D"/>
    <w:rsid w:val="00EE64D0"/>
    <w:rsid w:val="00EE6553"/>
    <w:rsid w:val="00EE67AC"/>
    <w:rsid w:val="00EE68FA"/>
    <w:rsid w:val="00EE695C"/>
    <w:rsid w:val="00EE6A1A"/>
    <w:rsid w:val="00EE6AB8"/>
    <w:rsid w:val="00EE6D54"/>
    <w:rsid w:val="00EE6D86"/>
    <w:rsid w:val="00EE6DA3"/>
    <w:rsid w:val="00EE6DB2"/>
    <w:rsid w:val="00EE6DB3"/>
    <w:rsid w:val="00EE6E38"/>
    <w:rsid w:val="00EE7032"/>
    <w:rsid w:val="00EE7047"/>
    <w:rsid w:val="00EE7128"/>
    <w:rsid w:val="00EE7139"/>
    <w:rsid w:val="00EE7158"/>
    <w:rsid w:val="00EE722A"/>
    <w:rsid w:val="00EE725D"/>
    <w:rsid w:val="00EE72D1"/>
    <w:rsid w:val="00EE737B"/>
    <w:rsid w:val="00EE73D2"/>
    <w:rsid w:val="00EE73EC"/>
    <w:rsid w:val="00EE74B2"/>
    <w:rsid w:val="00EE75DE"/>
    <w:rsid w:val="00EE7622"/>
    <w:rsid w:val="00EE76B9"/>
    <w:rsid w:val="00EE7708"/>
    <w:rsid w:val="00EE772C"/>
    <w:rsid w:val="00EE776E"/>
    <w:rsid w:val="00EE782F"/>
    <w:rsid w:val="00EE7910"/>
    <w:rsid w:val="00EE7D26"/>
    <w:rsid w:val="00EE7D41"/>
    <w:rsid w:val="00EE7D5F"/>
    <w:rsid w:val="00EE7EC9"/>
    <w:rsid w:val="00EE7F2B"/>
    <w:rsid w:val="00EE7FE7"/>
    <w:rsid w:val="00EF002B"/>
    <w:rsid w:val="00EF00E2"/>
    <w:rsid w:val="00EF01E2"/>
    <w:rsid w:val="00EF0207"/>
    <w:rsid w:val="00EF0249"/>
    <w:rsid w:val="00EF02DE"/>
    <w:rsid w:val="00EF0414"/>
    <w:rsid w:val="00EF046E"/>
    <w:rsid w:val="00EF04DE"/>
    <w:rsid w:val="00EF0556"/>
    <w:rsid w:val="00EF066F"/>
    <w:rsid w:val="00EF0680"/>
    <w:rsid w:val="00EF0695"/>
    <w:rsid w:val="00EF07A3"/>
    <w:rsid w:val="00EF07E9"/>
    <w:rsid w:val="00EF08C1"/>
    <w:rsid w:val="00EF099C"/>
    <w:rsid w:val="00EF09A6"/>
    <w:rsid w:val="00EF0A4F"/>
    <w:rsid w:val="00EF0A57"/>
    <w:rsid w:val="00EF0C44"/>
    <w:rsid w:val="00EF0C58"/>
    <w:rsid w:val="00EF0C61"/>
    <w:rsid w:val="00EF0C98"/>
    <w:rsid w:val="00EF0D81"/>
    <w:rsid w:val="00EF0FDF"/>
    <w:rsid w:val="00EF1068"/>
    <w:rsid w:val="00EF1085"/>
    <w:rsid w:val="00EF11D9"/>
    <w:rsid w:val="00EF121F"/>
    <w:rsid w:val="00EF1300"/>
    <w:rsid w:val="00EF1318"/>
    <w:rsid w:val="00EF1471"/>
    <w:rsid w:val="00EF148F"/>
    <w:rsid w:val="00EF156E"/>
    <w:rsid w:val="00EF1582"/>
    <w:rsid w:val="00EF1608"/>
    <w:rsid w:val="00EF16F3"/>
    <w:rsid w:val="00EF1832"/>
    <w:rsid w:val="00EF18DF"/>
    <w:rsid w:val="00EF1A74"/>
    <w:rsid w:val="00EF1A88"/>
    <w:rsid w:val="00EF1BAC"/>
    <w:rsid w:val="00EF1CCD"/>
    <w:rsid w:val="00EF1CDA"/>
    <w:rsid w:val="00EF1EC6"/>
    <w:rsid w:val="00EF1ECF"/>
    <w:rsid w:val="00EF2033"/>
    <w:rsid w:val="00EF215B"/>
    <w:rsid w:val="00EF2179"/>
    <w:rsid w:val="00EF217E"/>
    <w:rsid w:val="00EF2244"/>
    <w:rsid w:val="00EF22AF"/>
    <w:rsid w:val="00EF2374"/>
    <w:rsid w:val="00EF246F"/>
    <w:rsid w:val="00EF25C9"/>
    <w:rsid w:val="00EF25FB"/>
    <w:rsid w:val="00EF262A"/>
    <w:rsid w:val="00EF2721"/>
    <w:rsid w:val="00EF2741"/>
    <w:rsid w:val="00EF28BD"/>
    <w:rsid w:val="00EF2970"/>
    <w:rsid w:val="00EF29BB"/>
    <w:rsid w:val="00EF2A07"/>
    <w:rsid w:val="00EF2A17"/>
    <w:rsid w:val="00EF2AC1"/>
    <w:rsid w:val="00EF2B3C"/>
    <w:rsid w:val="00EF2B78"/>
    <w:rsid w:val="00EF2BCE"/>
    <w:rsid w:val="00EF2E11"/>
    <w:rsid w:val="00EF2ECC"/>
    <w:rsid w:val="00EF2EEA"/>
    <w:rsid w:val="00EF2F27"/>
    <w:rsid w:val="00EF303A"/>
    <w:rsid w:val="00EF30C3"/>
    <w:rsid w:val="00EF31E3"/>
    <w:rsid w:val="00EF324E"/>
    <w:rsid w:val="00EF32BE"/>
    <w:rsid w:val="00EF32E7"/>
    <w:rsid w:val="00EF33F5"/>
    <w:rsid w:val="00EF34A1"/>
    <w:rsid w:val="00EF34B4"/>
    <w:rsid w:val="00EF362A"/>
    <w:rsid w:val="00EF37B2"/>
    <w:rsid w:val="00EF37CA"/>
    <w:rsid w:val="00EF383F"/>
    <w:rsid w:val="00EF3C6A"/>
    <w:rsid w:val="00EF3DDE"/>
    <w:rsid w:val="00EF3E18"/>
    <w:rsid w:val="00EF3EC6"/>
    <w:rsid w:val="00EF4099"/>
    <w:rsid w:val="00EF41A2"/>
    <w:rsid w:val="00EF4404"/>
    <w:rsid w:val="00EF446E"/>
    <w:rsid w:val="00EF44BB"/>
    <w:rsid w:val="00EF45A6"/>
    <w:rsid w:val="00EF45DE"/>
    <w:rsid w:val="00EF461E"/>
    <w:rsid w:val="00EF4894"/>
    <w:rsid w:val="00EF4A9A"/>
    <w:rsid w:val="00EF4AD0"/>
    <w:rsid w:val="00EF4AE5"/>
    <w:rsid w:val="00EF4BAC"/>
    <w:rsid w:val="00EF4C78"/>
    <w:rsid w:val="00EF4E14"/>
    <w:rsid w:val="00EF504F"/>
    <w:rsid w:val="00EF524D"/>
    <w:rsid w:val="00EF5414"/>
    <w:rsid w:val="00EF545C"/>
    <w:rsid w:val="00EF55F9"/>
    <w:rsid w:val="00EF56E8"/>
    <w:rsid w:val="00EF5789"/>
    <w:rsid w:val="00EF5878"/>
    <w:rsid w:val="00EF58E8"/>
    <w:rsid w:val="00EF59A0"/>
    <w:rsid w:val="00EF5B99"/>
    <w:rsid w:val="00EF5BCC"/>
    <w:rsid w:val="00EF5CDE"/>
    <w:rsid w:val="00EF5CE5"/>
    <w:rsid w:val="00EF5D25"/>
    <w:rsid w:val="00EF5DA1"/>
    <w:rsid w:val="00EF5F31"/>
    <w:rsid w:val="00EF61D9"/>
    <w:rsid w:val="00EF624D"/>
    <w:rsid w:val="00EF6332"/>
    <w:rsid w:val="00EF6376"/>
    <w:rsid w:val="00EF63DC"/>
    <w:rsid w:val="00EF640E"/>
    <w:rsid w:val="00EF6412"/>
    <w:rsid w:val="00EF6429"/>
    <w:rsid w:val="00EF6624"/>
    <w:rsid w:val="00EF665C"/>
    <w:rsid w:val="00EF66DD"/>
    <w:rsid w:val="00EF66DE"/>
    <w:rsid w:val="00EF6778"/>
    <w:rsid w:val="00EF680E"/>
    <w:rsid w:val="00EF6895"/>
    <w:rsid w:val="00EF692A"/>
    <w:rsid w:val="00EF696D"/>
    <w:rsid w:val="00EF69A8"/>
    <w:rsid w:val="00EF6AAF"/>
    <w:rsid w:val="00EF6BC1"/>
    <w:rsid w:val="00EF6C83"/>
    <w:rsid w:val="00EF6DAF"/>
    <w:rsid w:val="00EF6DC5"/>
    <w:rsid w:val="00EF6E2D"/>
    <w:rsid w:val="00EF6F4D"/>
    <w:rsid w:val="00EF6F88"/>
    <w:rsid w:val="00EF7003"/>
    <w:rsid w:val="00EF70BF"/>
    <w:rsid w:val="00EF7115"/>
    <w:rsid w:val="00EF714E"/>
    <w:rsid w:val="00EF71C5"/>
    <w:rsid w:val="00EF72C8"/>
    <w:rsid w:val="00EF7418"/>
    <w:rsid w:val="00EF7546"/>
    <w:rsid w:val="00EF7601"/>
    <w:rsid w:val="00EF7645"/>
    <w:rsid w:val="00EF770F"/>
    <w:rsid w:val="00EF7711"/>
    <w:rsid w:val="00EF78BE"/>
    <w:rsid w:val="00EF791A"/>
    <w:rsid w:val="00EF795E"/>
    <w:rsid w:val="00EF7A5A"/>
    <w:rsid w:val="00EF7ACD"/>
    <w:rsid w:val="00EF7B07"/>
    <w:rsid w:val="00EF7B54"/>
    <w:rsid w:val="00EF7B6C"/>
    <w:rsid w:val="00EF7B87"/>
    <w:rsid w:val="00EF7C82"/>
    <w:rsid w:val="00EF7EB7"/>
    <w:rsid w:val="00EF7F01"/>
    <w:rsid w:val="00F001A1"/>
    <w:rsid w:val="00F00333"/>
    <w:rsid w:val="00F00357"/>
    <w:rsid w:val="00F00376"/>
    <w:rsid w:val="00F003F6"/>
    <w:rsid w:val="00F00411"/>
    <w:rsid w:val="00F00486"/>
    <w:rsid w:val="00F004FF"/>
    <w:rsid w:val="00F005C9"/>
    <w:rsid w:val="00F005DB"/>
    <w:rsid w:val="00F00682"/>
    <w:rsid w:val="00F006E1"/>
    <w:rsid w:val="00F007E7"/>
    <w:rsid w:val="00F008E8"/>
    <w:rsid w:val="00F008FE"/>
    <w:rsid w:val="00F0094E"/>
    <w:rsid w:val="00F009AC"/>
    <w:rsid w:val="00F009B9"/>
    <w:rsid w:val="00F009E7"/>
    <w:rsid w:val="00F00A2C"/>
    <w:rsid w:val="00F00A8E"/>
    <w:rsid w:val="00F00B45"/>
    <w:rsid w:val="00F00B6F"/>
    <w:rsid w:val="00F00CEA"/>
    <w:rsid w:val="00F00D18"/>
    <w:rsid w:val="00F00E32"/>
    <w:rsid w:val="00F00F91"/>
    <w:rsid w:val="00F01014"/>
    <w:rsid w:val="00F01298"/>
    <w:rsid w:val="00F01326"/>
    <w:rsid w:val="00F01404"/>
    <w:rsid w:val="00F0141D"/>
    <w:rsid w:val="00F014B0"/>
    <w:rsid w:val="00F01574"/>
    <w:rsid w:val="00F01669"/>
    <w:rsid w:val="00F017B6"/>
    <w:rsid w:val="00F018B9"/>
    <w:rsid w:val="00F019CC"/>
    <w:rsid w:val="00F01A42"/>
    <w:rsid w:val="00F01AD8"/>
    <w:rsid w:val="00F01B29"/>
    <w:rsid w:val="00F01B3D"/>
    <w:rsid w:val="00F01C13"/>
    <w:rsid w:val="00F01C2A"/>
    <w:rsid w:val="00F01C8B"/>
    <w:rsid w:val="00F01E7F"/>
    <w:rsid w:val="00F01FD9"/>
    <w:rsid w:val="00F02054"/>
    <w:rsid w:val="00F020D9"/>
    <w:rsid w:val="00F02251"/>
    <w:rsid w:val="00F02386"/>
    <w:rsid w:val="00F025A4"/>
    <w:rsid w:val="00F0282A"/>
    <w:rsid w:val="00F028C0"/>
    <w:rsid w:val="00F02A16"/>
    <w:rsid w:val="00F02A66"/>
    <w:rsid w:val="00F02A77"/>
    <w:rsid w:val="00F02A9D"/>
    <w:rsid w:val="00F02B3E"/>
    <w:rsid w:val="00F02CA9"/>
    <w:rsid w:val="00F02CF1"/>
    <w:rsid w:val="00F02DC1"/>
    <w:rsid w:val="00F02E4E"/>
    <w:rsid w:val="00F02EE2"/>
    <w:rsid w:val="00F030C9"/>
    <w:rsid w:val="00F03250"/>
    <w:rsid w:val="00F0332F"/>
    <w:rsid w:val="00F03350"/>
    <w:rsid w:val="00F033C4"/>
    <w:rsid w:val="00F035C0"/>
    <w:rsid w:val="00F035CB"/>
    <w:rsid w:val="00F03626"/>
    <w:rsid w:val="00F0370A"/>
    <w:rsid w:val="00F03895"/>
    <w:rsid w:val="00F03960"/>
    <w:rsid w:val="00F03B1E"/>
    <w:rsid w:val="00F03B79"/>
    <w:rsid w:val="00F03C18"/>
    <w:rsid w:val="00F03D1B"/>
    <w:rsid w:val="00F03D4C"/>
    <w:rsid w:val="00F03DCD"/>
    <w:rsid w:val="00F03F00"/>
    <w:rsid w:val="00F03F37"/>
    <w:rsid w:val="00F0402F"/>
    <w:rsid w:val="00F040D6"/>
    <w:rsid w:val="00F040D8"/>
    <w:rsid w:val="00F04195"/>
    <w:rsid w:val="00F041D7"/>
    <w:rsid w:val="00F0444E"/>
    <w:rsid w:val="00F0448C"/>
    <w:rsid w:val="00F04613"/>
    <w:rsid w:val="00F04620"/>
    <w:rsid w:val="00F0465A"/>
    <w:rsid w:val="00F046DD"/>
    <w:rsid w:val="00F04822"/>
    <w:rsid w:val="00F04C15"/>
    <w:rsid w:val="00F04E38"/>
    <w:rsid w:val="00F04E7A"/>
    <w:rsid w:val="00F04E9C"/>
    <w:rsid w:val="00F04F8B"/>
    <w:rsid w:val="00F05094"/>
    <w:rsid w:val="00F050BA"/>
    <w:rsid w:val="00F05163"/>
    <w:rsid w:val="00F05183"/>
    <w:rsid w:val="00F0524D"/>
    <w:rsid w:val="00F0533B"/>
    <w:rsid w:val="00F05342"/>
    <w:rsid w:val="00F05348"/>
    <w:rsid w:val="00F0536A"/>
    <w:rsid w:val="00F0545A"/>
    <w:rsid w:val="00F05542"/>
    <w:rsid w:val="00F05544"/>
    <w:rsid w:val="00F05669"/>
    <w:rsid w:val="00F056C5"/>
    <w:rsid w:val="00F05923"/>
    <w:rsid w:val="00F059DF"/>
    <w:rsid w:val="00F05A26"/>
    <w:rsid w:val="00F05A94"/>
    <w:rsid w:val="00F05D9D"/>
    <w:rsid w:val="00F05E11"/>
    <w:rsid w:val="00F05F21"/>
    <w:rsid w:val="00F05F55"/>
    <w:rsid w:val="00F05F6B"/>
    <w:rsid w:val="00F05FCF"/>
    <w:rsid w:val="00F061A3"/>
    <w:rsid w:val="00F062A6"/>
    <w:rsid w:val="00F062BF"/>
    <w:rsid w:val="00F062E2"/>
    <w:rsid w:val="00F063F0"/>
    <w:rsid w:val="00F063F1"/>
    <w:rsid w:val="00F06408"/>
    <w:rsid w:val="00F06494"/>
    <w:rsid w:val="00F06589"/>
    <w:rsid w:val="00F0673B"/>
    <w:rsid w:val="00F06827"/>
    <w:rsid w:val="00F069C8"/>
    <w:rsid w:val="00F069DA"/>
    <w:rsid w:val="00F06A6C"/>
    <w:rsid w:val="00F06A80"/>
    <w:rsid w:val="00F06B58"/>
    <w:rsid w:val="00F06BBD"/>
    <w:rsid w:val="00F06CBC"/>
    <w:rsid w:val="00F06CBF"/>
    <w:rsid w:val="00F06CDE"/>
    <w:rsid w:val="00F06E1C"/>
    <w:rsid w:val="00F06E32"/>
    <w:rsid w:val="00F07168"/>
    <w:rsid w:val="00F07472"/>
    <w:rsid w:val="00F074BA"/>
    <w:rsid w:val="00F07503"/>
    <w:rsid w:val="00F07688"/>
    <w:rsid w:val="00F07849"/>
    <w:rsid w:val="00F07931"/>
    <w:rsid w:val="00F0794F"/>
    <w:rsid w:val="00F07A51"/>
    <w:rsid w:val="00F07C06"/>
    <w:rsid w:val="00F07E03"/>
    <w:rsid w:val="00F07F04"/>
    <w:rsid w:val="00F07F47"/>
    <w:rsid w:val="00F07FB9"/>
    <w:rsid w:val="00F10071"/>
    <w:rsid w:val="00F10123"/>
    <w:rsid w:val="00F10143"/>
    <w:rsid w:val="00F1036B"/>
    <w:rsid w:val="00F10788"/>
    <w:rsid w:val="00F1078F"/>
    <w:rsid w:val="00F108EE"/>
    <w:rsid w:val="00F10983"/>
    <w:rsid w:val="00F10A63"/>
    <w:rsid w:val="00F10B28"/>
    <w:rsid w:val="00F10B84"/>
    <w:rsid w:val="00F10BA7"/>
    <w:rsid w:val="00F10C37"/>
    <w:rsid w:val="00F10CCF"/>
    <w:rsid w:val="00F10CE0"/>
    <w:rsid w:val="00F10D74"/>
    <w:rsid w:val="00F10F68"/>
    <w:rsid w:val="00F10FE3"/>
    <w:rsid w:val="00F11024"/>
    <w:rsid w:val="00F111A0"/>
    <w:rsid w:val="00F111B8"/>
    <w:rsid w:val="00F111D6"/>
    <w:rsid w:val="00F1125E"/>
    <w:rsid w:val="00F11286"/>
    <w:rsid w:val="00F112B9"/>
    <w:rsid w:val="00F11324"/>
    <w:rsid w:val="00F1137F"/>
    <w:rsid w:val="00F1142D"/>
    <w:rsid w:val="00F11512"/>
    <w:rsid w:val="00F11547"/>
    <w:rsid w:val="00F118DF"/>
    <w:rsid w:val="00F11AF2"/>
    <w:rsid w:val="00F11B52"/>
    <w:rsid w:val="00F11BA7"/>
    <w:rsid w:val="00F11F5B"/>
    <w:rsid w:val="00F1220E"/>
    <w:rsid w:val="00F12241"/>
    <w:rsid w:val="00F1225A"/>
    <w:rsid w:val="00F123AC"/>
    <w:rsid w:val="00F123BF"/>
    <w:rsid w:val="00F1253A"/>
    <w:rsid w:val="00F12550"/>
    <w:rsid w:val="00F12614"/>
    <w:rsid w:val="00F127AE"/>
    <w:rsid w:val="00F12801"/>
    <w:rsid w:val="00F129CF"/>
    <w:rsid w:val="00F12A0A"/>
    <w:rsid w:val="00F12B37"/>
    <w:rsid w:val="00F12BAE"/>
    <w:rsid w:val="00F12C15"/>
    <w:rsid w:val="00F12CD9"/>
    <w:rsid w:val="00F12CDD"/>
    <w:rsid w:val="00F12DE8"/>
    <w:rsid w:val="00F12E62"/>
    <w:rsid w:val="00F12EAD"/>
    <w:rsid w:val="00F12EF6"/>
    <w:rsid w:val="00F13275"/>
    <w:rsid w:val="00F13418"/>
    <w:rsid w:val="00F13471"/>
    <w:rsid w:val="00F1350C"/>
    <w:rsid w:val="00F13568"/>
    <w:rsid w:val="00F1363C"/>
    <w:rsid w:val="00F137AC"/>
    <w:rsid w:val="00F138F8"/>
    <w:rsid w:val="00F1395D"/>
    <w:rsid w:val="00F13963"/>
    <w:rsid w:val="00F139F0"/>
    <w:rsid w:val="00F13A0D"/>
    <w:rsid w:val="00F13A3C"/>
    <w:rsid w:val="00F13A54"/>
    <w:rsid w:val="00F13A66"/>
    <w:rsid w:val="00F13A85"/>
    <w:rsid w:val="00F13B72"/>
    <w:rsid w:val="00F13C16"/>
    <w:rsid w:val="00F13E67"/>
    <w:rsid w:val="00F13E79"/>
    <w:rsid w:val="00F13F1E"/>
    <w:rsid w:val="00F13F21"/>
    <w:rsid w:val="00F1402F"/>
    <w:rsid w:val="00F1412D"/>
    <w:rsid w:val="00F14143"/>
    <w:rsid w:val="00F14184"/>
    <w:rsid w:val="00F141DC"/>
    <w:rsid w:val="00F142C6"/>
    <w:rsid w:val="00F14345"/>
    <w:rsid w:val="00F14393"/>
    <w:rsid w:val="00F143F0"/>
    <w:rsid w:val="00F14460"/>
    <w:rsid w:val="00F1458C"/>
    <w:rsid w:val="00F146F2"/>
    <w:rsid w:val="00F1472E"/>
    <w:rsid w:val="00F14749"/>
    <w:rsid w:val="00F1474E"/>
    <w:rsid w:val="00F14821"/>
    <w:rsid w:val="00F14DFA"/>
    <w:rsid w:val="00F14E5B"/>
    <w:rsid w:val="00F14F8A"/>
    <w:rsid w:val="00F14FB3"/>
    <w:rsid w:val="00F15006"/>
    <w:rsid w:val="00F15081"/>
    <w:rsid w:val="00F150CF"/>
    <w:rsid w:val="00F15481"/>
    <w:rsid w:val="00F15655"/>
    <w:rsid w:val="00F15711"/>
    <w:rsid w:val="00F158FB"/>
    <w:rsid w:val="00F159E6"/>
    <w:rsid w:val="00F15A1B"/>
    <w:rsid w:val="00F15A23"/>
    <w:rsid w:val="00F15A2C"/>
    <w:rsid w:val="00F15CCE"/>
    <w:rsid w:val="00F15F0D"/>
    <w:rsid w:val="00F15F99"/>
    <w:rsid w:val="00F16231"/>
    <w:rsid w:val="00F16374"/>
    <w:rsid w:val="00F1643B"/>
    <w:rsid w:val="00F165B4"/>
    <w:rsid w:val="00F165D6"/>
    <w:rsid w:val="00F168A1"/>
    <w:rsid w:val="00F1692C"/>
    <w:rsid w:val="00F1698B"/>
    <w:rsid w:val="00F16A31"/>
    <w:rsid w:val="00F16A43"/>
    <w:rsid w:val="00F16A7F"/>
    <w:rsid w:val="00F16ABD"/>
    <w:rsid w:val="00F16D22"/>
    <w:rsid w:val="00F16E14"/>
    <w:rsid w:val="00F16EE6"/>
    <w:rsid w:val="00F17033"/>
    <w:rsid w:val="00F1704E"/>
    <w:rsid w:val="00F170C1"/>
    <w:rsid w:val="00F170CA"/>
    <w:rsid w:val="00F170FB"/>
    <w:rsid w:val="00F17164"/>
    <w:rsid w:val="00F1739F"/>
    <w:rsid w:val="00F17454"/>
    <w:rsid w:val="00F1753F"/>
    <w:rsid w:val="00F1754A"/>
    <w:rsid w:val="00F175C2"/>
    <w:rsid w:val="00F175EF"/>
    <w:rsid w:val="00F17684"/>
    <w:rsid w:val="00F1776A"/>
    <w:rsid w:val="00F177A6"/>
    <w:rsid w:val="00F177D2"/>
    <w:rsid w:val="00F17842"/>
    <w:rsid w:val="00F17894"/>
    <w:rsid w:val="00F17A8C"/>
    <w:rsid w:val="00F17C2D"/>
    <w:rsid w:val="00F17D67"/>
    <w:rsid w:val="00F17DF0"/>
    <w:rsid w:val="00F17E8C"/>
    <w:rsid w:val="00F2002A"/>
    <w:rsid w:val="00F20260"/>
    <w:rsid w:val="00F202AB"/>
    <w:rsid w:val="00F202D2"/>
    <w:rsid w:val="00F2037E"/>
    <w:rsid w:val="00F204BB"/>
    <w:rsid w:val="00F20560"/>
    <w:rsid w:val="00F206B1"/>
    <w:rsid w:val="00F20842"/>
    <w:rsid w:val="00F20904"/>
    <w:rsid w:val="00F2091F"/>
    <w:rsid w:val="00F2092F"/>
    <w:rsid w:val="00F2094D"/>
    <w:rsid w:val="00F209A5"/>
    <w:rsid w:val="00F209B8"/>
    <w:rsid w:val="00F20A58"/>
    <w:rsid w:val="00F20AB0"/>
    <w:rsid w:val="00F20B81"/>
    <w:rsid w:val="00F20C61"/>
    <w:rsid w:val="00F20CA9"/>
    <w:rsid w:val="00F20DD3"/>
    <w:rsid w:val="00F20E2D"/>
    <w:rsid w:val="00F20E35"/>
    <w:rsid w:val="00F20E3B"/>
    <w:rsid w:val="00F20EB5"/>
    <w:rsid w:val="00F20F33"/>
    <w:rsid w:val="00F20F5C"/>
    <w:rsid w:val="00F211AA"/>
    <w:rsid w:val="00F214A6"/>
    <w:rsid w:val="00F214FD"/>
    <w:rsid w:val="00F2163A"/>
    <w:rsid w:val="00F21654"/>
    <w:rsid w:val="00F216C9"/>
    <w:rsid w:val="00F21702"/>
    <w:rsid w:val="00F217DD"/>
    <w:rsid w:val="00F2180E"/>
    <w:rsid w:val="00F2186F"/>
    <w:rsid w:val="00F21925"/>
    <w:rsid w:val="00F219B6"/>
    <w:rsid w:val="00F219D2"/>
    <w:rsid w:val="00F21C69"/>
    <w:rsid w:val="00F21CCD"/>
    <w:rsid w:val="00F21EE4"/>
    <w:rsid w:val="00F21F1A"/>
    <w:rsid w:val="00F21FB4"/>
    <w:rsid w:val="00F22013"/>
    <w:rsid w:val="00F2204C"/>
    <w:rsid w:val="00F221AF"/>
    <w:rsid w:val="00F22565"/>
    <w:rsid w:val="00F226D3"/>
    <w:rsid w:val="00F22819"/>
    <w:rsid w:val="00F2285B"/>
    <w:rsid w:val="00F2286A"/>
    <w:rsid w:val="00F22945"/>
    <w:rsid w:val="00F229CF"/>
    <w:rsid w:val="00F22A3F"/>
    <w:rsid w:val="00F22B06"/>
    <w:rsid w:val="00F22B2A"/>
    <w:rsid w:val="00F22C25"/>
    <w:rsid w:val="00F22C38"/>
    <w:rsid w:val="00F22E69"/>
    <w:rsid w:val="00F22E80"/>
    <w:rsid w:val="00F22EE5"/>
    <w:rsid w:val="00F22EF0"/>
    <w:rsid w:val="00F22F9C"/>
    <w:rsid w:val="00F22FF2"/>
    <w:rsid w:val="00F23043"/>
    <w:rsid w:val="00F2313B"/>
    <w:rsid w:val="00F232EE"/>
    <w:rsid w:val="00F2334B"/>
    <w:rsid w:val="00F2339A"/>
    <w:rsid w:val="00F2356D"/>
    <w:rsid w:val="00F23700"/>
    <w:rsid w:val="00F2374A"/>
    <w:rsid w:val="00F23757"/>
    <w:rsid w:val="00F2390C"/>
    <w:rsid w:val="00F23915"/>
    <w:rsid w:val="00F2399B"/>
    <w:rsid w:val="00F239B3"/>
    <w:rsid w:val="00F23BBF"/>
    <w:rsid w:val="00F23BE8"/>
    <w:rsid w:val="00F23C20"/>
    <w:rsid w:val="00F23C57"/>
    <w:rsid w:val="00F23CC7"/>
    <w:rsid w:val="00F23DB4"/>
    <w:rsid w:val="00F23DEB"/>
    <w:rsid w:val="00F23E3B"/>
    <w:rsid w:val="00F24038"/>
    <w:rsid w:val="00F24052"/>
    <w:rsid w:val="00F24061"/>
    <w:rsid w:val="00F240B0"/>
    <w:rsid w:val="00F24153"/>
    <w:rsid w:val="00F24189"/>
    <w:rsid w:val="00F24219"/>
    <w:rsid w:val="00F24365"/>
    <w:rsid w:val="00F2461B"/>
    <w:rsid w:val="00F249AE"/>
    <w:rsid w:val="00F24AC2"/>
    <w:rsid w:val="00F24B26"/>
    <w:rsid w:val="00F24B67"/>
    <w:rsid w:val="00F24BA6"/>
    <w:rsid w:val="00F24C0C"/>
    <w:rsid w:val="00F24C11"/>
    <w:rsid w:val="00F24D8A"/>
    <w:rsid w:val="00F24DA9"/>
    <w:rsid w:val="00F24FD1"/>
    <w:rsid w:val="00F250F8"/>
    <w:rsid w:val="00F25210"/>
    <w:rsid w:val="00F25269"/>
    <w:rsid w:val="00F253B1"/>
    <w:rsid w:val="00F25574"/>
    <w:rsid w:val="00F25578"/>
    <w:rsid w:val="00F25646"/>
    <w:rsid w:val="00F25673"/>
    <w:rsid w:val="00F25705"/>
    <w:rsid w:val="00F2579A"/>
    <w:rsid w:val="00F257A0"/>
    <w:rsid w:val="00F259FE"/>
    <w:rsid w:val="00F25AB6"/>
    <w:rsid w:val="00F25BA7"/>
    <w:rsid w:val="00F25BCD"/>
    <w:rsid w:val="00F25E01"/>
    <w:rsid w:val="00F25E5E"/>
    <w:rsid w:val="00F25ED2"/>
    <w:rsid w:val="00F25F9B"/>
    <w:rsid w:val="00F2606F"/>
    <w:rsid w:val="00F260A6"/>
    <w:rsid w:val="00F26147"/>
    <w:rsid w:val="00F2614D"/>
    <w:rsid w:val="00F26259"/>
    <w:rsid w:val="00F262FB"/>
    <w:rsid w:val="00F2637B"/>
    <w:rsid w:val="00F263AA"/>
    <w:rsid w:val="00F26439"/>
    <w:rsid w:val="00F266C2"/>
    <w:rsid w:val="00F266F0"/>
    <w:rsid w:val="00F26798"/>
    <w:rsid w:val="00F2699D"/>
    <w:rsid w:val="00F26A1F"/>
    <w:rsid w:val="00F26AA2"/>
    <w:rsid w:val="00F26B05"/>
    <w:rsid w:val="00F26B75"/>
    <w:rsid w:val="00F26C81"/>
    <w:rsid w:val="00F26D07"/>
    <w:rsid w:val="00F26E37"/>
    <w:rsid w:val="00F26E7B"/>
    <w:rsid w:val="00F26EE6"/>
    <w:rsid w:val="00F26FE7"/>
    <w:rsid w:val="00F27006"/>
    <w:rsid w:val="00F2705F"/>
    <w:rsid w:val="00F270B1"/>
    <w:rsid w:val="00F27205"/>
    <w:rsid w:val="00F27217"/>
    <w:rsid w:val="00F2725A"/>
    <w:rsid w:val="00F2735F"/>
    <w:rsid w:val="00F27496"/>
    <w:rsid w:val="00F27725"/>
    <w:rsid w:val="00F27766"/>
    <w:rsid w:val="00F27897"/>
    <w:rsid w:val="00F278E0"/>
    <w:rsid w:val="00F279D0"/>
    <w:rsid w:val="00F27A84"/>
    <w:rsid w:val="00F27B5E"/>
    <w:rsid w:val="00F27BAB"/>
    <w:rsid w:val="00F27CCC"/>
    <w:rsid w:val="00F27D18"/>
    <w:rsid w:val="00F27D65"/>
    <w:rsid w:val="00F27ECB"/>
    <w:rsid w:val="00F27F6C"/>
    <w:rsid w:val="00F27F7B"/>
    <w:rsid w:val="00F3007B"/>
    <w:rsid w:val="00F30143"/>
    <w:rsid w:val="00F304C8"/>
    <w:rsid w:val="00F30507"/>
    <w:rsid w:val="00F3050A"/>
    <w:rsid w:val="00F30626"/>
    <w:rsid w:val="00F30728"/>
    <w:rsid w:val="00F30730"/>
    <w:rsid w:val="00F30738"/>
    <w:rsid w:val="00F308CF"/>
    <w:rsid w:val="00F309DC"/>
    <w:rsid w:val="00F30B84"/>
    <w:rsid w:val="00F30CE3"/>
    <w:rsid w:val="00F30D01"/>
    <w:rsid w:val="00F30D81"/>
    <w:rsid w:val="00F30DE6"/>
    <w:rsid w:val="00F30E2B"/>
    <w:rsid w:val="00F30F11"/>
    <w:rsid w:val="00F31037"/>
    <w:rsid w:val="00F310BD"/>
    <w:rsid w:val="00F3111C"/>
    <w:rsid w:val="00F31172"/>
    <w:rsid w:val="00F3129B"/>
    <w:rsid w:val="00F312AD"/>
    <w:rsid w:val="00F31362"/>
    <w:rsid w:val="00F31376"/>
    <w:rsid w:val="00F313B8"/>
    <w:rsid w:val="00F3142C"/>
    <w:rsid w:val="00F314AE"/>
    <w:rsid w:val="00F3150A"/>
    <w:rsid w:val="00F31586"/>
    <w:rsid w:val="00F31633"/>
    <w:rsid w:val="00F3166D"/>
    <w:rsid w:val="00F31701"/>
    <w:rsid w:val="00F318C5"/>
    <w:rsid w:val="00F318DD"/>
    <w:rsid w:val="00F3190B"/>
    <w:rsid w:val="00F319B1"/>
    <w:rsid w:val="00F319F8"/>
    <w:rsid w:val="00F31D17"/>
    <w:rsid w:val="00F31D21"/>
    <w:rsid w:val="00F31E51"/>
    <w:rsid w:val="00F32062"/>
    <w:rsid w:val="00F321E0"/>
    <w:rsid w:val="00F322BB"/>
    <w:rsid w:val="00F32333"/>
    <w:rsid w:val="00F3239D"/>
    <w:rsid w:val="00F323FA"/>
    <w:rsid w:val="00F32486"/>
    <w:rsid w:val="00F3257E"/>
    <w:rsid w:val="00F326EB"/>
    <w:rsid w:val="00F326EE"/>
    <w:rsid w:val="00F3270E"/>
    <w:rsid w:val="00F32781"/>
    <w:rsid w:val="00F32846"/>
    <w:rsid w:val="00F3295E"/>
    <w:rsid w:val="00F32A5C"/>
    <w:rsid w:val="00F32A9C"/>
    <w:rsid w:val="00F32B5F"/>
    <w:rsid w:val="00F32B8A"/>
    <w:rsid w:val="00F32CF3"/>
    <w:rsid w:val="00F32EAB"/>
    <w:rsid w:val="00F32EB4"/>
    <w:rsid w:val="00F32ED6"/>
    <w:rsid w:val="00F32F5B"/>
    <w:rsid w:val="00F3321D"/>
    <w:rsid w:val="00F33259"/>
    <w:rsid w:val="00F33372"/>
    <w:rsid w:val="00F3338E"/>
    <w:rsid w:val="00F333E5"/>
    <w:rsid w:val="00F3341C"/>
    <w:rsid w:val="00F33621"/>
    <w:rsid w:val="00F33640"/>
    <w:rsid w:val="00F33751"/>
    <w:rsid w:val="00F337DD"/>
    <w:rsid w:val="00F33872"/>
    <w:rsid w:val="00F339E4"/>
    <w:rsid w:val="00F33A52"/>
    <w:rsid w:val="00F33A80"/>
    <w:rsid w:val="00F33ABE"/>
    <w:rsid w:val="00F33B17"/>
    <w:rsid w:val="00F33B36"/>
    <w:rsid w:val="00F33B4B"/>
    <w:rsid w:val="00F33C35"/>
    <w:rsid w:val="00F33CF9"/>
    <w:rsid w:val="00F33D27"/>
    <w:rsid w:val="00F33D73"/>
    <w:rsid w:val="00F33E51"/>
    <w:rsid w:val="00F33E6C"/>
    <w:rsid w:val="00F33F93"/>
    <w:rsid w:val="00F33FD8"/>
    <w:rsid w:val="00F34038"/>
    <w:rsid w:val="00F34067"/>
    <w:rsid w:val="00F341A6"/>
    <w:rsid w:val="00F34317"/>
    <w:rsid w:val="00F343F1"/>
    <w:rsid w:val="00F345B5"/>
    <w:rsid w:val="00F345DB"/>
    <w:rsid w:val="00F3464F"/>
    <w:rsid w:val="00F347EB"/>
    <w:rsid w:val="00F3480F"/>
    <w:rsid w:val="00F34B3B"/>
    <w:rsid w:val="00F34CCB"/>
    <w:rsid w:val="00F34D02"/>
    <w:rsid w:val="00F34D13"/>
    <w:rsid w:val="00F34DA0"/>
    <w:rsid w:val="00F34E46"/>
    <w:rsid w:val="00F34E5A"/>
    <w:rsid w:val="00F34F29"/>
    <w:rsid w:val="00F34F79"/>
    <w:rsid w:val="00F350DD"/>
    <w:rsid w:val="00F35174"/>
    <w:rsid w:val="00F35243"/>
    <w:rsid w:val="00F353BE"/>
    <w:rsid w:val="00F35414"/>
    <w:rsid w:val="00F354E0"/>
    <w:rsid w:val="00F3550F"/>
    <w:rsid w:val="00F355E0"/>
    <w:rsid w:val="00F35702"/>
    <w:rsid w:val="00F357CC"/>
    <w:rsid w:val="00F35839"/>
    <w:rsid w:val="00F35AF3"/>
    <w:rsid w:val="00F35B65"/>
    <w:rsid w:val="00F35D08"/>
    <w:rsid w:val="00F35D20"/>
    <w:rsid w:val="00F35DE3"/>
    <w:rsid w:val="00F35E64"/>
    <w:rsid w:val="00F35E77"/>
    <w:rsid w:val="00F35E93"/>
    <w:rsid w:val="00F360A6"/>
    <w:rsid w:val="00F361F3"/>
    <w:rsid w:val="00F3620E"/>
    <w:rsid w:val="00F36287"/>
    <w:rsid w:val="00F3632E"/>
    <w:rsid w:val="00F36337"/>
    <w:rsid w:val="00F365C8"/>
    <w:rsid w:val="00F36695"/>
    <w:rsid w:val="00F3672B"/>
    <w:rsid w:val="00F3680E"/>
    <w:rsid w:val="00F36851"/>
    <w:rsid w:val="00F36A6A"/>
    <w:rsid w:val="00F36BDA"/>
    <w:rsid w:val="00F36C2D"/>
    <w:rsid w:val="00F36DFF"/>
    <w:rsid w:val="00F36F53"/>
    <w:rsid w:val="00F36FA3"/>
    <w:rsid w:val="00F371E6"/>
    <w:rsid w:val="00F371F2"/>
    <w:rsid w:val="00F37200"/>
    <w:rsid w:val="00F3723B"/>
    <w:rsid w:val="00F3725C"/>
    <w:rsid w:val="00F37268"/>
    <w:rsid w:val="00F37286"/>
    <w:rsid w:val="00F37359"/>
    <w:rsid w:val="00F373EA"/>
    <w:rsid w:val="00F374A3"/>
    <w:rsid w:val="00F374C6"/>
    <w:rsid w:val="00F374D6"/>
    <w:rsid w:val="00F3759F"/>
    <w:rsid w:val="00F37632"/>
    <w:rsid w:val="00F37693"/>
    <w:rsid w:val="00F376C2"/>
    <w:rsid w:val="00F3776B"/>
    <w:rsid w:val="00F379EC"/>
    <w:rsid w:val="00F37B36"/>
    <w:rsid w:val="00F37B4F"/>
    <w:rsid w:val="00F37BBD"/>
    <w:rsid w:val="00F37C0A"/>
    <w:rsid w:val="00F37C23"/>
    <w:rsid w:val="00F37CB6"/>
    <w:rsid w:val="00F37CBC"/>
    <w:rsid w:val="00F37D9B"/>
    <w:rsid w:val="00F37F6C"/>
    <w:rsid w:val="00F400CF"/>
    <w:rsid w:val="00F40125"/>
    <w:rsid w:val="00F40270"/>
    <w:rsid w:val="00F4031C"/>
    <w:rsid w:val="00F40365"/>
    <w:rsid w:val="00F40390"/>
    <w:rsid w:val="00F4042B"/>
    <w:rsid w:val="00F4043F"/>
    <w:rsid w:val="00F405C0"/>
    <w:rsid w:val="00F4062B"/>
    <w:rsid w:val="00F40677"/>
    <w:rsid w:val="00F408A9"/>
    <w:rsid w:val="00F408B6"/>
    <w:rsid w:val="00F40971"/>
    <w:rsid w:val="00F4098A"/>
    <w:rsid w:val="00F40A2B"/>
    <w:rsid w:val="00F40AB9"/>
    <w:rsid w:val="00F40AFE"/>
    <w:rsid w:val="00F40BF9"/>
    <w:rsid w:val="00F40CEC"/>
    <w:rsid w:val="00F40E0F"/>
    <w:rsid w:val="00F40EC8"/>
    <w:rsid w:val="00F40ED5"/>
    <w:rsid w:val="00F40F73"/>
    <w:rsid w:val="00F40FB5"/>
    <w:rsid w:val="00F41124"/>
    <w:rsid w:val="00F412BD"/>
    <w:rsid w:val="00F41301"/>
    <w:rsid w:val="00F4136C"/>
    <w:rsid w:val="00F41397"/>
    <w:rsid w:val="00F413DD"/>
    <w:rsid w:val="00F4158D"/>
    <w:rsid w:val="00F415DF"/>
    <w:rsid w:val="00F4161B"/>
    <w:rsid w:val="00F416C7"/>
    <w:rsid w:val="00F4183F"/>
    <w:rsid w:val="00F41881"/>
    <w:rsid w:val="00F418CF"/>
    <w:rsid w:val="00F41938"/>
    <w:rsid w:val="00F41941"/>
    <w:rsid w:val="00F41C1D"/>
    <w:rsid w:val="00F41CF8"/>
    <w:rsid w:val="00F41D5F"/>
    <w:rsid w:val="00F41DAD"/>
    <w:rsid w:val="00F41DAE"/>
    <w:rsid w:val="00F42048"/>
    <w:rsid w:val="00F421B0"/>
    <w:rsid w:val="00F421D7"/>
    <w:rsid w:val="00F425AC"/>
    <w:rsid w:val="00F42636"/>
    <w:rsid w:val="00F4267A"/>
    <w:rsid w:val="00F426A0"/>
    <w:rsid w:val="00F42734"/>
    <w:rsid w:val="00F427C8"/>
    <w:rsid w:val="00F42840"/>
    <w:rsid w:val="00F429FF"/>
    <w:rsid w:val="00F42B10"/>
    <w:rsid w:val="00F42B17"/>
    <w:rsid w:val="00F42B23"/>
    <w:rsid w:val="00F42B7A"/>
    <w:rsid w:val="00F42BD0"/>
    <w:rsid w:val="00F42CDB"/>
    <w:rsid w:val="00F42EEC"/>
    <w:rsid w:val="00F42F4B"/>
    <w:rsid w:val="00F43014"/>
    <w:rsid w:val="00F43023"/>
    <w:rsid w:val="00F430D3"/>
    <w:rsid w:val="00F430F8"/>
    <w:rsid w:val="00F43181"/>
    <w:rsid w:val="00F431D5"/>
    <w:rsid w:val="00F4331A"/>
    <w:rsid w:val="00F4332D"/>
    <w:rsid w:val="00F43417"/>
    <w:rsid w:val="00F4356F"/>
    <w:rsid w:val="00F43585"/>
    <w:rsid w:val="00F4366A"/>
    <w:rsid w:val="00F4395B"/>
    <w:rsid w:val="00F439FE"/>
    <w:rsid w:val="00F43A03"/>
    <w:rsid w:val="00F43A87"/>
    <w:rsid w:val="00F43AC8"/>
    <w:rsid w:val="00F43C1A"/>
    <w:rsid w:val="00F43C2D"/>
    <w:rsid w:val="00F43E0D"/>
    <w:rsid w:val="00F43E28"/>
    <w:rsid w:val="00F43F54"/>
    <w:rsid w:val="00F43F73"/>
    <w:rsid w:val="00F44035"/>
    <w:rsid w:val="00F4407C"/>
    <w:rsid w:val="00F4422F"/>
    <w:rsid w:val="00F442EF"/>
    <w:rsid w:val="00F4449D"/>
    <w:rsid w:val="00F444E1"/>
    <w:rsid w:val="00F445C0"/>
    <w:rsid w:val="00F446AA"/>
    <w:rsid w:val="00F447F1"/>
    <w:rsid w:val="00F44809"/>
    <w:rsid w:val="00F449D0"/>
    <w:rsid w:val="00F44A92"/>
    <w:rsid w:val="00F44C6A"/>
    <w:rsid w:val="00F44E2B"/>
    <w:rsid w:val="00F44E7B"/>
    <w:rsid w:val="00F44F4F"/>
    <w:rsid w:val="00F45054"/>
    <w:rsid w:val="00F45093"/>
    <w:rsid w:val="00F452A0"/>
    <w:rsid w:val="00F452AA"/>
    <w:rsid w:val="00F45301"/>
    <w:rsid w:val="00F4532B"/>
    <w:rsid w:val="00F4550C"/>
    <w:rsid w:val="00F4558B"/>
    <w:rsid w:val="00F45668"/>
    <w:rsid w:val="00F457C6"/>
    <w:rsid w:val="00F45828"/>
    <w:rsid w:val="00F45897"/>
    <w:rsid w:val="00F45898"/>
    <w:rsid w:val="00F45900"/>
    <w:rsid w:val="00F45A9F"/>
    <w:rsid w:val="00F45B7F"/>
    <w:rsid w:val="00F45D84"/>
    <w:rsid w:val="00F460B9"/>
    <w:rsid w:val="00F46190"/>
    <w:rsid w:val="00F461EE"/>
    <w:rsid w:val="00F46399"/>
    <w:rsid w:val="00F4646A"/>
    <w:rsid w:val="00F4648C"/>
    <w:rsid w:val="00F464B6"/>
    <w:rsid w:val="00F4658A"/>
    <w:rsid w:val="00F466F1"/>
    <w:rsid w:val="00F46889"/>
    <w:rsid w:val="00F469F0"/>
    <w:rsid w:val="00F46B9D"/>
    <w:rsid w:val="00F46BB4"/>
    <w:rsid w:val="00F46FD0"/>
    <w:rsid w:val="00F4709F"/>
    <w:rsid w:val="00F47169"/>
    <w:rsid w:val="00F47521"/>
    <w:rsid w:val="00F475BE"/>
    <w:rsid w:val="00F475F5"/>
    <w:rsid w:val="00F4763B"/>
    <w:rsid w:val="00F479BA"/>
    <w:rsid w:val="00F47A50"/>
    <w:rsid w:val="00F47B23"/>
    <w:rsid w:val="00F47C27"/>
    <w:rsid w:val="00F47C7C"/>
    <w:rsid w:val="00F47CE4"/>
    <w:rsid w:val="00F47EA9"/>
    <w:rsid w:val="00F47F55"/>
    <w:rsid w:val="00F47F5D"/>
    <w:rsid w:val="00F50076"/>
    <w:rsid w:val="00F500D3"/>
    <w:rsid w:val="00F501F4"/>
    <w:rsid w:val="00F5030B"/>
    <w:rsid w:val="00F5035D"/>
    <w:rsid w:val="00F50361"/>
    <w:rsid w:val="00F504A6"/>
    <w:rsid w:val="00F506A9"/>
    <w:rsid w:val="00F506CE"/>
    <w:rsid w:val="00F507CC"/>
    <w:rsid w:val="00F508D0"/>
    <w:rsid w:val="00F50942"/>
    <w:rsid w:val="00F509D2"/>
    <w:rsid w:val="00F509DA"/>
    <w:rsid w:val="00F50C57"/>
    <w:rsid w:val="00F50E0D"/>
    <w:rsid w:val="00F50E7F"/>
    <w:rsid w:val="00F50EA8"/>
    <w:rsid w:val="00F50F17"/>
    <w:rsid w:val="00F51026"/>
    <w:rsid w:val="00F51095"/>
    <w:rsid w:val="00F510BA"/>
    <w:rsid w:val="00F51125"/>
    <w:rsid w:val="00F511EB"/>
    <w:rsid w:val="00F511F6"/>
    <w:rsid w:val="00F5122B"/>
    <w:rsid w:val="00F5127D"/>
    <w:rsid w:val="00F512DE"/>
    <w:rsid w:val="00F5133B"/>
    <w:rsid w:val="00F515AB"/>
    <w:rsid w:val="00F515B8"/>
    <w:rsid w:val="00F515CC"/>
    <w:rsid w:val="00F516D7"/>
    <w:rsid w:val="00F516F2"/>
    <w:rsid w:val="00F51889"/>
    <w:rsid w:val="00F518EA"/>
    <w:rsid w:val="00F51995"/>
    <w:rsid w:val="00F51ABE"/>
    <w:rsid w:val="00F51B0C"/>
    <w:rsid w:val="00F51BB8"/>
    <w:rsid w:val="00F51CAA"/>
    <w:rsid w:val="00F51D12"/>
    <w:rsid w:val="00F51E60"/>
    <w:rsid w:val="00F51EAE"/>
    <w:rsid w:val="00F51FA6"/>
    <w:rsid w:val="00F52051"/>
    <w:rsid w:val="00F5233D"/>
    <w:rsid w:val="00F52422"/>
    <w:rsid w:val="00F525F6"/>
    <w:rsid w:val="00F52711"/>
    <w:rsid w:val="00F52763"/>
    <w:rsid w:val="00F527B5"/>
    <w:rsid w:val="00F527E3"/>
    <w:rsid w:val="00F528FC"/>
    <w:rsid w:val="00F52939"/>
    <w:rsid w:val="00F52963"/>
    <w:rsid w:val="00F5299C"/>
    <w:rsid w:val="00F529CD"/>
    <w:rsid w:val="00F52A59"/>
    <w:rsid w:val="00F52ABC"/>
    <w:rsid w:val="00F52D7B"/>
    <w:rsid w:val="00F52E00"/>
    <w:rsid w:val="00F52F3A"/>
    <w:rsid w:val="00F53135"/>
    <w:rsid w:val="00F53152"/>
    <w:rsid w:val="00F53197"/>
    <w:rsid w:val="00F531DC"/>
    <w:rsid w:val="00F53299"/>
    <w:rsid w:val="00F536D4"/>
    <w:rsid w:val="00F5381D"/>
    <w:rsid w:val="00F539B2"/>
    <w:rsid w:val="00F53A3B"/>
    <w:rsid w:val="00F53B7A"/>
    <w:rsid w:val="00F53CD8"/>
    <w:rsid w:val="00F53CF2"/>
    <w:rsid w:val="00F53F64"/>
    <w:rsid w:val="00F53FC3"/>
    <w:rsid w:val="00F54035"/>
    <w:rsid w:val="00F54108"/>
    <w:rsid w:val="00F54202"/>
    <w:rsid w:val="00F54244"/>
    <w:rsid w:val="00F543A3"/>
    <w:rsid w:val="00F543EA"/>
    <w:rsid w:val="00F543F9"/>
    <w:rsid w:val="00F54410"/>
    <w:rsid w:val="00F54411"/>
    <w:rsid w:val="00F5454E"/>
    <w:rsid w:val="00F546A7"/>
    <w:rsid w:val="00F546EE"/>
    <w:rsid w:val="00F54714"/>
    <w:rsid w:val="00F54AFD"/>
    <w:rsid w:val="00F54BBC"/>
    <w:rsid w:val="00F54BD7"/>
    <w:rsid w:val="00F54CE1"/>
    <w:rsid w:val="00F54D20"/>
    <w:rsid w:val="00F54E0F"/>
    <w:rsid w:val="00F54E5A"/>
    <w:rsid w:val="00F54F02"/>
    <w:rsid w:val="00F54FFA"/>
    <w:rsid w:val="00F55028"/>
    <w:rsid w:val="00F55039"/>
    <w:rsid w:val="00F55069"/>
    <w:rsid w:val="00F55093"/>
    <w:rsid w:val="00F551C1"/>
    <w:rsid w:val="00F551E3"/>
    <w:rsid w:val="00F551F8"/>
    <w:rsid w:val="00F551FB"/>
    <w:rsid w:val="00F5521A"/>
    <w:rsid w:val="00F552EA"/>
    <w:rsid w:val="00F5538F"/>
    <w:rsid w:val="00F553A8"/>
    <w:rsid w:val="00F553C5"/>
    <w:rsid w:val="00F5540A"/>
    <w:rsid w:val="00F5563B"/>
    <w:rsid w:val="00F558A2"/>
    <w:rsid w:val="00F5593F"/>
    <w:rsid w:val="00F55A17"/>
    <w:rsid w:val="00F55A4A"/>
    <w:rsid w:val="00F55A6F"/>
    <w:rsid w:val="00F55AE9"/>
    <w:rsid w:val="00F55B70"/>
    <w:rsid w:val="00F55D12"/>
    <w:rsid w:val="00F55D56"/>
    <w:rsid w:val="00F55D5D"/>
    <w:rsid w:val="00F55D60"/>
    <w:rsid w:val="00F55EDF"/>
    <w:rsid w:val="00F56053"/>
    <w:rsid w:val="00F5615F"/>
    <w:rsid w:val="00F56249"/>
    <w:rsid w:val="00F562E4"/>
    <w:rsid w:val="00F563DC"/>
    <w:rsid w:val="00F563EC"/>
    <w:rsid w:val="00F56491"/>
    <w:rsid w:val="00F5655A"/>
    <w:rsid w:val="00F56574"/>
    <w:rsid w:val="00F565E5"/>
    <w:rsid w:val="00F56688"/>
    <w:rsid w:val="00F56691"/>
    <w:rsid w:val="00F567E8"/>
    <w:rsid w:val="00F56859"/>
    <w:rsid w:val="00F568C5"/>
    <w:rsid w:val="00F568D0"/>
    <w:rsid w:val="00F56A5B"/>
    <w:rsid w:val="00F56A5F"/>
    <w:rsid w:val="00F56AA3"/>
    <w:rsid w:val="00F56AB4"/>
    <w:rsid w:val="00F56BB8"/>
    <w:rsid w:val="00F56CF0"/>
    <w:rsid w:val="00F56D2E"/>
    <w:rsid w:val="00F56D82"/>
    <w:rsid w:val="00F56D97"/>
    <w:rsid w:val="00F56DAD"/>
    <w:rsid w:val="00F56DD5"/>
    <w:rsid w:val="00F56F39"/>
    <w:rsid w:val="00F56F88"/>
    <w:rsid w:val="00F57379"/>
    <w:rsid w:val="00F5740A"/>
    <w:rsid w:val="00F5745A"/>
    <w:rsid w:val="00F576E3"/>
    <w:rsid w:val="00F57722"/>
    <w:rsid w:val="00F5776D"/>
    <w:rsid w:val="00F57855"/>
    <w:rsid w:val="00F57859"/>
    <w:rsid w:val="00F579A2"/>
    <w:rsid w:val="00F57AF0"/>
    <w:rsid w:val="00F57C4B"/>
    <w:rsid w:val="00F57CDE"/>
    <w:rsid w:val="00F57E42"/>
    <w:rsid w:val="00F57E98"/>
    <w:rsid w:val="00F57EF4"/>
    <w:rsid w:val="00F57F81"/>
    <w:rsid w:val="00F60023"/>
    <w:rsid w:val="00F600FA"/>
    <w:rsid w:val="00F60109"/>
    <w:rsid w:val="00F60132"/>
    <w:rsid w:val="00F60208"/>
    <w:rsid w:val="00F6028E"/>
    <w:rsid w:val="00F60313"/>
    <w:rsid w:val="00F603E8"/>
    <w:rsid w:val="00F604DE"/>
    <w:rsid w:val="00F6050F"/>
    <w:rsid w:val="00F605CF"/>
    <w:rsid w:val="00F60753"/>
    <w:rsid w:val="00F607A7"/>
    <w:rsid w:val="00F607EF"/>
    <w:rsid w:val="00F60882"/>
    <w:rsid w:val="00F608FB"/>
    <w:rsid w:val="00F60922"/>
    <w:rsid w:val="00F60A23"/>
    <w:rsid w:val="00F60B73"/>
    <w:rsid w:val="00F60B85"/>
    <w:rsid w:val="00F60BB8"/>
    <w:rsid w:val="00F60C5D"/>
    <w:rsid w:val="00F60D09"/>
    <w:rsid w:val="00F60DB8"/>
    <w:rsid w:val="00F60E13"/>
    <w:rsid w:val="00F60F1C"/>
    <w:rsid w:val="00F60FE6"/>
    <w:rsid w:val="00F60FF3"/>
    <w:rsid w:val="00F61035"/>
    <w:rsid w:val="00F6106F"/>
    <w:rsid w:val="00F610D2"/>
    <w:rsid w:val="00F61144"/>
    <w:rsid w:val="00F61233"/>
    <w:rsid w:val="00F6147E"/>
    <w:rsid w:val="00F614F3"/>
    <w:rsid w:val="00F61702"/>
    <w:rsid w:val="00F6197C"/>
    <w:rsid w:val="00F61A66"/>
    <w:rsid w:val="00F61CCF"/>
    <w:rsid w:val="00F61D3B"/>
    <w:rsid w:val="00F61D3C"/>
    <w:rsid w:val="00F61E13"/>
    <w:rsid w:val="00F61E2A"/>
    <w:rsid w:val="00F61E4F"/>
    <w:rsid w:val="00F61F1B"/>
    <w:rsid w:val="00F61F9B"/>
    <w:rsid w:val="00F61FDC"/>
    <w:rsid w:val="00F6203D"/>
    <w:rsid w:val="00F6204E"/>
    <w:rsid w:val="00F620A4"/>
    <w:rsid w:val="00F620B5"/>
    <w:rsid w:val="00F620D8"/>
    <w:rsid w:val="00F62205"/>
    <w:rsid w:val="00F6227E"/>
    <w:rsid w:val="00F622F4"/>
    <w:rsid w:val="00F62345"/>
    <w:rsid w:val="00F62353"/>
    <w:rsid w:val="00F623F1"/>
    <w:rsid w:val="00F624A5"/>
    <w:rsid w:val="00F624AC"/>
    <w:rsid w:val="00F6290C"/>
    <w:rsid w:val="00F62A09"/>
    <w:rsid w:val="00F62A6F"/>
    <w:rsid w:val="00F62A71"/>
    <w:rsid w:val="00F62AC9"/>
    <w:rsid w:val="00F62AE7"/>
    <w:rsid w:val="00F62B36"/>
    <w:rsid w:val="00F62B4D"/>
    <w:rsid w:val="00F62C1B"/>
    <w:rsid w:val="00F62C9B"/>
    <w:rsid w:val="00F62CD5"/>
    <w:rsid w:val="00F62EBB"/>
    <w:rsid w:val="00F62EF0"/>
    <w:rsid w:val="00F63052"/>
    <w:rsid w:val="00F63135"/>
    <w:rsid w:val="00F6321D"/>
    <w:rsid w:val="00F6327C"/>
    <w:rsid w:val="00F632BE"/>
    <w:rsid w:val="00F63463"/>
    <w:rsid w:val="00F634BA"/>
    <w:rsid w:val="00F63807"/>
    <w:rsid w:val="00F63969"/>
    <w:rsid w:val="00F63AAA"/>
    <w:rsid w:val="00F63D2A"/>
    <w:rsid w:val="00F63DF5"/>
    <w:rsid w:val="00F63E65"/>
    <w:rsid w:val="00F63F36"/>
    <w:rsid w:val="00F63FC9"/>
    <w:rsid w:val="00F64065"/>
    <w:rsid w:val="00F6408B"/>
    <w:rsid w:val="00F640DE"/>
    <w:rsid w:val="00F641D1"/>
    <w:rsid w:val="00F64293"/>
    <w:rsid w:val="00F6435D"/>
    <w:rsid w:val="00F6452F"/>
    <w:rsid w:val="00F64613"/>
    <w:rsid w:val="00F64759"/>
    <w:rsid w:val="00F64839"/>
    <w:rsid w:val="00F648B9"/>
    <w:rsid w:val="00F64B2C"/>
    <w:rsid w:val="00F64B9E"/>
    <w:rsid w:val="00F64BBD"/>
    <w:rsid w:val="00F64BC5"/>
    <w:rsid w:val="00F64C99"/>
    <w:rsid w:val="00F64D50"/>
    <w:rsid w:val="00F64DDA"/>
    <w:rsid w:val="00F64E6C"/>
    <w:rsid w:val="00F64E94"/>
    <w:rsid w:val="00F64EB9"/>
    <w:rsid w:val="00F64F19"/>
    <w:rsid w:val="00F65033"/>
    <w:rsid w:val="00F65114"/>
    <w:rsid w:val="00F65147"/>
    <w:rsid w:val="00F651FE"/>
    <w:rsid w:val="00F65202"/>
    <w:rsid w:val="00F65272"/>
    <w:rsid w:val="00F65292"/>
    <w:rsid w:val="00F652F5"/>
    <w:rsid w:val="00F6541C"/>
    <w:rsid w:val="00F65491"/>
    <w:rsid w:val="00F654B0"/>
    <w:rsid w:val="00F65564"/>
    <w:rsid w:val="00F65699"/>
    <w:rsid w:val="00F656BB"/>
    <w:rsid w:val="00F6582D"/>
    <w:rsid w:val="00F658DB"/>
    <w:rsid w:val="00F659C4"/>
    <w:rsid w:val="00F65D05"/>
    <w:rsid w:val="00F65D8A"/>
    <w:rsid w:val="00F65E36"/>
    <w:rsid w:val="00F65E57"/>
    <w:rsid w:val="00F65F75"/>
    <w:rsid w:val="00F66122"/>
    <w:rsid w:val="00F66304"/>
    <w:rsid w:val="00F66423"/>
    <w:rsid w:val="00F666D0"/>
    <w:rsid w:val="00F6676D"/>
    <w:rsid w:val="00F668DD"/>
    <w:rsid w:val="00F668EF"/>
    <w:rsid w:val="00F66975"/>
    <w:rsid w:val="00F66B55"/>
    <w:rsid w:val="00F66CAE"/>
    <w:rsid w:val="00F66D2C"/>
    <w:rsid w:val="00F66D82"/>
    <w:rsid w:val="00F66DA5"/>
    <w:rsid w:val="00F66DD9"/>
    <w:rsid w:val="00F66E95"/>
    <w:rsid w:val="00F66F32"/>
    <w:rsid w:val="00F66F87"/>
    <w:rsid w:val="00F6707E"/>
    <w:rsid w:val="00F671B5"/>
    <w:rsid w:val="00F671F8"/>
    <w:rsid w:val="00F67323"/>
    <w:rsid w:val="00F673C5"/>
    <w:rsid w:val="00F67402"/>
    <w:rsid w:val="00F6748A"/>
    <w:rsid w:val="00F67490"/>
    <w:rsid w:val="00F676C3"/>
    <w:rsid w:val="00F6773F"/>
    <w:rsid w:val="00F677A0"/>
    <w:rsid w:val="00F67865"/>
    <w:rsid w:val="00F678DD"/>
    <w:rsid w:val="00F67A5C"/>
    <w:rsid w:val="00F67BC2"/>
    <w:rsid w:val="00F67C63"/>
    <w:rsid w:val="00F67F18"/>
    <w:rsid w:val="00F67F21"/>
    <w:rsid w:val="00F67FCC"/>
    <w:rsid w:val="00F701A9"/>
    <w:rsid w:val="00F702AA"/>
    <w:rsid w:val="00F703B8"/>
    <w:rsid w:val="00F70621"/>
    <w:rsid w:val="00F706FE"/>
    <w:rsid w:val="00F7075E"/>
    <w:rsid w:val="00F7083F"/>
    <w:rsid w:val="00F708F8"/>
    <w:rsid w:val="00F70A10"/>
    <w:rsid w:val="00F70A40"/>
    <w:rsid w:val="00F70A7D"/>
    <w:rsid w:val="00F70AA3"/>
    <w:rsid w:val="00F70B08"/>
    <w:rsid w:val="00F70B9F"/>
    <w:rsid w:val="00F70BCD"/>
    <w:rsid w:val="00F70BE2"/>
    <w:rsid w:val="00F70C44"/>
    <w:rsid w:val="00F70C7D"/>
    <w:rsid w:val="00F70E6E"/>
    <w:rsid w:val="00F70E74"/>
    <w:rsid w:val="00F70EEE"/>
    <w:rsid w:val="00F71188"/>
    <w:rsid w:val="00F71236"/>
    <w:rsid w:val="00F7136F"/>
    <w:rsid w:val="00F716D9"/>
    <w:rsid w:val="00F71718"/>
    <w:rsid w:val="00F71800"/>
    <w:rsid w:val="00F71898"/>
    <w:rsid w:val="00F718EC"/>
    <w:rsid w:val="00F7191B"/>
    <w:rsid w:val="00F71926"/>
    <w:rsid w:val="00F719AA"/>
    <w:rsid w:val="00F719F2"/>
    <w:rsid w:val="00F71A4C"/>
    <w:rsid w:val="00F71B05"/>
    <w:rsid w:val="00F71B4A"/>
    <w:rsid w:val="00F71B90"/>
    <w:rsid w:val="00F71BB3"/>
    <w:rsid w:val="00F71C36"/>
    <w:rsid w:val="00F71D22"/>
    <w:rsid w:val="00F71DD4"/>
    <w:rsid w:val="00F71DF2"/>
    <w:rsid w:val="00F71ED9"/>
    <w:rsid w:val="00F71F63"/>
    <w:rsid w:val="00F72101"/>
    <w:rsid w:val="00F7217C"/>
    <w:rsid w:val="00F722E9"/>
    <w:rsid w:val="00F72368"/>
    <w:rsid w:val="00F72396"/>
    <w:rsid w:val="00F72415"/>
    <w:rsid w:val="00F72417"/>
    <w:rsid w:val="00F7241A"/>
    <w:rsid w:val="00F72453"/>
    <w:rsid w:val="00F72457"/>
    <w:rsid w:val="00F72545"/>
    <w:rsid w:val="00F7266D"/>
    <w:rsid w:val="00F72694"/>
    <w:rsid w:val="00F72793"/>
    <w:rsid w:val="00F7285F"/>
    <w:rsid w:val="00F72896"/>
    <w:rsid w:val="00F728F6"/>
    <w:rsid w:val="00F729BE"/>
    <w:rsid w:val="00F72A15"/>
    <w:rsid w:val="00F72A22"/>
    <w:rsid w:val="00F72AB9"/>
    <w:rsid w:val="00F72C2E"/>
    <w:rsid w:val="00F72C39"/>
    <w:rsid w:val="00F72D77"/>
    <w:rsid w:val="00F72DAD"/>
    <w:rsid w:val="00F72E69"/>
    <w:rsid w:val="00F72EAF"/>
    <w:rsid w:val="00F72F73"/>
    <w:rsid w:val="00F72F87"/>
    <w:rsid w:val="00F72FA3"/>
    <w:rsid w:val="00F73060"/>
    <w:rsid w:val="00F730CB"/>
    <w:rsid w:val="00F730FE"/>
    <w:rsid w:val="00F731AC"/>
    <w:rsid w:val="00F73250"/>
    <w:rsid w:val="00F732BB"/>
    <w:rsid w:val="00F7341A"/>
    <w:rsid w:val="00F73421"/>
    <w:rsid w:val="00F734C0"/>
    <w:rsid w:val="00F7373E"/>
    <w:rsid w:val="00F737C1"/>
    <w:rsid w:val="00F7386A"/>
    <w:rsid w:val="00F739AC"/>
    <w:rsid w:val="00F739C2"/>
    <w:rsid w:val="00F73A23"/>
    <w:rsid w:val="00F73A82"/>
    <w:rsid w:val="00F73B27"/>
    <w:rsid w:val="00F73B41"/>
    <w:rsid w:val="00F73B5F"/>
    <w:rsid w:val="00F73BD1"/>
    <w:rsid w:val="00F73CCB"/>
    <w:rsid w:val="00F73CE4"/>
    <w:rsid w:val="00F73DC4"/>
    <w:rsid w:val="00F73F35"/>
    <w:rsid w:val="00F73F8C"/>
    <w:rsid w:val="00F74032"/>
    <w:rsid w:val="00F741F3"/>
    <w:rsid w:val="00F7436E"/>
    <w:rsid w:val="00F744C2"/>
    <w:rsid w:val="00F74532"/>
    <w:rsid w:val="00F74560"/>
    <w:rsid w:val="00F746F2"/>
    <w:rsid w:val="00F747AA"/>
    <w:rsid w:val="00F74852"/>
    <w:rsid w:val="00F7491A"/>
    <w:rsid w:val="00F74969"/>
    <w:rsid w:val="00F7496B"/>
    <w:rsid w:val="00F74980"/>
    <w:rsid w:val="00F74B48"/>
    <w:rsid w:val="00F74EC9"/>
    <w:rsid w:val="00F74EF4"/>
    <w:rsid w:val="00F74F30"/>
    <w:rsid w:val="00F74FBB"/>
    <w:rsid w:val="00F75223"/>
    <w:rsid w:val="00F75292"/>
    <w:rsid w:val="00F752C6"/>
    <w:rsid w:val="00F752CA"/>
    <w:rsid w:val="00F753BE"/>
    <w:rsid w:val="00F75551"/>
    <w:rsid w:val="00F755A3"/>
    <w:rsid w:val="00F7568D"/>
    <w:rsid w:val="00F756CB"/>
    <w:rsid w:val="00F757F8"/>
    <w:rsid w:val="00F758B0"/>
    <w:rsid w:val="00F7596A"/>
    <w:rsid w:val="00F759B7"/>
    <w:rsid w:val="00F759D3"/>
    <w:rsid w:val="00F75A53"/>
    <w:rsid w:val="00F75ABE"/>
    <w:rsid w:val="00F75B4B"/>
    <w:rsid w:val="00F75C28"/>
    <w:rsid w:val="00F75D02"/>
    <w:rsid w:val="00F75D93"/>
    <w:rsid w:val="00F75ECE"/>
    <w:rsid w:val="00F75FDB"/>
    <w:rsid w:val="00F762E1"/>
    <w:rsid w:val="00F76334"/>
    <w:rsid w:val="00F7635C"/>
    <w:rsid w:val="00F764FB"/>
    <w:rsid w:val="00F76507"/>
    <w:rsid w:val="00F7653A"/>
    <w:rsid w:val="00F7663C"/>
    <w:rsid w:val="00F76641"/>
    <w:rsid w:val="00F7670C"/>
    <w:rsid w:val="00F7678F"/>
    <w:rsid w:val="00F769A7"/>
    <w:rsid w:val="00F769B8"/>
    <w:rsid w:val="00F76AA0"/>
    <w:rsid w:val="00F76BAE"/>
    <w:rsid w:val="00F76BEC"/>
    <w:rsid w:val="00F76D81"/>
    <w:rsid w:val="00F76F35"/>
    <w:rsid w:val="00F76F3D"/>
    <w:rsid w:val="00F76F7C"/>
    <w:rsid w:val="00F770FE"/>
    <w:rsid w:val="00F77308"/>
    <w:rsid w:val="00F7730C"/>
    <w:rsid w:val="00F77366"/>
    <w:rsid w:val="00F774B3"/>
    <w:rsid w:val="00F77636"/>
    <w:rsid w:val="00F776B1"/>
    <w:rsid w:val="00F77731"/>
    <w:rsid w:val="00F778B0"/>
    <w:rsid w:val="00F778C2"/>
    <w:rsid w:val="00F77944"/>
    <w:rsid w:val="00F77ABE"/>
    <w:rsid w:val="00F77BC7"/>
    <w:rsid w:val="00F77CB9"/>
    <w:rsid w:val="00F77D74"/>
    <w:rsid w:val="00F77F2A"/>
    <w:rsid w:val="00F77F5C"/>
    <w:rsid w:val="00F80029"/>
    <w:rsid w:val="00F80197"/>
    <w:rsid w:val="00F80288"/>
    <w:rsid w:val="00F80466"/>
    <w:rsid w:val="00F804C0"/>
    <w:rsid w:val="00F804D5"/>
    <w:rsid w:val="00F80622"/>
    <w:rsid w:val="00F8085E"/>
    <w:rsid w:val="00F80A16"/>
    <w:rsid w:val="00F80B83"/>
    <w:rsid w:val="00F80C24"/>
    <w:rsid w:val="00F80E93"/>
    <w:rsid w:val="00F81058"/>
    <w:rsid w:val="00F812D7"/>
    <w:rsid w:val="00F81414"/>
    <w:rsid w:val="00F81422"/>
    <w:rsid w:val="00F81432"/>
    <w:rsid w:val="00F81484"/>
    <w:rsid w:val="00F81532"/>
    <w:rsid w:val="00F81589"/>
    <w:rsid w:val="00F815BC"/>
    <w:rsid w:val="00F81690"/>
    <w:rsid w:val="00F81703"/>
    <w:rsid w:val="00F8176E"/>
    <w:rsid w:val="00F81811"/>
    <w:rsid w:val="00F81856"/>
    <w:rsid w:val="00F81D15"/>
    <w:rsid w:val="00F81D2C"/>
    <w:rsid w:val="00F81D65"/>
    <w:rsid w:val="00F81DA8"/>
    <w:rsid w:val="00F81E5B"/>
    <w:rsid w:val="00F81F70"/>
    <w:rsid w:val="00F82009"/>
    <w:rsid w:val="00F8201F"/>
    <w:rsid w:val="00F823D4"/>
    <w:rsid w:val="00F82506"/>
    <w:rsid w:val="00F8250C"/>
    <w:rsid w:val="00F8252A"/>
    <w:rsid w:val="00F826C8"/>
    <w:rsid w:val="00F827F5"/>
    <w:rsid w:val="00F8288A"/>
    <w:rsid w:val="00F8289A"/>
    <w:rsid w:val="00F828A7"/>
    <w:rsid w:val="00F828EC"/>
    <w:rsid w:val="00F82922"/>
    <w:rsid w:val="00F8295C"/>
    <w:rsid w:val="00F82A48"/>
    <w:rsid w:val="00F82A59"/>
    <w:rsid w:val="00F82B04"/>
    <w:rsid w:val="00F82B40"/>
    <w:rsid w:val="00F82B73"/>
    <w:rsid w:val="00F82D12"/>
    <w:rsid w:val="00F82D59"/>
    <w:rsid w:val="00F82E71"/>
    <w:rsid w:val="00F8300A"/>
    <w:rsid w:val="00F8300C"/>
    <w:rsid w:val="00F830D0"/>
    <w:rsid w:val="00F831D3"/>
    <w:rsid w:val="00F83325"/>
    <w:rsid w:val="00F83403"/>
    <w:rsid w:val="00F83607"/>
    <w:rsid w:val="00F8361E"/>
    <w:rsid w:val="00F837D2"/>
    <w:rsid w:val="00F83882"/>
    <w:rsid w:val="00F83945"/>
    <w:rsid w:val="00F83E97"/>
    <w:rsid w:val="00F83F01"/>
    <w:rsid w:val="00F83FC4"/>
    <w:rsid w:val="00F83FD7"/>
    <w:rsid w:val="00F84021"/>
    <w:rsid w:val="00F84064"/>
    <w:rsid w:val="00F84305"/>
    <w:rsid w:val="00F8434E"/>
    <w:rsid w:val="00F84381"/>
    <w:rsid w:val="00F843AE"/>
    <w:rsid w:val="00F845F2"/>
    <w:rsid w:val="00F84703"/>
    <w:rsid w:val="00F84737"/>
    <w:rsid w:val="00F84743"/>
    <w:rsid w:val="00F84748"/>
    <w:rsid w:val="00F847C3"/>
    <w:rsid w:val="00F84827"/>
    <w:rsid w:val="00F84902"/>
    <w:rsid w:val="00F84958"/>
    <w:rsid w:val="00F84A95"/>
    <w:rsid w:val="00F84B81"/>
    <w:rsid w:val="00F84C12"/>
    <w:rsid w:val="00F84C1C"/>
    <w:rsid w:val="00F84C9D"/>
    <w:rsid w:val="00F84CB6"/>
    <w:rsid w:val="00F84D1E"/>
    <w:rsid w:val="00F84E42"/>
    <w:rsid w:val="00F84EE7"/>
    <w:rsid w:val="00F84F0F"/>
    <w:rsid w:val="00F84F30"/>
    <w:rsid w:val="00F84FD5"/>
    <w:rsid w:val="00F85072"/>
    <w:rsid w:val="00F85385"/>
    <w:rsid w:val="00F854EA"/>
    <w:rsid w:val="00F8554C"/>
    <w:rsid w:val="00F8554D"/>
    <w:rsid w:val="00F855AB"/>
    <w:rsid w:val="00F856A4"/>
    <w:rsid w:val="00F8578F"/>
    <w:rsid w:val="00F859C9"/>
    <w:rsid w:val="00F85A6E"/>
    <w:rsid w:val="00F85B25"/>
    <w:rsid w:val="00F85B6A"/>
    <w:rsid w:val="00F85B9A"/>
    <w:rsid w:val="00F85BAB"/>
    <w:rsid w:val="00F85C4E"/>
    <w:rsid w:val="00F85CA7"/>
    <w:rsid w:val="00F85CF3"/>
    <w:rsid w:val="00F85D8C"/>
    <w:rsid w:val="00F85E29"/>
    <w:rsid w:val="00F85EA7"/>
    <w:rsid w:val="00F85ED2"/>
    <w:rsid w:val="00F85F26"/>
    <w:rsid w:val="00F85F83"/>
    <w:rsid w:val="00F8601B"/>
    <w:rsid w:val="00F8619F"/>
    <w:rsid w:val="00F861A8"/>
    <w:rsid w:val="00F862FF"/>
    <w:rsid w:val="00F863B6"/>
    <w:rsid w:val="00F864C8"/>
    <w:rsid w:val="00F864D3"/>
    <w:rsid w:val="00F86643"/>
    <w:rsid w:val="00F86649"/>
    <w:rsid w:val="00F867B1"/>
    <w:rsid w:val="00F86852"/>
    <w:rsid w:val="00F86877"/>
    <w:rsid w:val="00F8697D"/>
    <w:rsid w:val="00F86B70"/>
    <w:rsid w:val="00F86BC2"/>
    <w:rsid w:val="00F86C56"/>
    <w:rsid w:val="00F86DD9"/>
    <w:rsid w:val="00F86F1B"/>
    <w:rsid w:val="00F87189"/>
    <w:rsid w:val="00F87376"/>
    <w:rsid w:val="00F873F3"/>
    <w:rsid w:val="00F8740E"/>
    <w:rsid w:val="00F8746F"/>
    <w:rsid w:val="00F874F0"/>
    <w:rsid w:val="00F875E0"/>
    <w:rsid w:val="00F876BF"/>
    <w:rsid w:val="00F87775"/>
    <w:rsid w:val="00F877A1"/>
    <w:rsid w:val="00F877E6"/>
    <w:rsid w:val="00F877F2"/>
    <w:rsid w:val="00F878DF"/>
    <w:rsid w:val="00F87A1A"/>
    <w:rsid w:val="00F87A67"/>
    <w:rsid w:val="00F87AED"/>
    <w:rsid w:val="00F87B90"/>
    <w:rsid w:val="00F87BE7"/>
    <w:rsid w:val="00F87CF4"/>
    <w:rsid w:val="00F87E53"/>
    <w:rsid w:val="00F87E5D"/>
    <w:rsid w:val="00F87F51"/>
    <w:rsid w:val="00F87F70"/>
    <w:rsid w:val="00F90012"/>
    <w:rsid w:val="00F9005B"/>
    <w:rsid w:val="00F90220"/>
    <w:rsid w:val="00F90306"/>
    <w:rsid w:val="00F90398"/>
    <w:rsid w:val="00F90673"/>
    <w:rsid w:val="00F90703"/>
    <w:rsid w:val="00F909C4"/>
    <w:rsid w:val="00F90AD2"/>
    <w:rsid w:val="00F90CB3"/>
    <w:rsid w:val="00F90DBE"/>
    <w:rsid w:val="00F90DBF"/>
    <w:rsid w:val="00F90E13"/>
    <w:rsid w:val="00F90E22"/>
    <w:rsid w:val="00F90F2B"/>
    <w:rsid w:val="00F9116A"/>
    <w:rsid w:val="00F9126B"/>
    <w:rsid w:val="00F912BD"/>
    <w:rsid w:val="00F912C3"/>
    <w:rsid w:val="00F914B8"/>
    <w:rsid w:val="00F9158D"/>
    <w:rsid w:val="00F9179C"/>
    <w:rsid w:val="00F917A1"/>
    <w:rsid w:val="00F917E7"/>
    <w:rsid w:val="00F918E3"/>
    <w:rsid w:val="00F918FC"/>
    <w:rsid w:val="00F919C5"/>
    <w:rsid w:val="00F91AE9"/>
    <w:rsid w:val="00F91B99"/>
    <w:rsid w:val="00F91C01"/>
    <w:rsid w:val="00F91DBE"/>
    <w:rsid w:val="00F91DD2"/>
    <w:rsid w:val="00F91E4F"/>
    <w:rsid w:val="00F91EE3"/>
    <w:rsid w:val="00F92285"/>
    <w:rsid w:val="00F924BA"/>
    <w:rsid w:val="00F924F8"/>
    <w:rsid w:val="00F925F5"/>
    <w:rsid w:val="00F92719"/>
    <w:rsid w:val="00F9276A"/>
    <w:rsid w:val="00F92856"/>
    <w:rsid w:val="00F92A4B"/>
    <w:rsid w:val="00F92B10"/>
    <w:rsid w:val="00F92C6B"/>
    <w:rsid w:val="00F92D61"/>
    <w:rsid w:val="00F92E36"/>
    <w:rsid w:val="00F92F46"/>
    <w:rsid w:val="00F92FB6"/>
    <w:rsid w:val="00F930CA"/>
    <w:rsid w:val="00F931CD"/>
    <w:rsid w:val="00F9327B"/>
    <w:rsid w:val="00F933D5"/>
    <w:rsid w:val="00F93537"/>
    <w:rsid w:val="00F9361C"/>
    <w:rsid w:val="00F93710"/>
    <w:rsid w:val="00F9375A"/>
    <w:rsid w:val="00F937CB"/>
    <w:rsid w:val="00F937DF"/>
    <w:rsid w:val="00F939CE"/>
    <w:rsid w:val="00F93A30"/>
    <w:rsid w:val="00F93AF6"/>
    <w:rsid w:val="00F93B12"/>
    <w:rsid w:val="00F93BA7"/>
    <w:rsid w:val="00F93C10"/>
    <w:rsid w:val="00F93DBC"/>
    <w:rsid w:val="00F93DE5"/>
    <w:rsid w:val="00F93E74"/>
    <w:rsid w:val="00F94006"/>
    <w:rsid w:val="00F94023"/>
    <w:rsid w:val="00F94057"/>
    <w:rsid w:val="00F940A1"/>
    <w:rsid w:val="00F940B9"/>
    <w:rsid w:val="00F940C6"/>
    <w:rsid w:val="00F94183"/>
    <w:rsid w:val="00F94194"/>
    <w:rsid w:val="00F9419C"/>
    <w:rsid w:val="00F94200"/>
    <w:rsid w:val="00F94204"/>
    <w:rsid w:val="00F94213"/>
    <w:rsid w:val="00F942F0"/>
    <w:rsid w:val="00F94358"/>
    <w:rsid w:val="00F94469"/>
    <w:rsid w:val="00F945EB"/>
    <w:rsid w:val="00F94602"/>
    <w:rsid w:val="00F946B2"/>
    <w:rsid w:val="00F94733"/>
    <w:rsid w:val="00F94736"/>
    <w:rsid w:val="00F94787"/>
    <w:rsid w:val="00F9495F"/>
    <w:rsid w:val="00F949E3"/>
    <w:rsid w:val="00F94A8D"/>
    <w:rsid w:val="00F94AA8"/>
    <w:rsid w:val="00F94E0F"/>
    <w:rsid w:val="00F94ECB"/>
    <w:rsid w:val="00F94FF9"/>
    <w:rsid w:val="00F95003"/>
    <w:rsid w:val="00F95022"/>
    <w:rsid w:val="00F95144"/>
    <w:rsid w:val="00F9515E"/>
    <w:rsid w:val="00F95239"/>
    <w:rsid w:val="00F9529B"/>
    <w:rsid w:val="00F952EE"/>
    <w:rsid w:val="00F953CB"/>
    <w:rsid w:val="00F9540C"/>
    <w:rsid w:val="00F95470"/>
    <w:rsid w:val="00F955A1"/>
    <w:rsid w:val="00F95656"/>
    <w:rsid w:val="00F956A5"/>
    <w:rsid w:val="00F956C5"/>
    <w:rsid w:val="00F957FA"/>
    <w:rsid w:val="00F958DB"/>
    <w:rsid w:val="00F95954"/>
    <w:rsid w:val="00F95957"/>
    <w:rsid w:val="00F95BA3"/>
    <w:rsid w:val="00F95CF4"/>
    <w:rsid w:val="00F95E0F"/>
    <w:rsid w:val="00F9602D"/>
    <w:rsid w:val="00F9604E"/>
    <w:rsid w:val="00F96052"/>
    <w:rsid w:val="00F96104"/>
    <w:rsid w:val="00F96105"/>
    <w:rsid w:val="00F96121"/>
    <w:rsid w:val="00F961DF"/>
    <w:rsid w:val="00F9620B"/>
    <w:rsid w:val="00F9623B"/>
    <w:rsid w:val="00F9635E"/>
    <w:rsid w:val="00F963B9"/>
    <w:rsid w:val="00F963C1"/>
    <w:rsid w:val="00F9649A"/>
    <w:rsid w:val="00F9656E"/>
    <w:rsid w:val="00F965CB"/>
    <w:rsid w:val="00F966DE"/>
    <w:rsid w:val="00F96756"/>
    <w:rsid w:val="00F96819"/>
    <w:rsid w:val="00F968E3"/>
    <w:rsid w:val="00F9698F"/>
    <w:rsid w:val="00F969C5"/>
    <w:rsid w:val="00F96B3E"/>
    <w:rsid w:val="00F96BC1"/>
    <w:rsid w:val="00F96BF3"/>
    <w:rsid w:val="00F96C23"/>
    <w:rsid w:val="00F96DF4"/>
    <w:rsid w:val="00F96E51"/>
    <w:rsid w:val="00F96ED0"/>
    <w:rsid w:val="00F96EE0"/>
    <w:rsid w:val="00F96F73"/>
    <w:rsid w:val="00F96F86"/>
    <w:rsid w:val="00F97036"/>
    <w:rsid w:val="00F97138"/>
    <w:rsid w:val="00F9724A"/>
    <w:rsid w:val="00F97403"/>
    <w:rsid w:val="00F9741D"/>
    <w:rsid w:val="00F9750E"/>
    <w:rsid w:val="00F975DC"/>
    <w:rsid w:val="00F9770F"/>
    <w:rsid w:val="00F9772C"/>
    <w:rsid w:val="00F977F8"/>
    <w:rsid w:val="00F97851"/>
    <w:rsid w:val="00F9794E"/>
    <w:rsid w:val="00F97A9E"/>
    <w:rsid w:val="00F97B0B"/>
    <w:rsid w:val="00F97B2F"/>
    <w:rsid w:val="00F97C62"/>
    <w:rsid w:val="00F97CE5"/>
    <w:rsid w:val="00F97D1B"/>
    <w:rsid w:val="00F97D31"/>
    <w:rsid w:val="00F97EE0"/>
    <w:rsid w:val="00F97FD2"/>
    <w:rsid w:val="00FA01A2"/>
    <w:rsid w:val="00FA0292"/>
    <w:rsid w:val="00FA0294"/>
    <w:rsid w:val="00FA02D9"/>
    <w:rsid w:val="00FA02FE"/>
    <w:rsid w:val="00FA032C"/>
    <w:rsid w:val="00FA03E7"/>
    <w:rsid w:val="00FA03F8"/>
    <w:rsid w:val="00FA0425"/>
    <w:rsid w:val="00FA0884"/>
    <w:rsid w:val="00FA08D8"/>
    <w:rsid w:val="00FA09C4"/>
    <w:rsid w:val="00FA0A4E"/>
    <w:rsid w:val="00FA0A63"/>
    <w:rsid w:val="00FA0BAB"/>
    <w:rsid w:val="00FA0BAC"/>
    <w:rsid w:val="00FA0CB8"/>
    <w:rsid w:val="00FA0DA4"/>
    <w:rsid w:val="00FA0DDB"/>
    <w:rsid w:val="00FA0EEE"/>
    <w:rsid w:val="00FA10D4"/>
    <w:rsid w:val="00FA1275"/>
    <w:rsid w:val="00FA1325"/>
    <w:rsid w:val="00FA135E"/>
    <w:rsid w:val="00FA146C"/>
    <w:rsid w:val="00FA1474"/>
    <w:rsid w:val="00FA175B"/>
    <w:rsid w:val="00FA1794"/>
    <w:rsid w:val="00FA17C3"/>
    <w:rsid w:val="00FA1843"/>
    <w:rsid w:val="00FA1879"/>
    <w:rsid w:val="00FA18CE"/>
    <w:rsid w:val="00FA18EC"/>
    <w:rsid w:val="00FA1945"/>
    <w:rsid w:val="00FA1A1F"/>
    <w:rsid w:val="00FA1B7E"/>
    <w:rsid w:val="00FA1C0C"/>
    <w:rsid w:val="00FA1C10"/>
    <w:rsid w:val="00FA1C16"/>
    <w:rsid w:val="00FA1C37"/>
    <w:rsid w:val="00FA1C93"/>
    <w:rsid w:val="00FA1EB0"/>
    <w:rsid w:val="00FA1F95"/>
    <w:rsid w:val="00FA207A"/>
    <w:rsid w:val="00FA20FC"/>
    <w:rsid w:val="00FA21AE"/>
    <w:rsid w:val="00FA22F8"/>
    <w:rsid w:val="00FA2434"/>
    <w:rsid w:val="00FA2462"/>
    <w:rsid w:val="00FA25FA"/>
    <w:rsid w:val="00FA271B"/>
    <w:rsid w:val="00FA27E9"/>
    <w:rsid w:val="00FA288F"/>
    <w:rsid w:val="00FA2CD2"/>
    <w:rsid w:val="00FA2CD8"/>
    <w:rsid w:val="00FA2D38"/>
    <w:rsid w:val="00FA2D57"/>
    <w:rsid w:val="00FA2D5B"/>
    <w:rsid w:val="00FA2F0B"/>
    <w:rsid w:val="00FA2F6D"/>
    <w:rsid w:val="00FA31B0"/>
    <w:rsid w:val="00FA3393"/>
    <w:rsid w:val="00FA33F3"/>
    <w:rsid w:val="00FA364A"/>
    <w:rsid w:val="00FA366E"/>
    <w:rsid w:val="00FA36B8"/>
    <w:rsid w:val="00FA37EB"/>
    <w:rsid w:val="00FA38FE"/>
    <w:rsid w:val="00FA3A01"/>
    <w:rsid w:val="00FA3A02"/>
    <w:rsid w:val="00FA3A7E"/>
    <w:rsid w:val="00FA3AB2"/>
    <w:rsid w:val="00FA3C4A"/>
    <w:rsid w:val="00FA3C55"/>
    <w:rsid w:val="00FA42C9"/>
    <w:rsid w:val="00FA4368"/>
    <w:rsid w:val="00FA43C6"/>
    <w:rsid w:val="00FA4547"/>
    <w:rsid w:val="00FA4723"/>
    <w:rsid w:val="00FA4730"/>
    <w:rsid w:val="00FA4751"/>
    <w:rsid w:val="00FA47D1"/>
    <w:rsid w:val="00FA49B1"/>
    <w:rsid w:val="00FA4A5E"/>
    <w:rsid w:val="00FA4AF7"/>
    <w:rsid w:val="00FA4B49"/>
    <w:rsid w:val="00FA4C0A"/>
    <w:rsid w:val="00FA4C59"/>
    <w:rsid w:val="00FA4C5A"/>
    <w:rsid w:val="00FA4C63"/>
    <w:rsid w:val="00FA4C9C"/>
    <w:rsid w:val="00FA4E2C"/>
    <w:rsid w:val="00FA4F11"/>
    <w:rsid w:val="00FA50C9"/>
    <w:rsid w:val="00FA5363"/>
    <w:rsid w:val="00FA54AD"/>
    <w:rsid w:val="00FA56AE"/>
    <w:rsid w:val="00FA570A"/>
    <w:rsid w:val="00FA5740"/>
    <w:rsid w:val="00FA5813"/>
    <w:rsid w:val="00FA59CF"/>
    <w:rsid w:val="00FA5A45"/>
    <w:rsid w:val="00FA5AA5"/>
    <w:rsid w:val="00FA5B0B"/>
    <w:rsid w:val="00FA5B79"/>
    <w:rsid w:val="00FA5C73"/>
    <w:rsid w:val="00FA5CE9"/>
    <w:rsid w:val="00FA5D14"/>
    <w:rsid w:val="00FA5DF0"/>
    <w:rsid w:val="00FA5E80"/>
    <w:rsid w:val="00FA5EF3"/>
    <w:rsid w:val="00FA600E"/>
    <w:rsid w:val="00FA6251"/>
    <w:rsid w:val="00FA6366"/>
    <w:rsid w:val="00FA640F"/>
    <w:rsid w:val="00FA6412"/>
    <w:rsid w:val="00FA6576"/>
    <w:rsid w:val="00FA6645"/>
    <w:rsid w:val="00FA664C"/>
    <w:rsid w:val="00FA6709"/>
    <w:rsid w:val="00FA6961"/>
    <w:rsid w:val="00FA697E"/>
    <w:rsid w:val="00FA69DA"/>
    <w:rsid w:val="00FA6A99"/>
    <w:rsid w:val="00FA6ACD"/>
    <w:rsid w:val="00FA6BF9"/>
    <w:rsid w:val="00FA6C79"/>
    <w:rsid w:val="00FA6E31"/>
    <w:rsid w:val="00FA6EE2"/>
    <w:rsid w:val="00FA7107"/>
    <w:rsid w:val="00FA7109"/>
    <w:rsid w:val="00FA7123"/>
    <w:rsid w:val="00FA71E8"/>
    <w:rsid w:val="00FA722E"/>
    <w:rsid w:val="00FA7425"/>
    <w:rsid w:val="00FA751A"/>
    <w:rsid w:val="00FA753F"/>
    <w:rsid w:val="00FA75A7"/>
    <w:rsid w:val="00FA75CC"/>
    <w:rsid w:val="00FA75F0"/>
    <w:rsid w:val="00FA75F9"/>
    <w:rsid w:val="00FA7661"/>
    <w:rsid w:val="00FA770C"/>
    <w:rsid w:val="00FA782A"/>
    <w:rsid w:val="00FA795C"/>
    <w:rsid w:val="00FA79A8"/>
    <w:rsid w:val="00FA7A6B"/>
    <w:rsid w:val="00FA7AA2"/>
    <w:rsid w:val="00FA7C03"/>
    <w:rsid w:val="00FA7C92"/>
    <w:rsid w:val="00FA7DB5"/>
    <w:rsid w:val="00FA7E39"/>
    <w:rsid w:val="00FA7EA5"/>
    <w:rsid w:val="00FA7EF0"/>
    <w:rsid w:val="00FA7FFB"/>
    <w:rsid w:val="00FB003D"/>
    <w:rsid w:val="00FB00B7"/>
    <w:rsid w:val="00FB0155"/>
    <w:rsid w:val="00FB01C6"/>
    <w:rsid w:val="00FB01F5"/>
    <w:rsid w:val="00FB026A"/>
    <w:rsid w:val="00FB03BB"/>
    <w:rsid w:val="00FB03D3"/>
    <w:rsid w:val="00FB0402"/>
    <w:rsid w:val="00FB0550"/>
    <w:rsid w:val="00FB05F4"/>
    <w:rsid w:val="00FB0606"/>
    <w:rsid w:val="00FB06F4"/>
    <w:rsid w:val="00FB071E"/>
    <w:rsid w:val="00FB07D0"/>
    <w:rsid w:val="00FB07E1"/>
    <w:rsid w:val="00FB08A2"/>
    <w:rsid w:val="00FB0921"/>
    <w:rsid w:val="00FB0AA9"/>
    <w:rsid w:val="00FB0AB6"/>
    <w:rsid w:val="00FB0C3D"/>
    <w:rsid w:val="00FB0C75"/>
    <w:rsid w:val="00FB0CD4"/>
    <w:rsid w:val="00FB0E00"/>
    <w:rsid w:val="00FB0E43"/>
    <w:rsid w:val="00FB0EC5"/>
    <w:rsid w:val="00FB0EEF"/>
    <w:rsid w:val="00FB1131"/>
    <w:rsid w:val="00FB1190"/>
    <w:rsid w:val="00FB1286"/>
    <w:rsid w:val="00FB1330"/>
    <w:rsid w:val="00FB1367"/>
    <w:rsid w:val="00FB13BD"/>
    <w:rsid w:val="00FB1466"/>
    <w:rsid w:val="00FB147B"/>
    <w:rsid w:val="00FB14D3"/>
    <w:rsid w:val="00FB157F"/>
    <w:rsid w:val="00FB15FA"/>
    <w:rsid w:val="00FB16AC"/>
    <w:rsid w:val="00FB173C"/>
    <w:rsid w:val="00FB1798"/>
    <w:rsid w:val="00FB18A4"/>
    <w:rsid w:val="00FB18C4"/>
    <w:rsid w:val="00FB18D5"/>
    <w:rsid w:val="00FB1A2A"/>
    <w:rsid w:val="00FB1AC3"/>
    <w:rsid w:val="00FB1AD7"/>
    <w:rsid w:val="00FB1B4F"/>
    <w:rsid w:val="00FB1BC5"/>
    <w:rsid w:val="00FB1C4E"/>
    <w:rsid w:val="00FB1DC6"/>
    <w:rsid w:val="00FB1FFE"/>
    <w:rsid w:val="00FB204F"/>
    <w:rsid w:val="00FB206A"/>
    <w:rsid w:val="00FB21A8"/>
    <w:rsid w:val="00FB2317"/>
    <w:rsid w:val="00FB2327"/>
    <w:rsid w:val="00FB23A4"/>
    <w:rsid w:val="00FB24C0"/>
    <w:rsid w:val="00FB2555"/>
    <w:rsid w:val="00FB25E3"/>
    <w:rsid w:val="00FB2618"/>
    <w:rsid w:val="00FB26A7"/>
    <w:rsid w:val="00FB26C6"/>
    <w:rsid w:val="00FB26E4"/>
    <w:rsid w:val="00FB28BE"/>
    <w:rsid w:val="00FB28CA"/>
    <w:rsid w:val="00FB2BA7"/>
    <w:rsid w:val="00FB2CEA"/>
    <w:rsid w:val="00FB2D05"/>
    <w:rsid w:val="00FB2DC5"/>
    <w:rsid w:val="00FB2E31"/>
    <w:rsid w:val="00FB2E37"/>
    <w:rsid w:val="00FB2ECF"/>
    <w:rsid w:val="00FB2FDB"/>
    <w:rsid w:val="00FB300D"/>
    <w:rsid w:val="00FB3213"/>
    <w:rsid w:val="00FB33DB"/>
    <w:rsid w:val="00FB3575"/>
    <w:rsid w:val="00FB3695"/>
    <w:rsid w:val="00FB376B"/>
    <w:rsid w:val="00FB3869"/>
    <w:rsid w:val="00FB392D"/>
    <w:rsid w:val="00FB3930"/>
    <w:rsid w:val="00FB396D"/>
    <w:rsid w:val="00FB3A1D"/>
    <w:rsid w:val="00FB3AA6"/>
    <w:rsid w:val="00FB3C24"/>
    <w:rsid w:val="00FB3D67"/>
    <w:rsid w:val="00FB3D82"/>
    <w:rsid w:val="00FB3E5D"/>
    <w:rsid w:val="00FB4053"/>
    <w:rsid w:val="00FB4091"/>
    <w:rsid w:val="00FB40CA"/>
    <w:rsid w:val="00FB40CB"/>
    <w:rsid w:val="00FB41A2"/>
    <w:rsid w:val="00FB420E"/>
    <w:rsid w:val="00FB4218"/>
    <w:rsid w:val="00FB432F"/>
    <w:rsid w:val="00FB438E"/>
    <w:rsid w:val="00FB43F8"/>
    <w:rsid w:val="00FB43FC"/>
    <w:rsid w:val="00FB450B"/>
    <w:rsid w:val="00FB4538"/>
    <w:rsid w:val="00FB46AC"/>
    <w:rsid w:val="00FB499F"/>
    <w:rsid w:val="00FB4A3F"/>
    <w:rsid w:val="00FB4ACD"/>
    <w:rsid w:val="00FB4BA3"/>
    <w:rsid w:val="00FB4C64"/>
    <w:rsid w:val="00FB4CC7"/>
    <w:rsid w:val="00FB4F90"/>
    <w:rsid w:val="00FB50CE"/>
    <w:rsid w:val="00FB514F"/>
    <w:rsid w:val="00FB525F"/>
    <w:rsid w:val="00FB539F"/>
    <w:rsid w:val="00FB54F4"/>
    <w:rsid w:val="00FB5684"/>
    <w:rsid w:val="00FB56AB"/>
    <w:rsid w:val="00FB5708"/>
    <w:rsid w:val="00FB570E"/>
    <w:rsid w:val="00FB5794"/>
    <w:rsid w:val="00FB5808"/>
    <w:rsid w:val="00FB5816"/>
    <w:rsid w:val="00FB5855"/>
    <w:rsid w:val="00FB5864"/>
    <w:rsid w:val="00FB58BB"/>
    <w:rsid w:val="00FB5A18"/>
    <w:rsid w:val="00FB5A2E"/>
    <w:rsid w:val="00FB5B2F"/>
    <w:rsid w:val="00FB5BE9"/>
    <w:rsid w:val="00FB5C1C"/>
    <w:rsid w:val="00FB5C3F"/>
    <w:rsid w:val="00FB5CFB"/>
    <w:rsid w:val="00FB5D5B"/>
    <w:rsid w:val="00FB5D75"/>
    <w:rsid w:val="00FB5D8B"/>
    <w:rsid w:val="00FB5E1F"/>
    <w:rsid w:val="00FB5E70"/>
    <w:rsid w:val="00FB5FAB"/>
    <w:rsid w:val="00FB5FFF"/>
    <w:rsid w:val="00FB6026"/>
    <w:rsid w:val="00FB6289"/>
    <w:rsid w:val="00FB635E"/>
    <w:rsid w:val="00FB63E4"/>
    <w:rsid w:val="00FB63F7"/>
    <w:rsid w:val="00FB6424"/>
    <w:rsid w:val="00FB6446"/>
    <w:rsid w:val="00FB6483"/>
    <w:rsid w:val="00FB65CD"/>
    <w:rsid w:val="00FB681D"/>
    <w:rsid w:val="00FB695A"/>
    <w:rsid w:val="00FB69C5"/>
    <w:rsid w:val="00FB69D9"/>
    <w:rsid w:val="00FB69EA"/>
    <w:rsid w:val="00FB6A73"/>
    <w:rsid w:val="00FB6C85"/>
    <w:rsid w:val="00FB6D3C"/>
    <w:rsid w:val="00FB6D3D"/>
    <w:rsid w:val="00FB6D4B"/>
    <w:rsid w:val="00FB6DD9"/>
    <w:rsid w:val="00FB6DDC"/>
    <w:rsid w:val="00FB6DEF"/>
    <w:rsid w:val="00FB6E8D"/>
    <w:rsid w:val="00FB6F1D"/>
    <w:rsid w:val="00FB7012"/>
    <w:rsid w:val="00FB71AA"/>
    <w:rsid w:val="00FB7214"/>
    <w:rsid w:val="00FB7255"/>
    <w:rsid w:val="00FB7322"/>
    <w:rsid w:val="00FB742D"/>
    <w:rsid w:val="00FB76B7"/>
    <w:rsid w:val="00FB778F"/>
    <w:rsid w:val="00FB779E"/>
    <w:rsid w:val="00FB77D8"/>
    <w:rsid w:val="00FB7823"/>
    <w:rsid w:val="00FB78D3"/>
    <w:rsid w:val="00FB78FB"/>
    <w:rsid w:val="00FB7A4A"/>
    <w:rsid w:val="00FB7BB8"/>
    <w:rsid w:val="00FB7C9C"/>
    <w:rsid w:val="00FB7D09"/>
    <w:rsid w:val="00FB7D9D"/>
    <w:rsid w:val="00FB7E06"/>
    <w:rsid w:val="00FB7E0F"/>
    <w:rsid w:val="00FB7E3C"/>
    <w:rsid w:val="00FC0132"/>
    <w:rsid w:val="00FC0153"/>
    <w:rsid w:val="00FC01A5"/>
    <w:rsid w:val="00FC0243"/>
    <w:rsid w:val="00FC0289"/>
    <w:rsid w:val="00FC0330"/>
    <w:rsid w:val="00FC03E2"/>
    <w:rsid w:val="00FC05F6"/>
    <w:rsid w:val="00FC063F"/>
    <w:rsid w:val="00FC0649"/>
    <w:rsid w:val="00FC0754"/>
    <w:rsid w:val="00FC0800"/>
    <w:rsid w:val="00FC08BC"/>
    <w:rsid w:val="00FC08C4"/>
    <w:rsid w:val="00FC0988"/>
    <w:rsid w:val="00FC09BE"/>
    <w:rsid w:val="00FC0A87"/>
    <w:rsid w:val="00FC0A9A"/>
    <w:rsid w:val="00FC0CD6"/>
    <w:rsid w:val="00FC0CE4"/>
    <w:rsid w:val="00FC0EC0"/>
    <w:rsid w:val="00FC0EF8"/>
    <w:rsid w:val="00FC0F3B"/>
    <w:rsid w:val="00FC0F64"/>
    <w:rsid w:val="00FC0FA7"/>
    <w:rsid w:val="00FC0FB9"/>
    <w:rsid w:val="00FC0FE3"/>
    <w:rsid w:val="00FC0FFD"/>
    <w:rsid w:val="00FC1421"/>
    <w:rsid w:val="00FC1503"/>
    <w:rsid w:val="00FC155D"/>
    <w:rsid w:val="00FC1563"/>
    <w:rsid w:val="00FC17B7"/>
    <w:rsid w:val="00FC17CD"/>
    <w:rsid w:val="00FC17F5"/>
    <w:rsid w:val="00FC1BAE"/>
    <w:rsid w:val="00FC1C53"/>
    <w:rsid w:val="00FC1CAA"/>
    <w:rsid w:val="00FC1D21"/>
    <w:rsid w:val="00FC1D32"/>
    <w:rsid w:val="00FC1D8B"/>
    <w:rsid w:val="00FC1F3A"/>
    <w:rsid w:val="00FC200C"/>
    <w:rsid w:val="00FC20F8"/>
    <w:rsid w:val="00FC21F9"/>
    <w:rsid w:val="00FC22C0"/>
    <w:rsid w:val="00FC24C5"/>
    <w:rsid w:val="00FC24FA"/>
    <w:rsid w:val="00FC25C9"/>
    <w:rsid w:val="00FC26D6"/>
    <w:rsid w:val="00FC27A0"/>
    <w:rsid w:val="00FC27DA"/>
    <w:rsid w:val="00FC28FB"/>
    <w:rsid w:val="00FC2917"/>
    <w:rsid w:val="00FC2931"/>
    <w:rsid w:val="00FC296B"/>
    <w:rsid w:val="00FC2A80"/>
    <w:rsid w:val="00FC2B47"/>
    <w:rsid w:val="00FC2B87"/>
    <w:rsid w:val="00FC2BDD"/>
    <w:rsid w:val="00FC2C28"/>
    <w:rsid w:val="00FC2C43"/>
    <w:rsid w:val="00FC2C82"/>
    <w:rsid w:val="00FC2D69"/>
    <w:rsid w:val="00FC2D9E"/>
    <w:rsid w:val="00FC2E8E"/>
    <w:rsid w:val="00FC2F88"/>
    <w:rsid w:val="00FC30E9"/>
    <w:rsid w:val="00FC32A0"/>
    <w:rsid w:val="00FC3403"/>
    <w:rsid w:val="00FC3485"/>
    <w:rsid w:val="00FC3592"/>
    <w:rsid w:val="00FC35FB"/>
    <w:rsid w:val="00FC361D"/>
    <w:rsid w:val="00FC36C1"/>
    <w:rsid w:val="00FC36DF"/>
    <w:rsid w:val="00FC375B"/>
    <w:rsid w:val="00FC393D"/>
    <w:rsid w:val="00FC3962"/>
    <w:rsid w:val="00FC39B6"/>
    <w:rsid w:val="00FC3B1F"/>
    <w:rsid w:val="00FC3B52"/>
    <w:rsid w:val="00FC3E99"/>
    <w:rsid w:val="00FC3F39"/>
    <w:rsid w:val="00FC3F40"/>
    <w:rsid w:val="00FC3FF3"/>
    <w:rsid w:val="00FC40A3"/>
    <w:rsid w:val="00FC410B"/>
    <w:rsid w:val="00FC4180"/>
    <w:rsid w:val="00FC4241"/>
    <w:rsid w:val="00FC42E9"/>
    <w:rsid w:val="00FC43D4"/>
    <w:rsid w:val="00FC43E2"/>
    <w:rsid w:val="00FC49FC"/>
    <w:rsid w:val="00FC4B52"/>
    <w:rsid w:val="00FC4BB2"/>
    <w:rsid w:val="00FC4C03"/>
    <w:rsid w:val="00FC4CEE"/>
    <w:rsid w:val="00FC4CFC"/>
    <w:rsid w:val="00FC4D6A"/>
    <w:rsid w:val="00FC4DA6"/>
    <w:rsid w:val="00FC4E69"/>
    <w:rsid w:val="00FC4F20"/>
    <w:rsid w:val="00FC4F7E"/>
    <w:rsid w:val="00FC4FB8"/>
    <w:rsid w:val="00FC5034"/>
    <w:rsid w:val="00FC505B"/>
    <w:rsid w:val="00FC50D9"/>
    <w:rsid w:val="00FC51AB"/>
    <w:rsid w:val="00FC522A"/>
    <w:rsid w:val="00FC5486"/>
    <w:rsid w:val="00FC5497"/>
    <w:rsid w:val="00FC54B6"/>
    <w:rsid w:val="00FC54BD"/>
    <w:rsid w:val="00FC5571"/>
    <w:rsid w:val="00FC56F2"/>
    <w:rsid w:val="00FC57B7"/>
    <w:rsid w:val="00FC57CC"/>
    <w:rsid w:val="00FC583A"/>
    <w:rsid w:val="00FC5898"/>
    <w:rsid w:val="00FC59A6"/>
    <w:rsid w:val="00FC59C6"/>
    <w:rsid w:val="00FC5B01"/>
    <w:rsid w:val="00FC5C3A"/>
    <w:rsid w:val="00FC5C3D"/>
    <w:rsid w:val="00FC5E16"/>
    <w:rsid w:val="00FC5F31"/>
    <w:rsid w:val="00FC60AE"/>
    <w:rsid w:val="00FC60EC"/>
    <w:rsid w:val="00FC611A"/>
    <w:rsid w:val="00FC61CA"/>
    <w:rsid w:val="00FC61FF"/>
    <w:rsid w:val="00FC631B"/>
    <w:rsid w:val="00FC6351"/>
    <w:rsid w:val="00FC6411"/>
    <w:rsid w:val="00FC641A"/>
    <w:rsid w:val="00FC64B0"/>
    <w:rsid w:val="00FC64F4"/>
    <w:rsid w:val="00FC66C7"/>
    <w:rsid w:val="00FC66DF"/>
    <w:rsid w:val="00FC66E2"/>
    <w:rsid w:val="00FC67A0"/>
    <w:rsid w:val="00FC6975"/>
    <w:rsid w:val="00FC6A38"/>
    <w:rsid w:val="00FC6A48"/>
    <w:rsid w:val="00FC6A91"/>
    <w:rsid w:val="00FC6B61"/>
    <w:rsid w:val="00FC6B6B"/>
    <w:rsid w:val="00FC6B81"/>
    <w:rsid w:val="00FC6B9D"/>
    <w:rsid w:val="00FC6C56"/>
    <w:rsid w:val="00FC6C86"/>
    <w:rsid w:val="00FC6D1F"/>
    <w:rsid w:val="00FC6D53"/>
    <w:rsid w:val="00FC6D64"/>
    <w:rsid w:val="00FC6D76"/>
    <w:rsid w:val="00FC6E0A"/>
    <w:rsid w:val="00FC6E5A"/>
    <w:rsid w:val="00FC6F5D"/>
    <w:rsid w:val="00FC7061"/>
    <w:rsid w:val="00FC70C8"/>
    <w:rsid w:val="00FC70D8"/>
    <w:rsid w:val="00FC7285"/>
    <w:rsid w:val="00FC728D"/>
    <w:rsid w:val="00FC73BD"/>
    <w:rsid w:val="00FC7458"/>
    <w:rsid w:val="00FC746B"/>
    <w:rsid w:val="00FC7480"/>
    <w:rsid w:val="00FC74C4"/>
    <w:rsid w:val="00FC7590"/>
    <w:rsid w:val="00FC76DD"/>
    <w:rsid w:val="00FC775A"/>
    <w:rsid w:val="00FC7793"/>
    <w:rsid w:val="00FC7957"/>
    <w:rsid w:val="00FC7DC7"/>
    <w:rsid w:val="00FC7EE6"/>
    <w:rsid w:val="00FC7F7D"/>
    <w:rsid w:val="00FC7FAB"/>
    <w:rsid w:val="00FC7FF0"/>
    <w:rsid w:val="00FD00E9"/>
    <w:rsid w:val="00FD00EB"/>
    <w:rsid w:val="00FD033F"/>
    <w:rsid w:val="00FD0377"/>
    <w:rsid w:val="00FD03A4"/>
    <w:rsid w:val="00FD0449"/>
    <w:rsid w:val="00FD04FD"/>
    <w:rsid w:val="00FD0624"/>
    <w:rsid w:val="00FD07A9"/>
    <w:rsid w:val="00FD081E"/>
    <w:rsid w:val="00FD0943"/>
    <w:rsid w:val="00FD09E6"/>
    <w:rsid w:val="00FD0A8B"/>
    <w:rsid w:val="00FD0AE2"/>
    <w:rsid w:val="00FD0AF8"/>
    <w:rsid w:val="00FD0C45"/>
    <w:rsid w:val="00FD0C76"/>
    <w:rsid w:val="00FD0CBB"/>
    <w:rsid w:val="00FD0D50"/>
    <w:rsid w:val="00FD0E45"/>
    <w:rsid w:val="00FD0FB0"/>
    <w:rsid w:val="00FD0FF8"/>
    <w:rsid w:val="00FD10D4"/>
    <w:rsid w:val="00FD1261"/>
    <w:rsid w:val="00FD12EF"/>
    <w:rsid w:val="00FD13ED"/>
    <w:rsid w:val="00FD1427"/>
    <w:rsid w:val="00FD149E"/>
    <w:rsid w:val="00FD15F6"/>
    <w:rsid w:val="00FD162D"/>
    <w:rsid w:val="00FD176F"/>
    <w:rsid w:val="00FD177D"/>
    <w:rsid w:val="00FD17B6"/>
    <w:rsid w:val="00FD17C7"/>
    <w:rsid w:val="00FD181F"/>
    <w:rsid w:val="00FD1A47"/>
    <w:rsid w:val="00FD1A77"/>
    <w:rsid w:val="00FD1A78"/>
    <w:rsid w:val="00FD1A83"/>
    <w:rsid w:val="00FD1AA8"/>
    <w:rsid w:val="00FD1AF6"/>
    <w:rsid w:val="00FD1CBC"/>
    <w:rsid w:val="00FD1D26"/>
    <w:rsid w:val="00FD1FBD"/>
    <w:rsid w:val="00FD21B8"/>
    <w:rsid w:val="00FD22B8"/>
    <w:rsid w:val="00FD23CA"/>
    <w:rsid w:val="00FD23D5"/>
    <w:rsid w:val="00FD242F"/>
    <w:rsid w:val="00FD2521"/>
    <w:rsid w:val="00FD25A6"/>
    <w:rsid w:val="00FD26CB"/>
    <w:rsid w:val="00FD26D2"/>
    <w:rsid w:val="00FD26E8"/>
    <w:rsid w:val="00FD285D"/>
    <w:rsid w:val="00FD286E"/>
    <w:rsid w:val="00FD29C5"/>
    <w:rsid w:val="00FD29F6"/>
    <w:rsid w:val="00FD2B7D"/>
    <w:rsid w:val="00FD2BEC"/>
    <w:rsid w:val="00FD2CE3"/>
    <w:rsid w:val="00FD2D9C"/>
    <w:rsid w:val="00FD2E83"/>
    <w:rsid w:val="00FD2F69"/>
    <w:rsid w:val="00FD2FA7"/>
    <w:rsid w:val="00FD2FB4"/>
    <w:rsid w:val="00FD3124"/>
    <w:rsid w:val="00FD3234"/>
    <w:rsid w:val="00FD333A"/>
    <w:rsid w:val="00FD348B"/>
    <w:rsid w:val="00FD359C"/>
    <w:rsid w:val="00FD35EB"/>
    <w:rsid w:val="00FD36C1"/>
    <w:rsid w:val="00FD3716"/>
    <w:rsid w:val="00FD374C"/>
    <w:rsid w:val="00FD37FA"/>
    <w:rsid w:val="00FD3840"/>
    <w:rsid w:val="00FD38CB"/>
    <w:rsid w:val="00FD3AE8"/>
    <w:rsid w:val="00FD3B2A"/>
    <w:rsid w:val="00FD3BA1"/>
    <w:rsid w:val="00FD3C3E"/>
    <w:rsid w:val="00FD3C93"/>
    <w:rsid w:val="00FD3CFB"/>
    <w:rsid w:val="00FD3F1C"/>
    <w:rsid w:val="00FD3FAA"/>
    <w:rsid w:val="00FD408A"/>
    <w:rsid w:val="00FD410D"/>
    <w:rsid w:val="00FD4176"/>
    <w:rsid w:val="00FD41B1"/>
    <w:rsid w:val="00FD41FC"/>
    <w:rsid w:val="00FD4275"/>
    <w:rsid w:val="00FD4582"/>
    <w:rsid w:val="00FD458D"/>
    <w:rsid w:val="00FD46D6"/>
    <w:rsid w:val="00FD475B"/>
    <w:rsid w:val="00FD4888"/>
    <w:rsid w:val="00FD48E7"/>
    <w:rsid w:val="00FD4A2B"/>
    <w:rsid w:val="00FD4B20"/>
    <w:rsid w:val="00FD4C27"/>
    <w:rsid w:val="00FD4C82"/>
    <w:rsid w:val="00FD4CA4"/>
    <w:rsid w:val="00FD4CD1"/>
    <w:rsid w:val="00FD4D37"/>
    <w:rsid w:val="00FD4EFF"/>
    <w:rsid w:val="00FD4F0E"/>
    <w:rsid w:val="00FD4F6C"/>
    <w:rsid w:val="00FD4FCC"/>
    <w:rsid w:val="00FD5039"/>
    <w:rsid w:val="00FD5102"/>
    <w:rsid w:val="00FD51F2"/>
    <w:rsid w:val="00FD52DA"/>
    <w:rsid w:val="00FD5320"/>
    <w:rsid w:val="00FD5322"/>
    <w:rsid w:val="00FD53A9"/>
    <w:rsid w:val="00FD555F"/>
    <w:rsid w:val="00FD558C"/>
    <w:rsid w:val="00FD55CD"/>
    <w:rsid w:val="00FD568F"/>
    <w:rsid w:val="00FD57C9"/>
    <w:rsid w:val="00FD580C"/>
    <w:rsid w:val="00FD590E"/>
    <w:rsid w:val="00FD5991"/>
    <w:rsid w:val="00FD59A3"/>
    <w:rsid w:val="00FD59FB"/>
    <w:rsid w:val="00FD5A8F"/>
    <w:rsid w:val="00FD5BBB"/>
    <w:rsid w:val="00FD5C66"/>
    <w:rsid w:val="00FD5CC0"/>
    <w:rsid w:val="00FD5DC9"/>
    <w:rsid w:val="00FD5E37"/>
    <w:rsid w:val="00FD5E9F"/>
    <w:rsid w:val="00FD5EB0"/>
    <w:rsid w:val="00FD61C5"/>
    <w:rsid w:val="00FD61CA"/>
    <w:rsid w:val="00FD638D"/>
    <w:rsid w:val="00FD6470"/>
    <w:rsid w:val="00FD658A"/>
    <w:rsid w:val="00FD65D4"/>
    <w:rsid w:val="00FD65E7"/>
    <w:rsid w:val="00FD66B4"/>
    <w:rsid w:val="00FD673D"/>
    <w:rsid w:val="00FD6783"/>
    <w:rsid w:val="00FD695B"/>
    <w:rsid w:val="00FD69DE"/>
    <w:rsid w:val="00FD6A38"/>
    <w:rsid w:val="00FD6AF6"/>
    <w:rsid w:val="00FD6B91"/>
    <w:rsid w:val="00FD6B94"/>
    <w:rsid w:val="00FD6CA4"/>
    <w:rsid w:val="00FD6CB5"/>
    <w:rsid w:val="00FD6CD0"/>
    <w:rsid w:val="00FD6E98"/>
    <w:rsid w:val="00FD6EA2"/>
    <w:rsid w:val="00FD6F59"/>
    <w:rsid w:val="00FD700E"/>
    <w:rsid w:val="00FD7082"/>
    <w:rsid w:val="00FD71A8"/>
    <w:rsid w:val="00FD72E8"/>
    <w:rsid w:val="00FD7368"/>
    <w:rsid w:val="00FD754A"/>
    <w:rsid w:val="00FD7659"/>
    <w:rsid w:val="00FD789B"/>
    <w:rsid w:val="00FD7AA2"/>
    <w:rsid w:val="00FD7B5F"/>
    <w:rsid w:val="00FD7BA3"/>
    <w:rsid w:val="00FD7BA5"/>
    <w:rsid w:val="00FD7C88"/>
    <w:rsid w:val="00FD7D24"/>
    <w:rsid w:val="00FD7D6D"/>
    <w:rsid w:val="00FD7D93"/>
    <w:rsid w:val="00FD7E43"/>
    <w:rsid w:val="00FD7EEA"/>
    <w:rsid w:val="00FD7FE1"/>
    <w:rsid w:val="00FE0056"/>
    <w:rsid w:val="00FE00DA"/>
    <w:rsid w:val="00FE02A8"/>
    <w:rsid w:val="00FE0342"/>
    <w:rsid w:val="00FE035F"/>
    <w:rsid w:val="00FE040E"/>
    <w:rsid w:val="00FE0504"/>
    <w:rsid w:val="00FE0532"/>
    <w:rsid w:val="00FE05C3"/>
    <w:rsid w:val="00FE0606"/>
    <w:rsid w:val="00FE0948"/>
    <w:rsid w:val="00FE0A97"/>
    <w:rsid w:val="00FE0A9E"/>
    <w:rsid w:val="00FE0AB3"/>
    <w:rsid w:val="00FE0AEA"/>
    <w:rsid w:val="00FE0B06"/>
    <w:rsid w:val="00FE0C13"/>
    <w:rsid w:val="00FE0DF9"/>
    <w:rsid w:val="00FE0E65"/>
    <w:rsid w:val="00FE0EBE"/>
    <w:rsid w:val="00FE0EDF"/>
    <w:rsid w:val="00FE107D"/>
    <w:rsid w:val="00FE1182"/>
    <w:rsid w:val="00FE11C9"/>
    <w:rsid w:val="00FE11D8"/>
    <w:rsid w:val="00FE1208"/>
    <w:rsid w:val="00FE1287"/>
    <w:rsid w:val="00FE1383"/>
    <w:rsid w:val="00FE13F5"/>
    <w:rsid w:val="00FE15A7"/>
    <w:rsid w:val="00FE167A"/>
    <w:rsid w:val="00FE167D"/>
    <w:rsid w:val="00FE1708"/>
    <w:rsid w:val="00FE1726"/>
    <w:rsid w:val="00FE1892"/>
    <w:rsid w:val="00FE1898"/>
    <w:rsid w:val="00FE1AB9"/>
    <w:rsid w:val="00FE1BE9"/>
    <w:rsid w:val="00FE1CD5"/>
    <w:rsid w:val="00FE1D4E"/>
    <w:rsid w:val="00FE1E23"/>
    <w:rsid w:val="00FE1E37"/>
    <w:rsid w:val="00FE1E43"/>
    <w:rsid w:val="00FE1F25"/>
    <w:rsid w:val="00FE1F42"/>
    <w:rsid w:val="00FE205B"/>
    <w:rsid w:val="00FE2243"/>
    <w:rsid w:val="00FE254E"/>
    <w:rsid w:val="00FE25CA"/>
    <w:rsid w:val="00FE25DE"/>
    <w:rsid w:val="00FE2610"/>
    <w:rsid w:val="00FE261D"/>
    <w:rsid w:val="00FE2672"/>
    <w:rsid w:val="00FE27E6"/>
    <w:rsid w:val="00FE2ACE"/>
    <w:rsid w:val="00FE2B3F"/>
    <w:rsid w:val="00FE2BB7"/>
    <w:rsid w:val="00FE2BDB"/>
    <w:rsid w:val="00FE2C16"/>
    <w:rsid w:val="00FE2C81"/>
    <w:rsid w:val="00FE2D1B"/>
    <w:rsid w:val="00FE2D27"/>
    <w:rsid w:val="00FE2DC3"/>
    <w:rsid w:val="00FE2E44"/>
    <w:rsid w:val="00FE2E67"/>
    <w:rsid w:val="00FE2E7B"/>
    <w:rsid w:val="00FE2E82"/>
    <w:rsid w:val="00FE2F1F"/>
    <w:rsid w:val="00FE30E3"/>
    <w:rsid w:val="00FE33E4"/>
    <w:rsid w:val="00FE3457"/>
    <w:rsid w:val="00FE35AA"/>
    <w:rsid w:val="00FE3658"/>
    <w:rsid w:val="00FE36BB"/>
    <w:rsid w:val="00FE3A32"/>
    <w:rsid w:val="00FE3A7F"/>
    <w:rsid w:val="00FE3A9B"/>
    <w:rsid w:val="00FE3B6B"/>
    <w:rsid w:val="00FE3BF6"/>
    <w:rsid w:val="00FE3C86"/>
    <w:rsid w:val="00FE3D58"/>
    <w:rsid w:val="00FE3EAF"/>
    <w:rsid w:val="00FE3F1C"/>
    <w:rsid w:val="00FE3F3A"/>
    <w:rsid w:val="00FE3FC3"/>
    <w:rsid w:val="00FE4050"/>
    <w:rsid w:val="00FE4128"/>
    <w:rsid w:val="00FE4176"/>
    <w:rsid w:val="00FE425A"/>
    <w:rsid w:val="00FE432A"/>
    <w:rsid w:val="00FE4397"/>
    <w:rsid w:val="00FE457F"/>
    <w:rsid w:val="00FE45A7"/>
    <w:rsid w:val="00FE46B4"/>
    <w:rsid w:val="00FE46F6"/>
    <w:rsid w:val="00FE47BE"/>
    <w:rsid w:val="00FE48C1"/>
    <w:rsid w:val="00FE49D3"/>
    <w:rsid w:val="00FE4B15"/>
    <w:rsid w:val="00FE4B1A"/>
    <w:rsid w:val="00FE4B72"/>
    <w:rsid w:val="00FE4D31"/>
    <w:rsid w:val="00FE4D6F"/>
    <w:rsid w:val="00FE4EA4"/>
    <w:rsid w:val="00FE4FCB"/>
    <w:rsid w:val="00FE51B4"/>
    <w:rsid w:val="00FE5226"/>
    <w:rsid w:val="00FE52A6"/>
    <w:rsid w:val="00FE5452"/>
    <w:rsid w:val="00FE5563"/>
    <w:rsid w:val="00FE55FD"/>
    <w:rsid w:val="00FE5ADC"/>
    <w:rsid w:val="00FE5C68"/>
    <w:rsid w:val="00FE5CFB"/>
    <w:rsid w:val="00FE5DB9"/>
    <w:rsid w:val="00FE5DD5"/>
    <w:rsid w:val="00FE5E4A"/>
    <w:rsid w:val="00FE5E58"/>
    <w:rsid w:val="00FE5F42"/>
    <w:rsid w:val="00FE6142"/>
    <w:rsid w:val="00FE6193"/>
    <w:rsid w:val="00FE6214"/>
    <w:rsid w:val="00FE6262"/>
    <w:rsid w:val="00FE63AF"/>
    <w:rsid w:val="00FE63B7"/>
    <w:rsid w:val="00FE6493"/>
    <w:rsid w:val="00FE6507"/>
    <w:rsid w:val="00FE655A"/>
    <w:rsid w:val="00FE6647"/>
    <w:rsid w:val="00FE68ED"/>
    <w:rsid w:val="00FE6C5B"/>
    <w:rsid w:val="00FE6DCD"/>
    <w:rsid w:val="00FE6DDF"/>
    <w:rsid w:val="00FE6FC8"/>
    <w:rsid w:val="00FE7073"/>
    <w:rsid w:val="00FE7086"/>
    <w:rsid w:val="00FE70F6"/>
    <w:rsid w:val="00FE70F8"/>
    <w:rsid w:val="00FE7175"/>
    <w:rsid w:val="00FE71AD"/>
    <w:rsid w:val="00FE71B4"/>
    <w:rsid w:val="00FE73EB"/>
    <w:rsid w:val="00FE74D2"/>
    <w:rsid w:val="00FE7511"/>
    <w:rsid w:val="00FE7615"/>
    <w:rsid w:val="00FE7747"/>
    <w:rsid w:val="00FE777F"/>
    <w:rsid w:val="00FE78CA"/>
    <w:rsid w:val="00FE7985"/>
    <w:rsid w:val="00FE7C9E"/>
    <w:rsid w:val="00FE7E50"/>
    <w:rsid w:val="00FE7E5C"/>
    <w:rsid w:val="00FE7ED6"/>
    <w:rsid w:val="00FE7F4C"/>
    <w:rsid w:val="00FE7F7F"/>
    <w:rsid w:val="00FF0137"/>
    <w:rsid w:val="00FF01A1"/>
    <w:rsid w:val="00FF0204"/>
    <w:rsid w:val="00FF0239"/>
    <w:rsid w:val="00FF0260"/>
    <w:rsid w:val="00FF02F8"/>
    <w:rsid w:val="00FF0336"/>
    <w:rsid w:val="00FF034E"/>
    <w:rsid w:val="00FF051B"/>
    <w:rsid w:val="00FF0847"/>
    <w:rsid w:val="00FF0889"/>
    <w:rsid w:val="00FF08AF"/>
    <w:rsid w:val="00FF0964"/>
    <w:rsid w:val="00FF098F"/>
    <w:rsid w:val="00FF0A00"/>
    <w:rsid w:val="00FF0AB3"/>
    <w:rsid w:val="00FF0B3F"/>
    <w:rsid w:val="00FF0BFE"/>
    <w:rsid w:val="00FF0C51"/>
    <w:rsid w:val="00FF0C76"/>
    <w:rsid w:val="00FF0D95"/>
    <w:rsid w:val="00FF0DFB"/>
    <w:rsid w:val="00FF0E00"/>
    <w:rsid w:val="00FF0E4E"/>
    <w:rsid w:val="00FF0E93"/>
    <w:rsid w:val="00FF0FD5"/>
    <w:rsid w:val="00FF1014"/>
    <w:rsid w:val="00FF1338"/>
    <w:rsid w:val="00FF1393"/>
    <w:rsid w:val="00FF160B"/>
    <w:rsid w:val="00FF1627"/>
    <w:rsid w:val="00FF16A9"/>
    <w:rsid w:val="00FF187D"/>
    <w:rsid w:val="00FF1881"/>
    <w:rsid w:val="00FF188B"/>
    <w:rsid w:val="00FF190F"/>
    <w:rsid w:val="00FF19B0"/>
    <w:rsid w:val="00FF1A00"/>
    <w:rsid w:val="00FF1A15"/>
    <w:rsid w:val="00FF1A80"/>
    <w:rsid w:val="00FF1B24"/>
    <w:rsid w:val="00FF1B45"/>
    <w:rsid w:val="00FF1B88"/>
    <w:rsid w:val="00FF1BA2"/>
    <w:rsid w:val="00FF1BB6"/>
    <w:rsid w:val="00FF1C3F"/>
    <w:rsid w:val="00FF1C55"/>
    <w:rsid w:val="00FF2152"/>
    <w:rsid w:val="00FF2280"/>
    <w:rsid w:val="00FF234F"/>
    <w:rsid w:val="00FF24D0"/>
    <w:rsid w:val="00FF25AC"/>
    <w:rsid w:val="00FF272B"/>
    <w:rsid w:val="00FF275A"/>
    <w:rsid w:val="00FF285C"/>
    <w:rsid w:val="00FF28A7"/>
    <w:rsid w:val="00FF28C9"/>
    <w:rsid w:val="00FF2911"/>
    <w:rsid w:val="00FF2953"/>
    <w:rsid w:val="00FF2A64"/>
    <w:rsid w:val="00FF2ABB"/>
    <w:rsid w:val="00FF2AC0"/>
    <w:rsid w:val="00FF2BCE"/>
    <w:rsid w:val="00FF2C02"/>
    <w:rsid w:val="00FF2CE2"/>
    <w:rsid w:val="00FF2D8B"/>
    <w:rsid w:val="00FF2D97"/>
    <w:rsid w:val="00FF2DC5"/>
    <w:rsid w:val="00FF2E57"/>
    <w:rsid w:val="00FF2E5C"/>
    <w:rsid w:val="00FF2EC7"/>
    <w:rsid w:val="00FF2F46"/>
    <w:rsid w:val="00FF2FBA"/>
    <w:rsid w:val="00FF31BD"/>
    <w:rsid w:val="00FF3244"/>
    <w:rsid w:val="00FF32E2"/>
    <w:rsid w:val="00FF336F"/>
    <w:rsid w:val="00FF3395"/>
    <w:rsid w:val="00FF3476"/>
    <w:rsid w:val="00FF3695"/>
    <w:rsid w:val="00FF36CC"/>
    <w:rsid w:val="00FF37A1"/>
    <w:rsid w:val="00FF3854"/>
    <w:rsid w:val="00FF3927"/>
    <w:rsid w:val="00FF396C"/>
    <w:rsid w:val="00FF39BA"/>
    <w:rsid w:val="00FF39BF"/>
    <w:rsid w:val="00FF3A1C"/>
    <w:rsid w:val="00FF3A3E"/>
    <w:rsid w:val="00FF3B8C"/>
    <w:rsid w:val="00FF3D09"/>
    <w:rsid w:val="00FF3D6B"/>
    <w:rsid w:val="00FF3D75"/>
    <w:rsid w:val="00FF3D96"/>
    <w:rsid w:val="00FF40A2"/>
    <w:rsid w:val="00FF4182"/>
    <w:rsid w:val="00FF4205"/>
    <w:rsid w:val="00FF4263"/>
    <w:rsid w:val="00FF4568"/>
    <w:rsid w:val="00FF45C4"/>
    <w:rsid w:val="00FF463E"/>
    <w:rsid w:val="00FF478B"/>
    <w:rsid w:val="00FF47DA"/>
    <w:rsid w:val="00FF481E"/>
    <w:rsid w:val="00FF4838"/>
    <w:rsid w:val="00FF4906"/>
    <w:rsid w:val="00FF493F"/>
    <w:rsid w:val="00FF4AEC"/>
    <w:rsid w:val="00FF4B92"/>
    <w:rsid w:val="00FF4BA2"/>
    <w:rsid w:val="00FF4C3D"/>
    <w:rsid w:val="00FF4C9B"/>
    <w:rsid w:val="00FF4CF0"/>
    <w:rsid w:val="00FF4D15"/>
    <w:rsid w:val="00FF4D39"/>
    <w:rsid w:val="00FF4E9E"/>
    <w:rsid w:val="00FF507A"/>
    <w:rsid w:val="00FF5087"/>
    <w:rsid w:val="00FF50C3"/>
    <w:rsid w:val="00FF51C4"/>
    <w:rsid w:val="00FF51CA"/>
    <w:rsid w:val="00FF529F"/>
    <w:rsid w:val="00FF535C"/>
    <w:rsid w:val="00FF53E7"/>
    <w:rsid w:val="00FF53F4"/>
    <w:rsid w:val="00FF543E"/>
    <w:rsid w:val="00FF549F"/>
    <w:rsid w:val="00FF5573"/>
    <w:rsid w:val="00FF5617"/>
    <w:rsid w:val="00FF56AB"/>
    <w:rsid w:val="00FF57D8"/>
    <w:rsid w:val="00FF57DD"/>
    <w:rsid w:val="00FF5876"/>
    <w:rsid w:val="00FF5A3D"/>
    <w:rsid w:val="00FF5A4E"/>
    <w:rsid w:val="00FF5C9F"/>
    <w:rsid w:val="00FF5D4B"/>
    <w:rsid w:val="00FF5DF2"/>
    <w:rsid w:val="00FF5E47"/>
    <w:rsid w:val="00FF5F23"/>
    <w:rsid w:val="00FF5F6B"/>
    <w:rsid w:val="00FF5FEE"/>
    <w:rsid w:val="00FF601E"/>
    <w:rsid w:val="00FF60DD"/>
    <w:rsid w:val="00FF612D"/>
    <w:rsid w:val="00FF614F"/>
    <w:rsid w:val="00FF659E"/>
    <w:rsid w:val="00FF66AE"/>
    <w:rsid w:val="00FF67E0"/>
    <w:rsid w:val="00FF6818"/>
    <w:rsid w:val="00FF6840"/>
    <w:rsid w:val="00FF6860"/>
    <w:rsid w:val="00FF691A"/>
    <w:rsid w:val="00FF692D"/>
    <w:rsid w:val="00FF6A07"/>
    <w:rsid w:val="00FF6A9F"/>
    <w:rsid w:val="00FF6B70"/>
    <w:rsid w:val="00FF6C23"/>
    <w:rsid w:val="00FF6C25"/>
    <w:rsid w:val="00FF6E25"/>
    <w:rsid w:val="00FF6E3E"/>
    <w:rsid w:val="00FF6EBF"/>
    <w:rsid w:val="00FF704C"/>
    <w:rsid w:val="00FF7071"/>
    <w:rsid w:val="00FF70B2"/>
    <w:rsid w:val="00FF714C"/>
    <w:rsid w:val="00FF71C0"/>
    <w:rsid w:val="00FF7221"/>
    <w:rsid w:val="00FF7273"/>
    <w:rsid w:val="00FF72C0"/>
    <w:rsid w:val="00FF7394"/>
    <w:rsid w:val="00FF739D"/>
    <w:rsid w:val="00FF75C0"/>
    <w:rsid w:val="00FF764A"/>
    <w:rsid w:val="00FF7687"/>
    <w:rsid w:val="00FF7693"/>
    <w:rsid w:val="00FF769B"/>
    <w:rsid w:val="00FF76FF"/>
    <w:rsid w:val="00FF7734"/>
    <w:rsid w:val="00FF776F"/>
    <w:rsid w:val="00FF777D"/>
    <w:rsid w:val="00FF7819"/>
    <w:rsid w:val="00FF7939"/>
    <w:rsid w:val="00FF79B8"/>
    <w:rsid w:val="00FF7CEB"/>
    <w:rsid w:val="00FF7CF4"/>
    <w:rsid w:val="00FF7D32"/>
    <w:rsid w:val="00FF7DA2"/>
    <w:rsid w:val="00FF7E0A"/>
    <w:rsid w:val="00FF7EE2"/>
    <w:rsid w:val="00FF7FD8"/>
    <w:rsid w:val="013992C5"/>
    <w:rsid w:val="0152ACCF"/>
    <w:rsid w:val="01561ED7"/>
    <w:rsid w:val="015DCC3F"/>
    <w:rsid w:val="018290AF"/>
    <w:rsid w:val="018F61FB"/>
    <w:rsid w:val="01A65926"/>
    <w:rsid w:val="01CC2A35"/>
    <w:rsid w:val="01D5F78A"/>
    <w:rsid w:val="01ED9BE7"/>
    <w:rsid w:val="02195B88"/>
    <w:rsid w:val="021A9DF8"/>
    <w:rsid w:val="0240817B"/>
    <w:rsid w:val="0259E340"/>
    <w:rsid w:val="025BEB74"/>
    <w:rsid w:val="0264C17E"/>
    <w:rsid w:val="02949427"/>
    <w:rsid w:val="029A4DBE"/>
    <w:rsid w:val="02A2AEC0"/>
    <w:rsid w:val="02ACD5B8"/>
    <w:rsid w:val="02ADA24C"/>
    <w:rsid w:val="02B48717"/>
    <w:rsid w:val="02B89F87"/>
    <w:rsid w:val="02BDA78A"/>
    <w:rsid w:val="02D60317"/>
    <w:rsid w:val="02E7F882"/>
    <w:rsid w:val="032ACC94"/>
    <w:rsid w:val="0360771E"/>
    <w:rsid w:val="036998FE"/>
    <w:rsid w:val="037350E0"/>
    <w:rsid w:val="03857394"/>
    <w:rsid w:val="03AB01B4"/>
    <w:rsid w:val="03BB544F"/>
    <w:rsid w:val="03D059F2"/>
    <w:rsid w:val="03E50A0A"/>
    <w:rsid w:val="03EE737E"/>
    <w:rsid w:val="0408E26C"/>
    <w:rsid w:val="0417660E"/>
    <w:rsid w:val="043DC051"/>
    <w:rsid w:val="046D2259"/>
    <w:rsid w:val="047BD343"/>
    <w:rsid w:val="04ADC603"/>
    <w:rsid w:val="04B8B9F6"/>
    <w:rsid w:val="04CD436F"/>
    <w:rsid w:val="04E15D5D"/>
    <w:rsid w:val="04EAF718"/>
    <w:rsid w:val="04FC432D"/>
    <w:rsid w:val="05052C78"/>
    <w:rsid w:val="050771CD"/>
    <w:rsid w:val="05244966"/>
    <w:rsid w:val="052D6B2C"/>
    <w:rsid w:val="0542F742"/>
    <w:rsid w:val="0561D1D4"/>
    <w:rsid w:val="05667E4F"/>
    <w:rsid w:val="056E1939"/>
    <w:rsid w:val="0573D060"/>
    <w:rsid w:val="05772EE1"/>
    <w:rsid w:val="059A421D"/>
    <w:rsid w:val="05C5F906"/>
    <w:rsid w:val="05CE00E9"/>
    <w:rsid w:val="05CFD010"/>
    <w:rsid w:val="05DD099D"/>
    <w:rsid w:val="05E35BCE"/>
    <w:rsid w:val="060614DB"/>
    <w:rsid w:val="06179B53"/>
    <w:rsid w:val="0622B77D"/>
    <w:rsid w:val="063F3E88"/>
    <w:rsid w:val="065BD9A8"/>
    <w:rsid w:val="065C634B"/>
    <w:rsid w:val="067C748D"/>
    <w:rsid w:val="0693F894"/>
    <w:rsid w:val="06BC9629"/>
    <w:rsid w:val="06BCD992"/>
    <w:rsid w:val="06CAD919"/>
    <w:rsid w:val="06DD7559"/>
    <w:rsid w:val="06E55C4D"/>
    <w:rsid w:val="06EF2DA6"/>
    <w:rsid w:val="07027B78"/>
    <w:rsid w:val="071A5327"/>
    <w:rsid w:val="0723CC02"/>
    <w:rsid w:val="075B3E8E"/>
    <w:rsid w:val="0771E992"/>
    <w:rsid w:val="077FC369"/>
    <w:rsid w:val="07835B9A"/>
    <w:rsid w:val="0786EF4A"/>
    <w:rsid w:val="079537B8"/>
    <w:rsid w:val="079E794E"/>
    <w:rsid w:val="07A151E7"/>
    <w:rsid w:val="07ABAC35"/>
    <w:rsid w:val="07D9645E"/>
    <w:rsid w:val="07E10C0F"/>
    <w:rsid w:val="07EE94C9"/>
    <w:rsid w:val="081ECC83"/>
    <w:rsid w:val="0847D6B0"/>
    <w:rsid w:val="0869C224"/>
    <w:rsid w:val="08730F72"/>
    <w:rsid w:val="087F31C3"/>
    <w:rsid w:val="08906379"/>
    <w:rsid w:val="0898A9E2"/>
    <w:rsid w:val="08EF9B7E"/>
    <w:rsid w:val="0911A499"/>
    <w:rsid w:val="093D07A7"/>
    <w:rsid w:val="0941D054"/>
    <w:rsid w:val="0960F9F8"/>
    <w:rsid w:val="0963C5F7"/>
    <w:rsid w:val="09656E2B"/>
    <w:rsid w:val="096AE085"/>
    <w:rsid w:val="099E59C5"/>
    <w:rsid w:val="09A8511D"/>
    <w:rsid w:val="09ACFDD0"/>
    <w:rsid w:val="09BE583E"/>
    <w:rsid w:val="09C55C44"/>
    <w:rsid w:val="09E04FB8"/>
    <w:rsid w:val="09F54503"/>
    <w:rsid w:val="09FB61AE"/>
    <w:rsid w:val="0A1C3958"/>
    <w:rsid w:val="0A24A95B"/>
    <w:rsid w:val="0A3A6254"/>
    <w:rsid w:val="0A3AC726"/>
    <w:rsid w:val="0A608EA0"/>
    <w:rsid w:val="0AADD73D"/>
    <w:rsid w:val="0ABF5646"/>
    <w:rsid w:val="0ACD5B5A"/>
    <w:rsid w:val="0ADD320D"/>
    <w:rsid w:val="0AE0AC7F"/>
    <w:rsid w:val="0AF9E526"/>
    <w:rsid w:val="0B1DDF06"/>
    <w:rsid w:val="0B2DAC86"/>
    <w:rsid w:val="0B3176BA"/>
    <w:rsid w:val="0B3FA2FB"/>
    <w:rsid w:val="0B4D006D"/>
    <w:rsid w:val="0B600586"/>
    <w:rsid w:val="0B6C4A97"/>
    <w:rsid w:val="0B87E797"/>
    <w:rsid w:val="0B8B5302"/>
    <w:rsid w:val="0B923F93"/>
    <w:rsid w:val="0BA4A25A"/>
    <w:rsid w:val="0BA58C1C"/>
    <w:rsid w:val="0BD23A7B"/>
    <w:rsid w:val="0BF10600"/>
    <w:rsid w:val="0BF453FF"/>
    <w:rsid w:val="0C0FF431"/>
    <w:rsid w:val="0C1083BB"/>
    <w:rsid w:val="0C709C10"/>
    <w:rsid w:val="0C9C993C"/>
    <w:rsid w:val="0CB841E6"/>
    <w:rsid w:val="0CBC93B5"/>
    <w:rsid w:val="0CD3F5AA"/>
    <w:rsid w:val="0D1D1A7E"/>
    <w:rsid w:val="0D2CC05C"/>
    <w:rsid w:val="0D5AF8B7"/>
    <w:rsid w:val="0D656885"/>
    <w:rsid w:val="0D7270BC"/>
    <w:rsid w:val="0D943444"/>
    <w:rsid w:val="0D953A6D"/>
    <w:rsid w:val="0DA41753"/>
    <w:rsid w:val="0DB5C8DF"/>
    <w:rsid w:val="0DD2AF1F"/>
    <w:rsid w:val="0DD60FE9"/>
    <w:rsid w:val="0E09E84B"/>
    <w:rsid w:val="0E0F8DF2"/>
    <w:rsid w:val="0E293B85"/>
    <w:rsid w:val="0E2D9EFF"/>
    <w:rsid w:val="0E2EB88B"/>
    <w:rsid w:val="0E43D894"/>
    <w:rsid w:val="0E53B2FA"/>
    <w:rsid w:val="0E59F7FD"/>
    <w:rsid w:val="0E7A2BD4"/>
    <w:rsid w:val="0E7BBD98"/>
    <w:rsid w:val="0ED4F1A0"/>
    <w:rsid w:val="0F05DD80"/>
    <w:rsid w:val="0F19037F"/>
    <w:rsid w:val="0F41EEAC"/>
    <w:rsid w:val="0F58DF9E"/>
    <w:rsid w:val="0F7183D8"/>
    <w:rsid w:val="0FAEBBC1"/>
    <w:rsid w:val="0FC29D8F"/>
    <w:rsid w:val="100A9EDC"/>
    <w:rsid w:val="100CBE82"/>
    <w:rsid w:val="1019AA15"/>
    <w:rsid w:val="101B4981"/>
    <w:rsid w:val="1024870D"/>
    <w:rsid w:val="1033AAA7"/>
    <w:rsid w:val="10504BD5"/>
    <w:rsid w:val="109F9109"/>
    <w:rsid w:val="10ADC5C0"/>
    <w:rsid w:val="10B08588"/>
    <w:rsid w:val="10B223BB"/>
    <w:rsid w:val="10C6B0C9"/>
    <w:rsid w:val="10E19DBB"/>
    <w:rsid w:val="110E1BCB"/>
    <w:rsid w:val="11132BE0"/>
    <w:rsid w:val="1122BE8F"/>
    <w:rsid w:val="11242877"/>
    <w:rsid w:val="1166B880"/>
    <w:rsid w:val="11C1551E"/>
    <w:rsid w:val="11CCEB92"/>
    <w:rsid w:val="11D450F1"/>
    <w:rsid w:val="11E42E6D"/>
    <w:rsid w:val="11ED30D4"/>
    <w:rsid w:val="1204171E"/>
    <w:rsid w:val="122345C0"/>
    <w:rsid w:val="122ED9EB"/>
    <w:rsid w:val="123E730A"/>
    <w:rsid w:val="1264BA48"/>
    <w:rsid w:val="12686FB0"/>
    <w:rsid w:val="127C3FE7"/>
    <w:rsid w:val="1292E9BD"/>
    <w:rsid w:val="12A647F3"/>
    <w:rsid w:val="12AF874D"/>
    <w:rsid w:val="12B75DC5"/>
    <w:rsid w:val="12B887D1"/>
    <w:rsid w:val="12C938C3"/>
    <w:rsid w:val="12D7C0F6"/>
    <w:rsid w:val="133D673B"/>
    <w:rsid w:val="13478E8A"/>
    <w:rsid w:val="1355FB13"/>
    <w:rsid w:val="136EA119"/>
    <w:rsid w:val="13815800"/>
    <w:rsid w:val="13D26943"/>
    <w:rsid w:val="13ED2ABB"/>
    <w:rsid w:val="140A6BDE"/>
    <w:rsid w:val="1434A0BA"/>
    <w:rsid w:val="1479B829"/>
    <w:rsid w:val="148B2E1E"/>
    <w:rsid w:val="149B69DF"/>
    <w:rsid w:val="14EA508E"/>
    <w:rsid w:val="1558F99E"/>
    <w:rsid w:val="15622ECA"/>
    <w:rsid w:val="156E5242"/>
    <w:rsid w:val="15A30593"/>
    <w:rsid w:val="15B39510"/>
    <w:rsid w:val="15E3C5EB"/>
    <w:rsid w:val="160074BD"/>
    <w:rsid w:val="160D3CAE"/>
    <w:rsid w:val="1617CE2E"/>
    <w:rsid w:val="162831FA"/>
    <w:rsid w:val="1634976B"/>
    <w:rsid w:val="163DE5D2"/>
    <w:rsid w:val="1640E2C4"/>
    <w:rsid w:val="1645F1A7"/>
    <w:rsid w:val="1646E328"/>
    <w:rsid w:val="165D4402"/>
    <w:rsid w:val="167980B6"/>
    <w:rsid w:val="16A9E36C"/>
    <w:rsid w:val="16AF0453"/>
    <w:rsid w:val="16FCFD17"/>
    <w:rsid w:val="17004CB8"/>
    <w:rsid w:val="17509D3B"/>
    <w:rsid w:val="177C118F"/>
    <w:rsid w:val="179BE281"/>
    <w:rsid w:val="17B558EA"/>
    <w:rsid w:val="17D4091E"/>
    <w:rsid w:val="17DBF5EE"/>
    <w:rsid w:val="17DE33D1"/>
    <w:rsid w:val="17F76A70"/>
    <w:rsid w:val="17FAA7FA"/>
    <w:rsid w:val="17FEE1B5"/>
    <w:rsid w:val="1808278F"/>
    <w:rsid w:val="181C8E21"/>
    <w:rsid w:val="1820ADF4"/>
    <w:rsid w:val="182E786E"/>
    <w:rsid w:val="183D6241"/>
    <w:rsid w:val="18572B70"/>
    <w:rsid w:val="186A7143"/>
    <w:rsid w:val="18846069"/>
    <w:rsid w:val="18889CCB"/>
    <w:rsid w:val="188ED14B"/>
    <w:rsid w:val="18982E79"/>
    <w:rsid w:val="189E836B"/>
    <w:rsid w:val="18A1CFB7"/>
    <w:rsid w:val="18AC2484"/>
    <w:rsid w:val="18BE368D"/>
    <w:rsid w:val="18E8EE02"/>
    <w:rsid w:val="18E970FD"/>
    <w:rsid w:val="18F8FD9C"/>
    <w:rsid w:val="191836A9"/>
    <w:rsid w:val="19222989"/>
    <w:rsid w:val="192B8ED0"/>
    <w:rsid w:val="192D877B"/>
    <w:rsid w:val="192FB3C3"/>
    <w:rsid w:val="194C11C0"/>
    <w:rsid w:val="19A9A4B0"/>
    <w:rsid w:val="19C3AEFF"/>
    <w:rsid w:val="19E6CC42"/>
    <w:rsid w:val="1A2D8E50"/>
    <w:rsid w:val="1A2EC121"/>
    <w:rsid w:val="1A4367A8"/>
    <w:rsid w:val="1A68D445"/>
    <w:rsid w:val="1A834211"/>
    <w:rsid w:val="1A8869C8"/>
    <w:rsid w:val="1A9E766B"/>
    <w:rsid w:val="1AA6D80B"/>
    <w:rsid w:val="1AB54538"/>
    <w:rsid w:val="1AB74AD0"/>
    <w:rsid w:val="1AB76051"/>
    <w:rsid w:val="1AC129FD"/>
    <w:rsid w:val="1ADAD373"/>
    <w:rsid w:val="1AF1F82A"/>
    <w:rsid w:val="1AF5FE4C"/>
    <w:rsid w:val="1AFE0182"/>
    <w:rsid w:val="1B07036B"/>
    <w:rsid w:val="1B3927E1"/>
    <w:rsid w:val="1B5A9250"/>
    <w:rsid w:val="1B5C3098"/>
    <w:rsid w:val="1B7465F6"/>
    <w:rsid w:val="1BB7D559"/>
    <w:rsid w:val="1BCBC1A5"/>
    <w:rsid w:val="1BDD7DBB"/>
    <w:rsid w:val="1BEE9CC7"/>
    <w:rsid w:val="1C021DE1"/>
    <w:rsid w:val="1C606D8E"/>
    <w:rsid w:val="1C633138"/>
    <w:rsid w:val="1C66A45A"/>
    <w:rsid w:val="1C6909B3"/>
    <w:rsid w:val="1C6E7DB4"/>
    <w:rsid w:val="1C7CF987"/>
    <w:rsid w:val="1C8A29AD"/>
    <w:rsid w:val="1CAF6711"/>
    <w:rsid w:val="1CE89181"/>
    <w:rsid w:val="1D27094D"/>
    <w:rsid w:val="1D5E934E"/>
    <w:rsid w:val="1D61ABD3"/>
    <w:rsid w:val="1DC716D8"/>
    <w:rsid w:val="1DEA0635"/>
    <w:rsid w:val="1E0FE5D4"/>
    <w:rsid w:val="1E1335A2"/>
    <w:rsid w:val="1E235043"/>
    <w:rsid w:val="1E2CA0EF"/>
    <w:rsid w:val="1E4EBBDE"/>
    <w:rsid w:val="1E814628"/>
    <w:rsid w:val="1EA3C823"/>
    <w:rsid w:val="1EC5D65F"/>
    <w:rsid w:val="1ED223B8"/>
    <w:rsid w:val="1ED5DE84"/>
    <w:rsid w:val="1EDAA04A"/>
    <w:rsid w:val="1EFAC084"/>
    <w:rsid w:val="1F142175"/>
    <w:rsid w:val="1F3CC328"/>
    <w:rsid w:val="1F3FD051"/>
    <w:rsid w:val="1F445A32"/>
    <w:rsid w:val="1F448414"/>
    <w:rsid w:val="1F863BCE"/>
    <w:rsid w:val="1F8AA752"/>
    <w:rsid w:val="1F972803"/>
    <w:rsid w:val="1F9B94B2"/>
    <w:rsid w:val="1FA98B2F"/>
    <w:rsid w:val="1FAF920E"/>
    <w:rsid w:val="1FCB8E22"/>
    <w:rsid w:val="1FE64BA3"/>
    <w:rsid w:val="1FF70F68"/>
    <w:rsid w:val="20251D32"/>
    <w:rsid w:val="203659A4"/>
    <w:rsid w:val="209917C9"/>
    <w:rsid w:val="20A2D38E"/>
    <w:rsid w:val="20A31366"/>
    <w:rsid w:val="20C80237"/>
    <w:rsid w:val="20DC8FDA"/>
    <w:rsid w:val="20ECA318"/>
    <w:rsid w:val="20F8BE64"/>
    <w:rsid w:val="2117882B"/>
    <w:rsid w:val="212261E2"/>
    <w:rsid w:val="214A9EF5"/>
    <w:rsid w:val="2167C20C"/>
    <w:rsid w:val="217D7D76"/>
    <w:rsid w:val="21DEC4BF"/>
    <w:rsid w:val="21E5C4A1"/>
    <w:rsid w:val="21E61151"/>
    <w:rsid w:val="222F5A7A"/>
    <w:rsid w:val="2240BFC8"/>
    <w:rsid w:val="224EA0A0"/>
    <w:rsid w:val="226142E2"/>
    <w:rsid w:val="226F6CFA"/>
    <w:rsid w:val="22701920"/>
    <w:rsid w:val="228FDD8C"/>
    <w:rsid w:val="229E4481"/>
    <w:rsid w:val="22A6ACA4"/>
    <w:rsid w:val="2309359E"/>
    <w:rsid w:val="23135500"/>
    <w:rsid w:val="231F8CE1"/>
    <w:rsid w:val="2352029A"/>
    <w:rsid w:val="2352445A"/>
    <w:rsid w:val="23765AFE"/>
    <w:rsid w:val="2388E644"/>
    <w:rsid w:val="23983DDC"/>
    <w:rsid w:val="23B7697C"/>
    <w:rsid w:val="23F24935"/>
    <w:rsid w:val="23FE65EE"/>
    <w:rsid w:val="2403650A"/>
    <w:rsid w:val="242205D0"/>
    <w:rsid w:val="242732DE"/>
    <w:rsid w:val="243A4F86"/>
    <w:rsid w:val="244FCD9B"/>
    <w:rsid w:val="246199AF"/>
    <w:rsid w:val="24632F64"/>
    <w:rsid w:val="246B8BE2"/>
    <w:rsid w:val="2474573A"/>
    <w:rsid w:val="248496C3"/>
    <w:rsid w:val="24900F69"/>
    <w:rsid w:val="24B480B6"/>
    <w:rsid w:val="24C5EA82"/>
    <w:rsid w:val="24EC1F05"/>
    <w:rsid w:val="24FB9C93"/>
    <w:rsid w:val="2501E166"/>
    <w:rsid w:val="25675EFD"/>
    <w:rsid w:val="2574F5E8"/>
    <w:rsid w:val="257A0C2C"/>
    <w:rsid w:val="25A2BB5D"/>
    <w:rsid w:val="25AC236C"/>
    <w:rsid w:val="25BB8509"/>
    <w:rsid w:val="25C99FCC"/>
    <w:rsid w:val="25CF8E78"/>
    <w:rsid w:val="25DDCC38"/>
    <w:rsid w:val="25F47EF2"/>
    <w:rsid w:val="25F72C22"/>
    <w:rsid w:val="26234DFA"/>
    <w:rsid w:val="263A25DF"/>
    <w:rsid w:val="2653C46E"/>
    <w:rsid w:val="26614AD8"/>
    <w:rsid w:val="2662A324"/>
    <w:rsid w:val="266DD857"/>
    <w:rsid w:val="26736C25"/>
    <w:rsid w:val="2698298F"/>
    <w:rsid w:val="26A74705"/>
    <w:rsid w:val="26AC59BE"/>
    <w:rsid w:val="26ADCFE6"/>
    <w:rsid w:val="26C068B9"/>
    <w:rsid w:val="26C501EE"/>
    <w:rsid w:val="26C8CD87"/>
    <w:rsid w:val="26D7D5B4"/>
    <w:rsid w:val="26E6A19B"/>
    <w:rsid w:val="26FDDA4B"/>
    <w:rsid w:val="27163B86"/>
    <w:rsid w:val="272FA477"/>
    <w:rsid w:val="274E72DF"/>
    <w:rsid w:val="2751D8E3"/>
    <w:rsid w:val="278D3091"/>
    <w:rsid w:val="27A0EF8B"/>
    <w:rsid w:val="27FA65EE"/>
    <w:rsid w:val="27FF90ED"/>
    <w:rsid w:val="2849FB73"/>
    <w:rsid w:val="28CD6D82"/>
    <w:rsid w:val="28D7A1F2"/>
    <w:rsid w:val="28DC3A2F"/>
    <w:rsid w:val="28EF5AEA"/>
    <w:rsid w:val="28F46632"/>
    <w:rsid w:val="28FBB303"/>
    <w:rsid w:val="28FEE2AE"/>
    <w:rsid w:val="29000EAD"/>
    <w:rsid w:val="29104F87"/>
    <w:rsid w:val="292F0477"/>
    <w:rsid w:val="2938C54A"/>
    <w:rsid w:val="29689297"/>
    <w:rsid w:val="29776781"/>
    <w:rsid w:val="29859F76"/>
    <w:rsid w:val="29E5F870"/>
    <w:rsid w:val="2A01B1F3"/>
    <w:rsid w:val="2A01CA88"/>
    <w:rsid w:val="2A2ADC15"/>
    <w:rsid w:val="2A30236C"/>
    <w:rsid w:val="2A3CAE80"/>
    <w:rsid w:val="2A485450"/>
    <w:rsid w:val="2A4C660A"/>
    <w:rsid w:val="2A5EED60"/>
    <w:rsid w:val="2A6B57AD"/>
    <w:rsid w:val="2A7FDA64"/>
    <w:rsid w:val="2A95D02B"/>
    <w:rsid w:val="2AAC20B7"/>
    <w:rsid w:val="2AD2DC90"/>
    <w:rsid w:val="2AE9B168"/>
    <w:rsid w:val="2B10BF8F"/>
    <w:rsid w:val="2B1DCBE3"/>
    <w:rsid w:val="2B2281D5"/>
    <w:rsid w:val="2B358661"/>
    <w:rsid w:val="2B387163"/>
    <w:rsid w:val="2B7778B4"/>
    <w:rsid w:val="2B7BA217"/>
    <w:rsid w:val="2BB6B1EB"/>
    <w:rsid w:val="2BFA527C"/>
    <w:rsid w:val="2C322C70"/>
    <w:rsid w:val="2C4F1455"/>
    <w:rsid w:val="2C71FDBB"/>
    <w:rsid w:val="2C84D5B1"/>
    <w:rsid w:val="2C86A639"/>
    <w:rsid w:val="2CA53A45"/>
    <w:rsid w:val="2CAEC56C"/>
    <w:rsid w:val="2CBFEC16"/>
    <w:rsid w:val="2CC644D8"/>
    <w:rsid w:val="2CD30210"/>
    <w:rsid w:val="2CE119B8"/>
    <w:rsid w:val="2CE61A2B"/>
    <w:rsid w:val="2CED7A44"/>
    <w:rsid w:val="2D2FEFCB"/>
    <w:rsid w:val="2D3F6B14"/>
    <w:rsid w:val="2D4E8B20"/>
    <w:rsid w:val="2D5A3C27"/>
    <w:rsid w:val="2D819981"/>
    <w:rsid w:val="2D8BD29C"/>
    <w:rsid w:val="2DA35092"/>
    <w:rsid w:val="2DB58FF9"/>
    <w:rsid w:val="2DDE804F"/>
    <w:rsid w:val="2DE59BFA"/>
    <w:rsid w:val="2DEAEE7E"/>
    <w:rsid w:val="2E019181"/>
    <w:rsid w:val="2E29B1A0"/>
    <w:rsid w:val="2E4C0D14"/>
    <w:rsid w:val="2EB10EBE"/>
    <w:rsid w:val="2EBE7D99"/>
    <w:rsid w:val="2EC4DD72"/>
    <w:rsid w:val="2ECA351D"/>
    <w:rsid w:val="2EF54E7C"/>
    <w:rsid w:val="2F43B37F"/>
    <w:rsid w:val="2F6905D2"/>
    <w:rsid w:val="2F7B61D3"/>
    <w:rsid w:val="2F95D48F"/>
    <w:rsid w:val="2FEE9105"/>
    <w:rsid w:val="300164DA"/>
    <w:rsid w:val="3007EFE5"/>
    <w:rsid w:val="306A0681"/>
    <w:rsid w:val="30BA2DCF"/>
    <w:rsid w:val="30BE329F"/>
    <w:rsid w:val="30CBBF93"/>
    <w:rsid w:val="30D1190F"/>
    <w:rsid w:val="30DA5B73"/>
    <w:rsid w:val="30F26EF4"/>
    <w:rsid w:val="310F86D0"/>
    <w:rsid w:val="311A76A6"/>
    <w:rsid w:val="3133AA24"/>
    <w:rsid w:val="314551B2"/>
    <w:rsid w:val="314D090A"/>
    <w:rsid w:val="3193F9BC"/>
    <w:rsid w:val="31C20EE3"/>
    <w:rsid w:val="31C7E1A4"/>
    <w:rsid w:val="31CE26BD"/>
    <w:rsid w:val="31E6BA38"/>
    <w:rsid w:val="3249A493"/>
    <w:rsid w:val="3258A20C"/>
    <w:rsid w:val="3274914E"/>
    <w:rsid w:val="32861FF9"/>
    <w:rsid w:val="32AC566B"/>
    <w:rsid w:val="32BB7B22"/>
    <w:rsid w:val="32CC8CA3"/>
    <w:rsid w:val="32CE7D12"/>
    <w:rsid w:val="32ED8BC4"/>
    <w:rsid w:val="32EF607D"/>
    <w:rsid w:val="331B682C"/>
    <w:rsid w:val="332E5111"/>
    <w:rsid w:val="33351F9A"/>
    <w:rsid w:val="334FF564"/>
    <w:rsid w:val="3372505A"/>
    <w:rsid w:val="337B8FFE"/>
    <w:rsid w:val="3393211B"/>
    <w:rsid w:val="33AB7AB4"/>
    <w:rsid w:val="33B6BFBB"/>
    <w:rsid w:val="33C0B9A7"/>
    <w:rsid w:val="33D341D8"/>
    <w:rsid w:val="33FA8887"/>
    <w:rsid w:val="3433A6E5"/>
    <w:rsid w:val="34677EC1"/>
    <w:rsid w:val="3472A02B"/>
    <w:rsid w:val="3476AC65"/>
    <w:rsid w:val="349B8526"/>
    <w:rsid w:val="34A74173"/>
    <w:rsid w:val="34DDD57E"/>
    <w:rsid w:val="34E3C395"/>
    <w:rsid w:val="34F5D640"/>
    <w:rsid w:val="34FEE7CF"/>
    <w:rsid w:val="3556A0E8"/>
    <w:rsid w:val="35589A8D"/>
    <w:rsid w:val="356CC1BE"/>
    <w:rsid w:val="356F6BBE"/>
    <w:rsid w:val="3581DBAA"/>
    <w:rsid w:val="35905611"/>
    <w:rsid w:val="359207FB"/>
    <w:rsid w:val="359CC113"/>
    <w:rsid w:val="35A30603"/>
    <w:rsid w:val="35AE0A54"/>
    <w:rsid w:val="35B0038D"/>
    <w:rsid w:val="35E2B022"/>
    <w:rsid w:val="35FE6FC3"/>
    <w:rsid w:val="360AA956"/>
    <w:rsid w:val="364CD41C"/>
    <w:rsid w:val="36518A24"/>
    <w:rsid w:val="3664FA2D"/>
    <w:rsid w:val="366762BB"/>
    <w:rsid w:val="366DAC88"/>
    <w:rsid w:val="367EFFA5"/>
    <w:rsid w:val="3695F384"/>
    <w:rsid w:val="36A1437D"/>
    <w:rsid w:val="36ADAE5A"/>
    <w:rsid w:val="36BA39F0"/>
    <w:rsid w:val="36D51720"/>
    <w:rsid w:val="36DC7ABF"/>
    <w:rsid w:val="36ED00B6"/>
    <w:rsid w:val="370092EC"/>
    <w:rsid w:val="37251730"/>
    <w:rsid w:val="372C1E73"/>
    <w:rsid w:val="373A3375"/>
    <w:rsid w:val="37687C4A"/>
    <w:rsid w:val="377110DC"/>
    <w:rsid w:val="3777B7E2"/>
    <w:rsid w:val="377A7551"/>
    <w:rsid w:val="37811405"/>
    <w:rsid w:val="379CE7C0"/>
    <w:rsid w:val="37B6DA0B"/>
    <w:rsid w:val="37C6B6BB"/>
    <w:rsid w:val="37D69BA4"/>
    <w:rsid w:val="3837B4FF"/>
    <w:rsid w:val="387F63FA"/>
    <w:rsid w:val="388EDBD3"/>
    <w:rsid w:val="38AF7FFA"/>
    <w:rsid w:val="38B730CE"/>
    <w:rsid w:val="38F8AB49"/>
    <w:rsid w:val="390CE13D"/>
    <w:rsid w:val="392DA426"/>
    <w:rsid w:val="39561677"/>
    <w:rsid w:val="39674CD2"/>
    <w:rsid w:val="396CBE59"/>
    <w:rsid w:val="3978289C"/>
    <w:rsid w:val="397F4978"/>
    <w:rsid w:val="39942776"/>
    <w:rsid w:val="39980738"/>
    <w:rsid w:val="399984DA"/>
    <w:rsid w:val="39D70955"/>
    <w:rsid w:val="39F0BB15"/>
    <w:rsid w:val="39FA29EE"/>
    <w:rsid w:val="3A00118B"/>
    <w:rsid w:val="3A019A41"/>
    <w:rsid w:val="3A394C8D"/>
    <w:rsid w:val="3A410742"/>
    <w:rsid w:val="3A481629"/>
    <w:rsid w:val="3A5C1387"/>
    <w:rsid w:val="3A5EB22F"/>
    <w:rsid w:val="3A6C9E5D"/>
    <w:rsid w:val="3AAA50C6"/>
    <w:rsid w:val="3AAE13E3"/>
    <w:rsid w:val="3AC21E63"/>
    <w:rsid w:val="3ACCEF1D"/>
    <w:rsid w:val="3AE0CE1E"/>
    <w:rsid w:val="3B02EEDE"/>
    <w:rsid w:val="3B0B04AE"/>
    <w:rsid w:val="3B1CEC1C"/>
    <w:rsid w:val="3B31176B"/>
    <w:rsid w:val="3B342D1C"/>
    <w:rsid w:val="3B71A516"/>
    <w:rsid w:val="3B84D6ED"/>
    <w:rsid w:val="3B897EBC"/>
    <w:rsid w:val="3B8C2D5A"/>
    <w:rsid w:val="3BB023B0"/>
    <w:rsid w:val="3BBEAF1E"/>
    <w:rsid w:val="3BE15DFF"/>
    <w:rsid w:val="3BE65BF5"/>
    <w:rsid w:val="3BF297FE"/>
    <w:rsid w:val="3C01B7C8"/>
    <w:rsid w:val="3C03425A"/>
    <w:rsid w:val="3C25226A"/>
    <w:rsid w:val="3C3200A8"/>
    <w:rsid w:val="3C495FF1"/>
    <w:rsid w:val="3C6380DE"/>
    <w:rsid w:val="3C683C6F"/>
    <w:rsid w:val="3C6AF8F3"/>
    <w:rsid w:val="3C7DE4AF"/>
    <w:rsid w:val="3C8E55E5"/>
    <w:rsid w:val="3C991726"/>
    <w:rsid w:val="3C9EBF3F"/>
    <w:rsid w:val="3CB9CD7D"/>
    <w:rsid w:val="3CF98F67"/>
    <w:rsid w:val="3D060C25"/>
    <w:rsid w:val="3D08D3E9"/>
    <w:rsid w:val="3D32EB15"/>
    <w:rsid w:val="3D5AE2D7"/>
    <w:rsid w:val="3D6E120C"/>
    <w:rsid w:val="3D79411C"/>
    <w:rsid w:val="3D7B7E51"/>
    <w:rsid w:val="3D84E0EF"/>
    <w:rsid w:val="3D8F1720"/>
    <w:rsid w:val="3DA2181C"/>
    <w:rsid w:val="3DB4015C"/>
    <w:rsid w:val="3DBB4CD2"/>
    <w:rsid w:val="3DCDD109"/>
    <w:rsid w:val="3E1520C0"/>
    <w:rsid w:val="3E15A7EE"/>
    <w:rsid w:val="3E308517"/>
    <w:rsid w:val="3E329D8B"/>
    <w:rsid w:val="3E666A8A"/>
    <w:rsid w:val="3E700799"/>
    <w:rsid w:val="3E798BA7"/>
    <w:rsid w:val="3E7AACED"/>
    <w:rsid w:val="3EB2FB68"/>
    <w:rsid w:val="3EE295C3"/>
    <w:rsid w:val="3EE3F543"/>
    <w:rsid w:val="3EE76E41"/>
    <w:rsid w:val="3EED0326"/>
    <w:rsid w:val="3EF93A55"/>
    <w:rsid w:val="3F05AC9C"/>
    <w:rsid w:val="3F0F171E"/>
    <w:rsid w:val="3F531A07"/>
    <w:rsid w:val="3F6A24A9"/>
    <w:rsid w:val="3F71455B"/>
    <w:rsid w:val="3F72CB46"/>
    <w:rsid w:val="3F74AFE3"/>
    <w:rsid w:val="3F78B92E"/>
    <w:rsid w:val="3F7ADCDD"/>
    <w:rsid w:val="3FA17A94"/>
    <w:rsid w:val="3FC639A9"/>
    <w:rsid w:val="3FEB3ED7"/>
    <w:rsid w:val="3FF75843"/>
    <w:rsid w:val="400E7C1E"/>
    <w:rsid w:val="4061C638"/>
    <w:rsid w:val="40644F9F"/>
    <w:rsid w:val="408FCACC"/>
    <w:rsid w:val="40D05199"/>
    <w:rsid w:val="410AE5CB"/>
    <w:rsid w:val="412DBEF3"/>
    <w:rsid w:val="4141F0B4"/>
    <w:rsid w:val="415D30F1"/>
    <w:rsid w:val="4163580B"/>
    <w:rsid w:val="41819B45"/>
    <w:rsid w:val="41C67F53"/>
    <w:rsid w:val="41F508C2"/>
    <w:rsid w:val="42060F3B"/>
    <w:rsid w:val="428A0FB4"/>
    <w:rsid w:val="42AB128E"/>
    <w:rsid w:val="42B8F8C1"/>
    <w:rsid w:val="42CAFF79"/>
    <w:rsid w:val="42DA10CD"/>
    <w:rsid w:val="43122AC7"/>
    <w:rsid w:val="431608BB"/>
    <w:rsid w:val="432792F0"/>
    <w:rsid w:val="4339E7DE"/>
    <w:rsid w:val="434E82D2"/>
    <w:rsid w:val="4361E0E9"/>
    <w:rsid w:val="43AC3982"/>
    <w:rsid w:val="43F92AB3"/>
    <w:rsid w:val="440A4AE9"/>
    <w:rsid w:val="441BB531"/>
    <w:rsid w:val="442C8516"/>
    <w:rsid w:val="4443137E"/>
    <w:rsid w:val="4459DC21"/>
    <w:rsid w:val="445E34F1"/>
    <w:rsid w:val="446695A5"/>
    <w:rsid w:val="447FDB19"/>
    <w:rsid w:val="4483A8A6"/>
    <w:rsid w:val="448456E8"/>
    <w:rsid w:val="44A234BD"/>
    <w:rsid w:val="44A8C36E"/>
    <w:rsid w:val="44A9BA52"/>
    <w:rsid w:val="44AB6A56"/>
    <w:rsid w:val="44B2AA0D"/>
    <w:rsid w:val="44BA151B"/>
    <w:rsid w:val="44D595C2"/>
    <w:rsid w:val="44D77AFE"/>
    <w:rsid w:val="44ED9923"/>
    <w:rsid w:val="44F33416"/>
    <w:rsid w:val="44FAC96D"/>
    <w:rsid w:val="45099937"/>
    <w:rsid w:val="452DEC74"/>
    <w:rsid w:val="4534E61F"/>
    <w:rsid w:val="45CA4360"/>
    <w:rsid w:val="45E6671B"/>
    <w:rsid w:val="4609DF63"/>
    <w:rsid w:val="4612FF73"/>
    <w:rsid w:val="464A644D"/>
    <w:rsid w:val="4651C3AE"/>
    <w:rsid w:val="4678AA3B"/>
    <w:rsid w:val="46A3E6E1"/>
    <w:rsid w:val="46BEF69C"/>
    <w:rsid w:val="46C4122E"/>
    <w:rsid w:val="46E720FD"/>
    <w:rsid w:val="47427FFC"/>
    <w:rsid w:val="475FEFEF"/>
    <w:rsid w:val="4777BF47"/>
    <w:rsid w:val="477E9F8E"/>
    <w:rsid w:val="4795054B"/>
    <w:rsid w:val="47CBA923"/>
    <w:rsid w:val="47DBE34C"/>
    <w:rsid w:val="47E1F23A"/>
    <w:rsid w:val="482E3C3D"/>
    <w:rsid w:val="4836FFC1"/>
    <w:rsid w:val="48550C3F"/>
    <w:rsid w:val="485A0331"/>
    <w:rsid w:val="485A5F45"/>
    <w:rsid w:val="485E35B9"/>
    <w:rsid w:val="48687642"/>
    <w:rsid w:val="487D004E"/>
    <w:rsid w:val="48C2AB18"/>
    <w:rsid w:val="48C372A4"/>
    <w:rsid w:val="48C5D4D8"/>
    <w:rsid w:val="4913ADC2"/>
    <w:rsid w:val="49685051"/>
    <w:rsid w:val="496E27E7"/>
    <w:rsid w:val="4974E68E"/>
    <w:rsid w:val="497E1728"/>
    <w:rsid w:val="49A26B23"/>
    <w:rsid w:val="49C2583C"/>
    <w:rsid w:val="49C38988"/>
    <w:rsid w:val="49DEA19E"/>
    <w:rsid w:val="49E039C7"/>
    <w:rsid w:val="4A0F8480"/>
    <w:rsid w:val="4A358808"/>
    <w:rsid w:val="4A560326"/>
    <w:rsid w:val="4A79C9CD"/>
    <w:rsid w:val="4A8F8CE7"/>
    <w:rsid w:val="4AB1DF9A"/>
    <w:rsid w:val="4AD8CA0B"/>
    <w:rsid w:val="4B253E49"/>
    <w:rsid w:val="4B316730"/>
    <w:rsid w:val="4B64B6E2"/>
    <w:rsid w:val="4B674B18"/>
    <w:rsid w:val="4B9482D8"/>
    <w:rsid w:val="4BACDC37"/>
    <w:rsid w:val="4BB3E14E"/>
    <w:rsid w:val="4BC8B968"/>
    <w:rsid w:val="4BE605F4"/>
    <w:rsid w:val="4C000769"/>
    <w:rsid w:val="4C136600"/>
    <w:rsid w:val="4C26599D"/>
    <w:rsid w:val="4C29F94F"/>
    <w:rsid w:val="4C479B5C"/>
    <w:rsid w:val="4C4F4A4C"/>
    <w:rsid w:val="4C643072"/>
    <w:rsid w:val="4C6BBA76"/>
    <w:rsid w:val="4CA0DC1F"/>
    <w:rsid w:val="4CBBCF9B"/>
    <w:rsid w:val="4CF594AF"/>
    <w:rsid w:val="4D49848F"/>
    <w:rsid w:val="4D66D747"/>
    <w:rsid w:val="4D776A2F"/>
    <w:rsid w:val="4D78664E"/>
    <w:rsid w:val="4D79B6DC"/>
    <w:rsid w:val="4D7A3181"/>
    <w:rsid w:val="4D9B07AB"/>
    <w:rsid w:val="4DA43658"/>
    <w:rsid w:val="4DAE253C"/>
    <w:rsid w:val="4DC3F1A4"/>
    <w:rsid w:val="4DD05468"/>
    <w:rsid w:val="4DE9C7EB"/>
    <w:rsid w:val="4DEEED58"/>
    <w:rsid w:val="4DFDCCD1"/>
    <w:rsid w:val="4E0B3DCF"/>
    <w:rsid w:val="4E0DF9DB"/>
    <w:rsid w:val="4E2ACF99"/>
    <w:rsid w:val="4E5E381D"/>
    <w:rsid w:val="4E626638"/>
    <w:rsid w:val="4E7F0ED3"/>
    <w:rsid w:val="4EA2D851"/>
    <w:rsid w:val="4EC8752D"/>
    <w:rsid w:val="4ED110C0"/>
    <w:rsid w:val="4ED17533"/>
    <w:rsid w:val="4EDBE3BB"/>
    <w:rsid w:val="4EFD8122"/>
    <w:rsid w:val="4F1057B6"/>
    <w:rsid w:val="4F16E821"/>
    <w:rsid w:val="4F2DF3E1"/>
    <w:rsid w:val="4F38CE53"/>
    <w:rsid w:val="4F4BC81C"/>
    <w:rsid w:val="4F4DC7D0"/>
    <w:rsid w:val="4F51BF0D"/>
    <w:rsid w:val="4F57FD49"/>
    <w:rsid w:val="4FB3EF52"/>
    <w:rsid w:val="4FCD3EDD"/>
    <w:rsid w:val="4FED01C4"/>
    <w:rsid w:val="504D440F"/>
    <w:rsid w:val="50541185"/>
    <w:rsid w:val="50655A3B"/>
    <w:rsid w:val="506D5ACE"/>
    <w:rsid w:val="50863007"/>
    <w:rsid w:val="509A5E8B"/>
    <w:rsid w:val="50A0BFFA"/>
    <w:rsid w:val="50B20ADA"/>
    <w:rsid w:val="50B57D5B"/>
    <w:rsid w:val="50DAF88F"/>
    <w:rsid w:val="50FB2550"/>
    <w:rsid w:val="50FF05C3"/>
    <w:rsid w:val="5100F917"/>
    <w:rsid w:val="510D9F5B"/>
    <w:rsid w:val="51267A5C"/>
    <w:rsid w:val="513129C0"/>
    <w:rsid w:val="51394C61"/>
    <w:rsid w:val="516691CB"/>
    <w:rsid w:val="517C795C"/>
    <w:rsid w:val="51B18E81"/>
    <w:rsid w:val="51B9C55E"/>
    <w:rsid w:val="51BFEC59"/>
    <w:rsid w:val="51CF7736"/>
    <w:rsid w:val="51DE6982"/>
    <w:rsid w:val="521F0D87"/>
    <w:rsid w:val="5242BBBB"/>
    <w:rsid w:val="52592366"/>
    <w:rsid w:val="52B2BE08"/>
    <w:rsid w:val="52D040D6"/>
    <w:rsid w:val="5313D3B8"/>
    <w:rsid w:val="5386E23B"/>
    <w:rsid w:val="538B8C2D"/>
    <w:rsid w:val="53A24989"/>
    <w:rsid w:val="53AC3F8B"/>
    <w:rsid w:val="53DB9DD9"/>
    <w:rsid w:val="53E2B33E"/>
    <w:rsid w:val="53E84507"/>
    <w:rsid w:val="53FCD31B"/>
    <w:rsid w:val="5401EFED"/>
    <w:rsid w:val="54022879"/>
    <w:rsid w:val="540259B2"/>
    <w:rsid w:val="54082046"/>
    <w:rsid w:val="5435660C"/>
    <w:rsid w:val="54415A81"/>
    <w:rsid w:val="546A7761"/>
    <w:rsid w:val="54776CE8"/>
    <w:rsid w:val="54ADC648"/>
    <w:rsid w:val="54BB41B0"/>
    <w:rsid w:val="54C37B6F"/>
    <w:rsid w:val="54D3C500"/>
    <w:rsid w:val="54D843C9"/>
    <w:rsid w:val="54F920B2"/>
    <w:rsid w:val="551F5DDC"/>
    <w:rsid w:val="55377CC9"/>
    <w:rsid w:val="5551947E"/>
    <w:rsid w:val="555C9A32"/>
    <w:rsid w:val="555FE7F5"/>
    <w:rsid w:val="559D34F0"/>
    <w:rsid w:val="559F4987"/>
    <w:rsid w:val="55A56CC9"/>
    <w:rsid w:val="55ACA870"/>
    <w:rsid w:val="55C73ECD"/>
    <w:rsid w:val="55ED2462"/>
    <w:rsid w:val="55ED303A"/>
    <w:rsid w:val="5616D9F3"/>
    <w:rsid w:val="561ECE70"/>
    <w:rsid w:val="56338292"/>
    <w:rsid w:val="5640E7BB"/>
    <w:rsid w:val="56492CD9"/>
    <w:rsid w:val="5656598E"/>
    <w:rsid w:val="5661571C"/>
    <w:rsid w:val="566AD125"/>
    <w:rsid w:val="56723BF7"/>
    <w:rsid w:val="56748437"/>
    <w:rsid w:val="5697FBDE"/>
    <w:rsid w:val="569CBBF4"/>
    <w:rsid w:val="56A86D67"/>
    <w:rsid w:val="56B445B9"/>
    <w:rsid w:val="574A6F05"/>
    <w:rsid w:val="576E2937"/>
    <w:rsid w:val="57D27BB3"/>
    <w:rsid w:val="57FD21AD"/>
    <w:rsid w:val="5819CD15"/>
    <w:rsid w:val="584AF935"/>
    <w:rsid w:val="585A8CAA"/>
    <w:rsid w:val="58A83879"/>
    <w:rsid w:val="58B2622B"/>
    <w:rsid w:val="58D74C0F"/>
    <w:rsid w:val="58D9C0AC"/>
    <w:rsid w:val="58FA1EE4"/>
    <w:rsid w:val="58FDE4D5"/>
    <w:rsid w:val="5909185E"/>
    <w:rsid w:val="59154440"/>
    <w:rsid w:val="591C96E1"/>
    <w:rsid w:val="591F5968"/>
    <w:rsid w:val="5924C524"/>
    <w:rsid w:val="5932EEDF"/>
    <w:rsid w:val="5946FA4F"/>
    <w:rsid w:val="595D1FDE"/>
    <w:rsid w:val="596B02F3"/>
    <w:rsid w:val="59740E05"/>
    <w:rsid w:val="5984B506"/>
    <w:rsid w:val="59989D63"/>
    <w:rsid w:val="59A19402"/>
    <w:rsid w:val="59CCB024"/>
    <w:rsid w:val="59E6EEE3"/>
    <w:rsid w:val="59E92A91"/>
    <w:rsid w:val="5A01476B"/>
    <w:rsid w:val="5A10A667"/>
    <w:rsid w:val="5A657456"/>
    <w:rsid w:val="5A72CC78"/>
    <w:rsid w:val="5AAB6553"/>
    <w:rsid w:val="5AE0CCA8"/>
    <w:rsid w:val="5B062EAC"/>
    <w:rsid w:val="5B3F7636"/>
    <w:rsid w:val="5B4FCF8F"/>
    <w:rsid w:val="5B55B0F3"/>
    <w:rsid w:val="5B597E8F"/>
    <w:rsid w:val="5B5DC897"/>
    <w:rsid w:val="5B80D8E8"/>
    <w:rsid w:val="5B9C3973"/>
    <w:rsid w:val="5BA202EB"/>
    <w:rsid w:val="5C00DED2"/>
    <w:rsid w:val="5C209A94"/>
    <w:rsid w:val="5C23D8F7"/>
    <w:rsid w:val="5C2EDFF6"/>
    <w:rsid w:val="5C3CEBCF"/>
    <w:rsid w:val="5C4AF22F"/>
    <w:rsid w:val="5C564AC8"/>
    <w:rsid w:val="5C8DE685"/>
    <w:rsid w:val="5C9F1083"/>
    <w:rsid w:val="5CA29240"/>
    <w:rsid w:val="5CA5A386"/>
    <w:rsid w:val="5CAC19CF"/>
    <w:rsid w:val="5CBE11B4"/>
    <w:rsid w:val="5CCA74F6"/>
    <w:rsid w:val="5CCE442C"/>
    <w:rsid w:val="5CF16C1D"/>
    <w:rsid w:val="5D02829D"/>
    <w:rsid w:val="5D03435A"/>
    <w:rsid w:val="5D0EF817"/>
    <w:rsid w:val="5D1C3B98"/>
    <w:rsid w:val="5D22DF4A"/>
    <w:rsid w:val="5D2DC481"/>
    <w:rsid w:val="5D2ED239"/>
    <w:rsid w:val="5D392A84"/>
    <w:rsid w:val="5D619D0D"/>
    <w:rsid w:val="5D7F744E"/>
    <w:rsid w:val="5D8A9F7B"/>
    <w:rsid w:val="5DA47E0C"/>
    <w:rsid w:val="5DAC3243"/>
    <w:rsid w:val="5DB82D9B"/>
    <w:rsid w:val="5DDDCF4C"/>
    <w:rsid w:val="5DF2CA8B"/>
    <w:rsid w:val="5E2145E5"/>
    <w:rsid w:val="5E224487"/>
    <w:rsid w:val="5E3E4D7E"/>
    <w:rsid w:val="5E43DA28"/>
    <w:rsid w:val="5E44F233"/>
    <w:rsid w:val="5E6C6456"/>
    <w:rsid w:val="5E86DA9B"/>
    <w:rsid w:val="5E88D997"/>
    <w:rsid w:val="5E8AE174"/>
    <w:rsid w:val="5E94EA83"/>
    <w:rsid w:val="5E94F797"/>
    <w:rsid w:val="5EDEE520"/>
    <w:rsid w:val="5EE35568"/>
    <w:rsid w:val="5EF81DE5"/>
    <w:rsid w:val="5F0D919B"/>
    <w:rsid w:val="5F1426C6"/>
    <w:rsid w:val="5F1F9394"/>
    <w:rsid w:val="5F34BFE2"/>
    <w:rsid w:val="5F3EF544"/>
    <w:rsid w:val="5F6EA4FF"/>
    <w:rsid w:val="5FCB2DD2"/>
    <w:rsid w:val="5FCFB6D2"/>
    <w:rsid w:val="5FD2C5D0"/>
    <w:rsid w:val="60086D33"/>
    <w:rsid w:val="600BECDB"/>
    <w:rsid w:val="6026B1D5"/>
    <w:rsid w:val="60470CA7"/>
    <w:rsid w:val="6049FD70"/>
    <w:rsid w:val="60679396"/>
    <w:rsid w:val="606A7CFB"/>
    <w:rsid w:val="606B7FDB"/>
    <w:rsid w:val="606F15D4"/>
    <w:rsid w:val="60A19BA0"/>
    <w:rsid w:val="60A1D33C"/>
    <w:rsid w:val="60DE170C"/>
    <w:rsid w:val="60E2135E"/>
    <w:rsid w:val="61038212"/>
    <w:rsid w:val="6138D661"/>
    <w:rsid w:val="613C7E59"/>
    <w:rsid w:val="614039AB"/>
    <w:rsid w:val="615294FB"/>
    <w:rsid w:val="6154950A"/>
    <w:rsid w:val="61606006"/>
    <w:rsid w:val="61634BC0"/>
    <w:rsid w:val="617AB6B2"/>
    <w:rsid w:val="61A36044"/>
    <w:rsid w:val="61DAC926"/>
    <w:rsid w:val="61EEFEAE"/>
    <w:rsid w:val="61F35B15"/>
    <w:rsid w:val="6216337E"/>
    <w:rsid w:val="622CB51B"/>
    <w:rsid w:val="622D7EF4"/>
    <w:rsid w:val="62357CAE"/>
    <w:rsid w:val="624F34CD"/>
    <w:rsid w:val="625B4069"/>
    <w:rsid w:val="62874084"/>
    <w:rsid w:val="628D45E2"/>
    <w:rsid w:val="62A92D41"/>
    <w:rsid w:val="62E52F91"/>
    <w:rsid w:val="62FD11B8"/>
    <w:rsid w:val="630C00C7"/>
    <w:rsid w:val="6316796A"/>
    <w:rsid w:val="63174B4B"/>
    <w:rsid w:val="63360510"/>
    <w:rsid w:val="63B11C39"/>
    <w:rsid w:val="63CBCE62"/>
    <w:rsid w:val="63CD681E"/>
    <w:rsid w:val="63ED682A"/>
    <w:rsid w:val="63F549EE"/>
    <w:rsid w:val="6403144D"/>
    <w:rsid w:val="641D5514"/>
    <w:rsid w:val="6436AF8A"/>
    <w:rsid w:val="6437D90B"/>
    <w:rsid w:val="6465DE3C"/>
    <w:rsid w:val="64683C03"/>
    <w:rsid w:val="647ADA85"/>
    <w:rsid w:val="6494D2F3"/>
    <w:rsid w:val="64B10A3A"/>
    <w:rsid w:val="64BFEA13"/>
    <w:rsid w:val="64C58403"/>
    <w:rsid w:val="64EFF35B"/>
    <w:rsid w:val="65002D06"/>
    <w:rsid w:val="65025C5E"/>
    <w:rsid w:val="6530372D"/>
    <w:rsid w:val="654156BE"/>
    <w:rsid w:val="654B0C9A"/>
    <w:rsid w:val="6555C801"/>
    <w:rsid w:val="6562BD60"/>
    <w:rsid w:val="6569387F"/>
    <w:rsid w:val="6579B8BE"/>
    <w:rsid w:val="657B513F"/>
    <w:rsid w:val="658A40BF"/>
    <w:rsid w:val="65904412"/>
    <w:rsid w:val="659C48B4"/>
    <w:rsid w:val="65B84D83"/>
    <w:rsid w:val="65CCD008"/>
    <w:rsid w:val="65DB6A16"/>
    <w:rsid w:val="661868E7"/>
    <w:rsid w:val="66340D1E"/>
    <w:rsid w:val="665372A1"/>
    <w:rsid w:val="668051A8"/>
    <w:rsid w:val="66A34FD3"/>
    <w:rsid w:val="66DC7452"/>
    <w:rsid w:val="66E5D225"/>
    <w:rsid w:val="66E71173"/>
    <w:rsid w:val="66F14AAD"/>
    <w:rsid w:val="6721B248"/>
    <w:rsid w:val="674AD874"/>
    <w:rsid w:val="674F9944"/>
    <w:rsid w:val="67560F64"/>
    <w:rsid w:val="6757F495"/>
    <w:rsid w:val="675D43C7"/>
    <w:rsid w:val="676122C4"/>
    <w:rsid w:val="6767FD60"/>
    <w:rsid w:val="6779A5E2"/>
    <w:rsid w:val="679D1A3E"/>
    <w:rsid w:val="679ED7D0"/>
    <w:rsid w:val="67A2D122"/>
    <w:rsid w:val="67F6CAE6"/>
    <w:rsid w:val="680CCB86"/>
    <w:rsid w:val="6824F272"/>
    <w:rsid w:val="68350EC9"/>
    <w:rsid w:val="68398338"/>
    <w:rsid w:val="683F64F3"/>
    <w:rsid w:val="6855FDF5"/>
    <w:rsid w:val="68844136"/>
    <w:rsid w:val="688711B8"/>
    <w:rsid w:val="6895C9CC"/>
    <w:rsid w:val="68B4CB5D"/>
    <w:rsid w:val="68E165BE"/>
    <w:rsid w:val="68F6D2D3"/>
    <w:rsid w:val="68FE803D"/>
    <w:rsid w:val="68FFB610"/>
    <w:rsid w:val="690ADCD8"/>
    <w:rsid w:val="691CF0DF"/>
    <w:rsid w:val="6947BCFE"/>
    <w:rsid w:val="694D5A3C"/>
    <w:rsid w:val="6950275B"/>
    <w:rsid w:val="69580667"/>
    <w:rsid w:val="69904B59"/>
    <w:rsid w:val="69B95EA2"/>
    <w:rsid w:val="6A099B50"/>
    <w:rsid w:val="6A276CD4"/>
    <w:rsid w:val="6A50A1A8"/>
    <w:rsid w:val="6A52597E"/>
    <w:rsid w:val="6A5F5221"/>
    <w:rsid w:val="6AA8A967"/>
    <w:rsid w:val="6AAC3CB4"/>
    <w:rsid w:val="6AC07FF9"/>
    <w:rsid w:val="6AC8A563"/>
    <w:rsid w:val="6ACAE351"/>
    <w:rsid w:val="6AD67892"/>
    <w:rsid w:val="6AD7E30F"/>
    <w:rsid w:val="6ADB1BE2"/>
    <w:rsid w:val="6AE0D505"/>
    <w:rsid w:val="6AF14EE7"/>
    <w:rsid w:val="6AFBE634"/>
    <w:rsid w:val="6B013FB5"/>
    <w:rsid w:val="6B023774"/>
    <w:rsid w:val="6B281017"/>
    <w:rsid w:val="6B45C1F6"/>
    <w:rsid w:val="6B77586E"/>
    <w:rsid w:val="6B89E8AA"/>
    <w:rsid w:val="6B958593"/>
    <w:rsid w:val="6B977148"/>
    <w:rsid w:val="6BD634AC"/>
    <w:rsid w:val="6BE32DD1"/>
    <w:rsid w:val="6BEF064F"/>
    <w:rsid w:val="6BFD7598"/>
    <w:rsid w:val="6C51454B"/>
    <w:rsid w:val="6C578CFF"/>
    <w:rsid w:val="6C62C3D9"/>
    <w:rsid w:val="6C6ABBA4"/>
    <w:rsid w:val="6C6F5CBA"/>
    <w:rsid w:val="6C73940D"/>
    <w:rsid w:val="6C7B1735"/>
    <w:rsid w:val="6CA7D30E"/>
    <w:rsid w:val="6CC11D67"/>
    <w:rsid w:val="6CE22786"/>
    <w:rsid w:val="6CE4D1E9"/>
    <w:rsid w:val="6D00E6FA"/>
    <w:rsid w:val="6D1550F7"/>
    <w:rsid w:val="6D31A611"/>
    <w:rsid w:val="6D40DE52"/>
    <w:rsid w:val="6D57B5BC"/>
    <w:rsid w:val="6D61F374"/>
    <w:rsid w:val="6D68F307"/>
    <w:rsid w:val="6DA55C4D"/>
    <w:rsid w:val="6DD1CB02"/>
    <w:rsid w:val="6DE4850F"/>
    <w:rsid w:val="6E0B2744"/>
    <w:rsid w:val="6E20A771"/>
    <w:rsid w:val="6E34187E"/>
    <w:rsid w:val="6E47420A"/>
    <w:rsid w:val="6E4F3646"/>
    <w:rsid w:val="6E643E69"/>
    <w:rsid w:val="6E6C7761"/>
    <w:rsid w:val="6E785E10"/>
    <w:rsid w:val="6E7FD279"/>
    <w:rsid w:val="6E92BFD0"/>
    <w:rsid w:val="6EA80E01"/>
    <w:rsid w:val="6EBB0F40"/>
    <w:rsid w:val="6EDA3EEE"/>
    <w:rsid w:val="6EF0192F"/>
    <w:rsid w:val="6EFAAAD3"/>
    <w:rsid w:val="6F27B3DB"/>
    <w:rsid w:val="6F2B7FCA"/>
    <w:rsid w:val="6F402A13"/>
    <w:rsid w:val="6F5A8F4C"/>
    <w:rsid w:val="6F85B87A"/>
    <w:rsid w:val="6FD69DB5"/>
    <w:rsid w:val="6FE0AF9D"/>
    <w:rsid w:val="6FFE1B41"/>
    <w:rsid w:val="704A2FDC"/>
    <w:rsid w:val="704B4EFB"/>
    <w:rsid w:val="704C86CB"/>
    <w:rsid w:val="7050461D"/>
    <w:rsid w:val="705A84FA"/>
    <w:rsid w:val="706FB2FD"/>
    <w:rsid w:val="7084C508"/>
    <w:rsid w:val="709440F2"/>
    <w:rsid w:val="70949FC6"/>
    <w:rsid w:val="70B2DB4F"/>
    <w:rsid w:val="70BCA411"/>
    <w:rsid w:val="70F65FAD"/>
    <w:rsid w:val="710C62B9"/>
    <w:rsid w:val="715F8F5E"/>
    <w:rsid w:val="71659AF6"/>
    <w:rsid w:val="71672669"/>
    <w:rsid w:val="716FB38B"/>
    <w:rsid w:val="7173E203"/>
    <w:rsid w:val="71818F29"/>
    <w:rsid w:val="7195AD49"/>
    <w:rsid w:val="71A4D069"/>
    <w:rsid w:val="71A62BBB"/>
    <w:rsid w:val="71E173CF"/>
    <w:rsid w:val="7202C9D7"/>
    <w:rsid w:val="72133B99"/>
    <w:rsid w:val="7215C1BA"/>
    <w:rsid w:val="72513BA9"/>
    <w:rsid w:val="72802C29"/>
    <w:rsid w:val="7287B62B"/>
    <w:rsid w:val="72AF7445"/>
    <w:rsid w:val="72B17F66"/>
    <w:rsid w:val="72BB9A29"/>
    <w:rsid w:val="72BC2C84"/>
    <w:rsid w:val="7330EBDC"/>
    <w:rsid w:val="73345759"/>
    <w:rsid w:val="7352D0BF"/>
    <w:rsid w:val="735E4480"/>
    <w:rsid w:val="7389E029"/>
    <w:rsid w:val="738CFB63"/>
    <w:rsid w:val="7392C9CE"/>
    <w:rsid w:val="73996246"/>
    <w:rsid w:val="73A5C80D"/>
    <w:rsid w:val="73AEE3A1"/>
    <w:rsid w:val="73CAF7AF"/>
    <w:rsid w:val="73E26237"/>
    <w:rsid w:val="73E5F0C9"/>
    <w:rsid w:val="7439A84C"/>
    <w:rsid w:val="7473FE2B"/>
    <w:rsid w:val="747C0557"/>
    <w:rsid w:val="7488CC4F"/>
    <w:rsid w:val="74A2607F"/>
    <w:rsid w:val="74C6AA81"/>
    <w:rsid w:val="74D74EDB"/>
    <w:rsid w:val="74DA23CC"/>
    <w:rsid w:val="74F76986"/>
    <w:rsid w:val="74FFB29B"/>
    <w:rsid w:val="753628A0"/>
    <w:rsid w:val="7536D367"/>
    <w:rsid w:val="753BE38F"/>
    <w:rsid w:val="75433EA1"/>
    <w:rsid w:val="75506AE9"/>
    <w:rsid w:val="758AC155"/>
    <w:rsid w:val="760590C0"/>
    <w:rsid w:val="760AED7F"/>
    <w:rsid w:val="76561A6B"/>
    <w:rsid w:val="769329A4"/>
    <w:rsid w:val="76B9FEBE"/>
    <w:rsid w:val="76C24C40"/>
    <w:rsid w:val="76DD1A5B"/>
    <w:rsid w:val="76E9A6DB"/>
    <w:rsid w:val="76EA6FFA"/>
    <w:rsid w:val="7734E767"/>
    <w:rsid w:val="778F532B"/>
    <w:rsid w:val="7795E0C0"/>
    <w:rsid w:val="77BCE3DB"/>
    <w:rsid w:val="77C15F49"/>
    <w:rsid w:val="77EFE696"/>
    <w:rsid w:val="7866D269"/>
    <w:rsid w:val="78691923"/>
    <w:rsid w:val="78807E6C"/>
    <w:rsid w:val="78853577"/>
    <w:rsid w:val="78B7E923"/>
    <w:rsid w:val="78D240C7"/>
    <w:rsid w:val="78D3AAC2"/>
    <w:rsid w:val="78F40D26"/>
    <w:rsid w:val="79173122"/>
    <w:rsid w:val="79348E3F"/>
    <w:rsid w:val="79610822"/>
    <w:rsid w:val="79638B38"/>
    <w:rsid w:val="797E5145"/>
    <w:rsid w:val="79A51AF6"/>
    <w:rsid w:val="79C1974E"/>
    <w:rsid w:val="79C44BF5"/>
    <w:rsid w:val="79DE0006"/>
    <w:rsid w:val="79E7EFDA"/>
    <w:rsid w:val="7A04F746"/>
    <w:rsid w:val="7A24DC3F"/>
    <w:rsid w:val="7A323B32"/>
    <w:rsid w:val="7A5F9DA2"/>
    <w:rsid w:val="7A83D8CB"/>
    <w:rsid w:val="7A868535"/>
    <w:rsid w:val="7A9049AA"/>
    <w:rsid w:val="7AA14464"/>
    <w:rsid w:val="7AE2139C"/>
    <w:rsid w:val="7AF0C7A0"/>
    <w:rsid w:val="7B55DD6E"/>
    <w:rsid w:val="7B67BA0D"/>
    <w:rsid w:val="7B6AF47C"/>
    <w:rsid w:val="7B9043FC"/>
    <w:rsid w:val="7B92FE30"/>
    <w:rsid w:val="7B9D443B"/>
    <w:rsid w:val="7BAB57E4"/>
    <w:rsid w:val="7BC83B4A"/>
    <w:rsid w:val="7BCB8A96"/>
    <w:rsid w:val="7BD88964"/>
    <w:rsid w:val="7BF0BF1E"/>
    <w:rsid w:val="7C01D2D8"/>
    <w:rsid w:val="7C0636D7"/>
    <w:rsid w:val="7C186C34"/>
    <w:rsid w:val="7C1FAEC4"/>
    <w:rsid w:val="7C2EC2D5"/>
    <w:rsid w:val="7C3A8F42"/>
    <w:rsid w:val="7C46536B"/>
    <w:rsid w:val="7C477ED3"/>
    <w:rsid w:val="7C645A28"/>
    <w:rsid w:val="7C840B4F"/>
    <w:rsid w:val="7C89BB95"/>
    <w:rsid w:val="7C8D2AD6"/>
    <w:rsid w:val="7CA8D96E"/>
    <w:rsid w:val="7CD34148"/>
    <w:rsid w:val="7D32AF37"/>
    <w:rsid w:val="7D3A6B50"/>
    <w:rsid w:val="7D7DB6C8"/>
    <w:rsid w:val="7D7F31F9"/>
    <w:rsid w:val="7D944D09"/>
    <w:rsid w:val="7DA0459E"/>
    <w:rsid w:val="7DC02BE3"/>
    <w:rsid w:val="7DC2824D"/>
    <w:rsid w:val="7DC680D3"/>
    <w:rsid w:val="7DD2E04F"/>
    <w:rsid w:val="7DFF3E84"/>
    <w:rsid w:val="7E07A9B7"/>
    <w:rsid w:val="7E343BC9"/>
    <w:rsid w:val="7E517F3C"/>
    <w:rsid w:val="7E56C476"/>
    <w:rsid w:val="7E885223"/>
    <w:rsid w:val="7E988F77"/>
    <w:rsid w:val="7EAD3CC9"/>
    <w:rsid w:val="7EBF0A5E"/>
    <w:rsid w:val="7EC09E57"/>
    <w:rsid w:val="7EE4FDD0"/>
    <w:rsid w:val="7EFFA337"/>
    <w:rsid w:val="7F069253"/>
    <w:rsid w:val="7F0CC17B"/>
    <w:rsid w:val="7F0E4688"/>
    <w:rsid w:val="7F3FB741"/>
    <w:rsid w:val="7F42EC46"/>
    <w:rsid w:val="7F466F55"/>
    <w:rsid w:val="7F5C8F9C"/>
    <w:rsid w:val="7FAA69B3"/>
    <w:rsid w:val="7FAC0071"/>
    <w:rsid w:val="7FB01B98"/>
    <w:rsid w:val="7FB40A8C"/>
    <w:rsid w:val="7FFD36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27EEC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59"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uiPriority="0" w:semiHidden="1" w:unhideWhenUsed="1"/>
    <w:lsdException w:name="index 2" w:uiPriority="0"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uiPriority="94" w:semiHidden="1" w:unhideWhenUsed="1"/>
    <w:lsdException w:name="envelope return" w:uiPriority="94"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uiPriority="0" w:semiHidden="1" w:unhideWhenUsed="1"/>
    <w:lsdException w:name="endnote text" w:uiPriority="0" w:semiHidden="1" w:unhideWhenUsed="1"/>
    <w:lsdException w:name="table of authorities" w:semiHidden="1" w:unhideWhenUsed="1"/>
    <w:lsdException w:name="macro" w:semiHidden="1" w:unhideWhenUsed="1"/>
    <w:lsdException w:name="toa heading" w:uiPriority="0" w:semiHidden="1" w:unhideWhenUsed="1"/>
    <w:lsdException w:name="List" w:semiHidden="1" w:unhideWhenUsed="1"/>
    <w:lsdException w:name="List Bullet" w:uiPriority="94"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94" w:semiHidden="1" w:unhideWhenUsed="1"/>
    <w:lsdException w:name="List Bullet 3" w:uiPriority="94" w:semiHidden="1" w:unhideWhenUsed="1" w:qFormat="1"/>
    <w:lsdException w:name="List Bullet 4" w:semiHidden="1" w:unhideWhenUsed="1"/>
    <w:lsdException w:name="List Bullet 5" w:semiHidden="1" w:unhideWhenUsed="1"/>
    <w:lsdException w:name="List Number 2" w:semiHidden="1" w:unhideWhenUsed="1"/>
    <w:lsdException w:name="List Number 3" w:uiPriority="94"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uiPriority="94"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4" w:qFormat="1"/>
    <w:lsdException w:name="Salutation" w:semiHidden="1" w:unhideWhenUsed="1"/>
    <w:lsdException w:name="Date" w:semiHidden="1" w:unhideWhenUsed="1"/>
    <w:lsdException w:name="Body Text First Indent" w:uiPriority="14" w:semiHidden="1" w:unhideWhenUsed="1" w:qFormat="1"/>
    <w:lsdException w:name="Body Text First Indent 2" w:uiPriority="14" w:semiHidden="1" w:unhideWhenUsed="1" w:qFormat="1"/>
    <w:lsdException w:name="Note Heading" w:semiHidden="1" w:unhideWhenUsed="1"/>
    <w:lsdException w:name="Body Text 2" w:uiPriority="0" w:semiHidden="1" w:unhideWhenUsed="1" w:qFormat="1"/>
    <w:lsdException w:name="Body Text 3" w:uiPriority="0" w:semiHidden="1" w:unhideWhenUsed="1" w:qFormat="1"/>
    <w:lsdException w:name="Body Text Indent 2" w:uiPriority="0" w:semiHidden="1" w:unhideWhenUsed="1"/>
    <w:lsdException w:name="Body Text Indent 3" w:uiPriority="0" w:semiHidden="1" w:unhideWhenUsed="1"/>
    <w:lsdException w:name="Block Text" w:semiHidden="1" w:unhideWhenUsed="1"/>
    <w:lsdException w:name="Hyperlink" w:semiHidden="1" w:unhideWhenUsed="1"/>
    <w:lsdException w:name="FollowedHyperlink" w:uiPriority="0" w:semiHidden="1" w:unhideWhenUsed="1"/>
    <w:lsdException w:name="Strong" w:uiPriority="22" w:qFormat="1"/>
    <w:lsdException w:name="Emphasis" w:uiPriority="2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9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uiPriority w:val="59"/>
    <w:qFormat/>
    <w:rsid w:val="00C2097B"/>
  </w:style>
  <w:style w:type="paragraph" w:styleId="Heading1">
    <w:name w:val="heading 1"/>
    <w:basedOn w:val="Normal"/>
    <w:next w:val="Normal"/>
    <w:link w:val="Heading1Char"/>
    <w:qFormat/>
    <w:rsid w:val="004F6903"/>
    <w:pPr>
      <w:keepNext/>
      <w:keepLines/>
      <w:spacing w:before="480" w:after="120" w:line="240" w:lineRule="auto"/>
      <w:jc w:val="both"/>
      <w:outlineLvl w:val="0"/>
    </w:pPr>
    <w:rPr>
      <w:rFonts w:ascii="Arial" w:hAnsi="Arial" w:eastAsiaTheme="majorEastAsia" w:cstheme="majorBidi"/>
      <w:b/>
      <w:bCs/>
      <w:sz w:val="28"/>
      <w:szCs w:val="28"/>
    </w:rPr>
  </w:style>
  <w:style w:type="paragraph" w:styleId="Heading2">
    <w:name w:val="heading 2"/>
    <w:basedOn w:val="Normal"/>
    <w:next w:val="Normal"/>
    <w:link w:val="Heading2Char"/>
    <w:qFormat/>
    <w:rsid w:val="004F6903"/>
    <w:pPr>
      <w:keepNext/>
      <w:keepLines/>
      <w:spacing w:before="200" w:after="120" w:line="240" w:lineRule="auto"/>
      <w:jc w:val="both"/>
      <w:outlineLvl w:val="1"/>
    </w:pPr>
    <w:rPr>
      <w:rFonts w:ascii="Arial" w:hAnsi="Arial" w:eastAsiaTheme="majorEastAsia" w:cstheme="majorBidi"/>
      <w:b/>
      <w:bCs/>
      <w:sz w:val="26"/>
      <w:szCs w:val="26"/>
    </w:rPr>
  </w:style>
  <w:style w:type="paragraph" w:styleId="Heading3">
    <w:name w:val="heading 3"/>
    <w:basedOn w:val="Normal"/>
    <w:next w:val="Normal"/>
    <w:link w:val="Heading3Char"/>
    <w:qFormat/>
    <w:rsid w:val="00472227"/>
    <w:pPr>
      <w:keepNext/>
      <w:keepLines/>
      <w:spacing w:before="200" w:after="120" w:line="240" w:lineRule="auto"/>
      <w:jc w:val="both"/>
      <w:outlineLvl w:val="2"/>
    </w:pPr>
    <w:rPr>
      <w:rFonts w:ascii="Arial" w:hAnsi="Arial" w:eastAsia="Calibri" w:cstheme="majorBidi"/>
      <w:b/>
      <w:bCs/>
      <w:sz w:val="20"/>
      <w:szCs w:val="20"/>
      <w:u w:val="single"/>
    </w:rPr>
  </w:style>
  <w:style w:type="paragraph" w:styleId="Heading4">
    <w:name w:val="heading 4"/>
    <w:basedOn w:val="Normal"/>
    <w:next w:val="Normal"/>
    <w:link w:val="Heading4Char"/>
    <w:unhideWhenUsed/>
    <w:qFormat/>
    <w:rsid w:val="004F6903"/>
    <w:pPr>
      <w:keepNext/>
      <w:keepLines/>
      <w:spacing w:before="200" w:after="120" w:line="240" w:lineRule="auto"/>
      <w:jc w:val="both"/>
      <w:outlineLvl w:val="3"/>
    </w:pPr>
    <w:rPr>
      <w:rFonts w:ascii="Arial" w:hAnsi="Arial" w:eastAsiaTheme="majorEastAsia" w:cstheme="majorBidi"/>
      <w:b/>
      <w:bCs/>
      <w:i/>
      <w:iCs/>
      <w:sz w:val="20"/>
      <w:szCs w:val="20"/>
    </w:rPr>
  </w:style>
  <w:style w:type="paragraph" w:styleId="Heading5">
    <w:name w:val="heading 5"/>
    <w:basedOn w:val="Normal"/>
    <w:next w:val="Normal"/>
    <w:link w:val="Heading5Char"/>
    <w:unhideWhenUsed/>
    <w:qFormat/>
    <w:rsid w:val="004F6903"/>
    <w:pPr>
      <w:keepNext/>
      <w:keepLines/>
      <w:spacing w:before="200" w:after="120" w:line="240" w:lineRule="auto"/>
      <w:jc w:val="both"/>
      <w:outlineLvl w:val="4"/>
    </w:pPr>
    <w:rPr>
      <w:rFonts w:ascii="Arial" w:hAnsi="Arial" w:eastAsiaTheme="majorEastAsia" w:cstheme="majorBidi"/>
      <w:sz w:val="20"/>
      <w:szCs w:val="20"/>
    </w:rPr>
  </w:style>
  <w:style w:type="paragraph" w:styleId="Heading6">
    <w:name w:val="heading 6"/>
    <w:basedOn w:val="Normal"/>
    <w:next w:val="Normal"/>
    <w:link w:val="Heading6Char"/>
    <w:unhideWhenUsed/>
    <w:qFormat/>
    <w:rsid w:val="004F6903"/>
    <w:pPr>
      <w:keepNext/>
      <w:keepLines/>
      <w:spacing w:before="200" w:after="120" w:line="240" w:lineRule="auto"/>
      <w:jc w:val="both"/>
      <w:outlineLvl w:val="5"/>
    </w:pPr>
    <w:rPr>
      <w:rFonts w:ascii="Arial" w:hAnsi="Arial" w:eastAsiaTheme="majorEastAsia" w:cstheme="majorBidi"/>
      <w:i/>
      <w:iCs/>
      <w:sz w:val="20"/>
      <w:szCs w:val="20"/>
    </w:rPr>
  </w:style>
  <w:style w:type="paragraph" w:styleId="Heading7">
    <w:name w:val="heading 7"/>
    <w:basedOn w:val="Normal"/>
    <w:next w:val="Normal"/>
    <w:link w:val="Heading7Char"/>
    <w:unhideWhenUsed/>
    <w:qFormat/>
    <w:rsid w:val="004F6903"/>
    <w:pPr>
      <w:keepNext/>
      <w:keepLines/>
      <w:spacing w:before="200" w:after="120" w:line="240" w:lineRule="auto"/>
      <w:jc w:val="both"/>
      <w:outlineLvl w:val="6"/>
    </w:pPr>
    <w:rPr>
      <w:rFonts w:ascii="Arial" w:hAnsi="Arial" w:eastAsiaTheme="majorEastAsia" w:cstheme="majorBidi"/>
      <w:i/>
      <w:iCs/>
      <w:sz w:val="20"/>
      <w:szCs w:val="20"/>
    </w:rPr>
  </w:style>
  <w:style w:type="paragraph" w:styleId="Heading8">
    <w:name w:val="heading 8"/>
    <w:basedOn w:val="Normal"/>
    <w:next w:val="Normal"/>
    <w:link w:val="Heading8Char"/>
    <w:unhideWhenUsed/>
    <w:qFormat/>
    <w:rsid w:val="004F6903"/>
    <w:pPr>
      <w:keepNext/>
      <w:keepLines/>
      <w:spacing w:before="200" w:after="120" w:line="240" w:lineRule="auto"/>
      <w:jc w:val="both"/>
      <w:outlineLvl w:val="7"/>
    </w:pPr>
    <w:rPr>
      <w:rFonts w:ascii="Arial" w:hAnsi="Arial" w:eastAsiaTheme="majorEastAsia" w:cstheme="majorBidi"/>
      <w:sz w:val="20"/>
      <w:szCs w:val="20"/>
    </w:rPr>
  </w:style>
  <w:style w:type="paragraph" w:styleId="Heading9">
    <w:name w:val="heading 9"/>
    <w:basedOn w:val="Normal"/>
    <w:next w:val="Normal"/>
    <w:link w:val="Heading9Char"/>
    <w:unhideWhenUsed/>
    <w:qFormat/>
    <w:rsid w:val="004F6903"/>
    <w:pPr>
      <w:keepNext/>
      <w:keepLines/>
      <w:spacing w:before="200" w:after="120" w:line="240" w:lineRule="auto"/>
      <w:jc w:val="both"/>
      <w:outlineLvl w:val="8"/>
    </w:pPr>
    <w:rPr>
      <w:rFonts w:ascii="Arial" w:hAnsi="Arial" w:eastAsiaTheme="majorEastAsia" w:cstheme="majorBidi"/>
      <w:i/>
      <w:iCs/>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4F6903"/>
    <w:rPr>
      <w:rFonts w:ascii="Arial" w:hAnsi="Arial" w:eastAsiaTheme="majorEastAsia" w:cstheme="majorBidi"/>
      <w:b/>
      <w:bCs/>
      <w:sz w:val="28"/>
      <w:szCs w:val="28"/>
    </w:rPr>
  </w:style>
  <w:style w:type="character" w:styleId="Heading2Char" w:customStyle="1">
    <w:name w:val="Heading 2 Char"/>
    <w:basedOn w:val="DefaultParagraphFont"/>
    <w:link w:val="Heading2"/>
    <w:rsid w:val="004F6903"/>
    <w:rPr>
      <w:rFonts w:ascii="Arial" w:hAnsi="Arial" w:eastAsiaTheme="majorEastAsia" w:cstheme="majorBidi"/>
      <w:b/>
      <w:bCs/>
      <w:sz w:val="26"/>
      <w:szCs w:val="26"/>
    </w:rPr>
  </w:style>
  <w:style w:type="character" w:styleId="Heading3Char" w:customStyle="1">
    <w:name w:val="Heading 3 Char"/>
    <w:basedOn w:val="DefaultParagraphFont"/>
    <w:link w:val="Heading3"/>
    <w:rsid w:val="004F6903"/>
    <w:rPr>
      <w:rFonts w:ascii="Arial" w:hAnsi="Arial" w:eastAsia="Calibri" w:cstheme="majorBidi"/>
      <w:b/>
      <w:bCs/>
      <w:sz w:val="20"/>
      <w:szCs w:val="20"/>
      <w:u w:val="single"/>
    </w:rPr>
  </w:style>
  <w:style w:type="character" w:styleId="Heading4Char" w:customStyle="1">
    <w:name w:val="Heading 4 Char"/>
    <w:basedOn w:val="DefaultParagraphFont"/>
    <w:link w:val="Heading4"/>
    <w:rsid w:val="004F6903"/>
    <w:rPr>
      <w:rFonts w:ascii="Arial" w:hAnsi="Arial" w:eastAsiaTheme="majorEastAsia" w:cstheme="majorBidi"/>
      <w:b/>
      <w:bCs/>
      <w:i/>
      <w:iCs/>
      <w:sz w:val="20"/>
      <w:szCs w:val="20"/>
    </w:rPr>
  </w:style>
  <w:style w:type="character" w:styleId="Heading5Char" w:customStyle="1">
    <w:name w:val="Heading 5 Char"/>
    <w:basedOn w:val="DefaultParagraphFont"/>
    <w:link w:val="Heading5"/>
    <w:rsid w:val="004F6903"/>
    <w:rPr>
      <w:rFonts w:ascii="Arial" w:hAnsi="Arial" w:eastAsiaTheme="majorEastAsia" w:cstheme="majorBidi"/>
      <w:sz w:val="20"/>
      <w:szCs w:val="20"/>
    </w:rPr>
  </w:style>
  <w:style w:type="character" w:styleId="Heading6Char" w:customStyle="1">
    <w:name w:val="Heading 6 Char"/>
    <w:basedOn w:val="DefaultParagraphFont"/>
    <w:link w:val="Heading6"/>
    <w:rsid w:val="004F6903"/>
    <w:rPr>
      <w:rFonts w:ascii="Arial" w:hAnsi="Arial" w:eastAsiaTheme="majorEastAsia" w:cstheme="majorBidi"/>
      <w:i/>
      <w:iCs/>
      <w:sz w:val="20"/>
      <w:szCs w:val="20"/>
    </w:rPr>
  </w:style>
  <w:style w:type="character" w:styleId="Heading7Char" w:customStyle="1">
    <w:name w:val="Heading 7 Char"/>
    <w:basedOn w:val="DefaultParagraphFont"/>
    <w:link w:val="Heading7"/>
    <w:rsid w:val="004F6903"/>
    <w:rPr>
      <w:rFonts w:ascii="Arial" w:hAnsi="Arial" w:eastAsiaTheme="majorEastAsia" w:cstheme="majorBidi"/>
      <w:i/>
      <w:iCs/>
      <w:sz w:val="20"/>
      <w:szCs w:val="20"/>
    </w:rPr>
  </w:style>
  <w:style w:type="character" w:styleId="Heading8Char" w:customStyle="1">
    <w:name w:val="Heading 8 Char"/>
    <w:basedOn w:val="DefaultParagraphFont"/>
    <w:link w:val="Heading8"/>
    <w:rsid w:val="004F6903"/>
    <w:rPr>
      <w:rFonts w:ascii="Arial" w:hAnsi="Arial" w:eastAsiaTheme="majorEastAsia" w:cstheme="majorBidi"/>
      <w:sz w:val="20"/>
      <w:szCs w:val="20"/>
    </w:rPr>
  </w:style>
  <w:style w:type="character" w:styleId="Heading9Char" w:customStyle="1">
    <w:name w:val="Heading 9 Char"/>
    <w:basedOn w:val="DefaultParagraphFont"/>
    <w:link w:val="Heading9"/>
    <w:rsid w:val="004F6903"/>
    <w:rPr>
      <w:rFonts w:ascii="Arial" w:hAnsi="Arial" w:eastAsiaTheme="majorEastAsia" w:cstheme="majorBidi"/>
      <w:i/>
      <w:iCs/>
      <w:sz w:val="20"/>
      <w:szCs w:val="20"/>
    </w:rPr>
  </w:style>
  <w:style w:type="paragraph" w:styleId="Title">
    <w:name w:val="Title"/>
    <w:basedOn w:val="Normal"/>
    <w:next w:val="Normal"/>
    <w:link w:val="TitleChar"/>
    <w:qFormat/>
    <w:rsid w:val="004F6903"/>
    <w:pPr>
      <w:pBdr>
        <w:bottom w:val="single" w:color="auto" w:sz="8" w:space="4"/>
      </w:pBdr>
      <w:spacing w:before="120" w:after="300" w:line="240" w:lineRule="auto"/>
      <w:contextualSpacing/>
      <w:jc w:val="both"/>
    </w:pPr>
    <w:rPr>
      <w:rFonts w:ascii="Arial" w:hAnsi="Arial" w:eastAsiaTheme="majorEastAsia" w:cstheme="majorBidi"/>
      <w:spacing w:val="5"/>
      <w:kern w:val="28"/>
      <w:sz w:val="52"/>
      <w:szCs w:val="52"/>
    </w:rPr>
  </w:style>
  <w:style w:type="character" w:styleId="TitleChar" w:customStyle="1">
    <w:name w:val="Title Char"/>
    <w:basedOn w:val="DefaultParagraphFont"/>
    <w:link w:val="Title"/>
    <w:rsid w:val="004F6903"/>
    <w:rPr>
      <w:rFonts w:ascii="Arial" w:hAnsi="Arial" w:eastAsiaTheme="majorEastAsia" w:cstheme="majorBidi"/>
      <w:spacing w:val="5"/>
      <w:kern w:val="28"/>
      <w:sz w:val="52"/>
      <w:szCs w:val="52"/>
    </w:rPr>
  </w:style>
  <w:style w:type="paragraph" w:styleId="Subtitle">
    <w:name w:val="Subtitle"/>
    <w:basedOn w:val="Normal"/>
    <w:next w:val="Normal"/>
    <w:link w:val="SubtitleChar"/>
    <w:uiPriority w:val="94"/>
    <w:qFormat/>
    <w:rsid w:val="004F6903"/>
    <w:pPr>
      <w:numPr>
        <w:ilvl w:val="1"/>
      </w:numPr>
      <w:spacing w:before="120" w:after="120" w:line="240" w:lineRule="auto"/>
      <w:jc w:val="both"/>
    </w:pPr>
    <w:rPr>
      <w:rFonts w:ascii="Arial" w:hAnsi="Arial" w:eastAsiaTheme="majorEastAsia" w:cstheme="majorBidi"/>
      <w:i/>
      <w:iCs/>
      <w:spacing w:val="15"/>
      <w:sz w:val="20"/>
      <w:szCs w:val="20"/>
    </w:rPr>
  </w:style>
  <w:style w:type="character" w:styleId="SubtitleChar" w:customStyle="1">
    <w:name w:val="Subtitle Char"/>
    <w:basedOn w:val="DefaultParagraphFont"/>
    <w:link w:val="Subtitle"/>
    <w:uiPriority w:val="94"/>
    <w:rsid w:val="004F6903"/>
    <w:rPr>
      <w:rFonts w:ascii="Arial" w:hAnsi="Arial" w:eastAsiaTheme="majorEastAsia" w:cstheme="majorBidi"/>
      <w:i/>
      <w:iCs/>
      <w:spacing w:val="15"/>
      <w:sz w:val="20"/>
      <w:szCs w:val="20"/>
    </w:rPr>
  </w:style>
  <w:style w:type="paragraph" w:styleId="IntenseQuote">
    <w:name w:val="Intense Quote"/>
    <w:basedOn w:val="Normal"/>
    <w:next w:val="Normal"/>
    <w:link w:val="IntenseQuoteChar"/>
    <w:uiPriority w:val="30"/>
    <w:qFormat/>
    <w:rsid w:val="004F6903"/>
    <w:pPr>
      <w:pBdr>
        <w:bottom w:val="single" w:color="auto" w:sz="4" w:space="4"/>
      </w:pBdr>
      <w:spacing w:before="200" w:after="280"/>
      <w:ind w:left="936" w:right="936"/>
    </w:pPr>
    <w:rPr>
      <w:b/>
      <w:bCs/>
      <w:i/>
      <w:iCs/>
    </w:rPr>
  </w:style>
  <w:style w:type="character" w:styleId="IntenseQuoteChar" w:customStyle="1">
    <w:name w:val="Intense Quote Char"/>
    <w:basedOn w:val="DefaultParagraphFont"/>
    <w:link w:val="IntenseQuote"/>
    <w:uiPriority w:val="30"/>
    <w:rsid w:val="004F6903"/>
    <w:rPr>
      <w:b/>
      <w:bCs/>
      <w:i/>
      <w:iCs/>
    </w:rPr>
  </w:style>
  <w:style w:type="paragraph" w:styleId="Quote">
    <w:name w:val="Quote"/>
    <w:basedOn w:val="Normal"/>
    <w:next w:val="Normal"/>
    <w:link w:val="QuoteChar"/>
    <w:uiPriority w:val="29"/>
    <w:qFormat/>
    <w:rsid w:val="004F6903"/>
    <w:rPr>
      <w:i/>
      <w:iCs/>
    </w:rPr>
  </w:style>
  <w:style w:type="character" w:styleId="QuoteChar" w:customStyle="1">
    <w:name w:val="Quote Char"/>
    <w:basedOn w:val="DefaultParagraphFont"/>
    <w:link w:val="Quote"/>
    <w:uiPriority w:val="29"/>
    <w:rsid w:val="004F6903"/>
    <w:rPr>
      <w:i/>
      <w:iCs/>
    </w:rPr>
  </w:style>
  <w:style w:type="character" w:styleId="IntenseEmphasis">
    <w:name w:val="Intense Emphasis"/>
    <w:basedOn w:val="DefaultParagraphFont"/>
    <w:uiPriority w:val="21"/>
    <w:qFormat/>
    <w:rsid w:val="004F6903"/>
    <w:rPr>
      <w:b/>
      <w:bCs/>
      <w:i/>
      <w:iCs/>
      <w:color w:val="auto"/>
    </w:rPr>
  </w:style>
  <w:style w:type="character" w:styleId="Emphasis">
    <w:name w:val="Emphasis"/>
    <w:basedOn w:val="DefaultParagraphFont"/>
    <w:uiPriority w:val="20"/>
    <w:qFormat/>
    <w:rsid w:val="004F6903"/>
    <w:rPr>
      <w:i/>
      <w:iCs/>
    </w:rPr>
  </w:style>
  <w:style w:type="character" w:styleId="SubtleEmphasis">
    <w:name w:val="Subtle Emphasis"/>
    <w:basedOn w:val="DefaultParagraphFont"/>
    <w:uiPriority w:val="19"/>
    <w:qFormat/>
    <w:rsid w:val="004F6903"/>
    <w:rPr>
      <w:i/>
      <w:iCs/>
      <w:color w:val="auto"/>
    </w:rPr>
  </w:style>
  <w:style w:type="character" w:styleId="SubtleReference">
    <w:name w:val="Subtle Reference"/>
    <w:basedOn w:val="DefaultParagraphFont"/>
    <w:uiPriority w:val="31"/>
    <w:qFormat/>
    <w:rsid w:val="004F6903"/>
    <w:rPr>
      <w:smallCaps/>
      <w:color w:val="auto"/>
      <w:u w:val="single"/>
    </w:rPr>
  </w:style>
  <w:style w:type="character" w:styleId="IntenseReference">
    <w:name w:val="Intense Reference"/>
    <w:basedOn w:val="DefaultParagraphFont"/>
    <w:uiPriority w:val="32"/>
    <w:qFormat/>
    <w:rsid w:val="004F6903"/>
    <w:rPr>
      <w:b/>
      <w:bCs/>
      <w:smallCaps/>
      <w:color w:val="auto"/>
      <w:spacing w:val="5"/>
      <w:u w:val="single"/>
    </w:rPr>
  </w:style>
  <w:style w:type="paragraph" w:styleId="Caption">
    <w:name w:val="caption"/>
    <w:basedOn w:val="Normal"/>
    <w:next w:val="Normal"/>
    <w:unhideWhenUsed/>
    <w:qFormat/>
    <w:rsid w:val="004F6903"/>
    <w:pPr>
      <w:spacing w:before="120" w:after="120" w:line="240" w:lineRule="auto"/>
      <w:jc w:val="both"/>
    </w:pPr>
    <w:rPr>
      <w:rFonts w:ascii="Arial" w:hAnsi="Arial" w:cs="Times New Roman"/>
      <w:b/>
      <w:bCs/>
      <w:sz w:val="18"/>
      <w:szCs w:val="18"/>
    </w:rPr>
  </w:style>
  <w:style w:type="paragraph" w:styleId="TOCHeading">
    <w:name w:val="TOC Heading"/>
    <w:basedOn w:val="Heading1"/>
    <w:next w:val="Normal"/>
    <w:uiPriority w:val="39"/>
    <w:semiHidden/>
    <w:unhideWhenUsed/>
    <w:qFormat/>
    <w:rsid w:val="004F6903"/>
    <w:pPr>
      <w:outlineLvl w:val="9"/>
    </w:pPr>
  </w:style>
  <w:style w:type="paragraph" w:styleId="BlockText">
    <w:name w:val="Block Text"/>
    <w:basedOn w:val="Normal"/>
    <w:uiPriority w:val="99"/>
    <w:semiHidden/>
    <w:unhideWhenUsed/>
    <w:rsid w:val="004F6903"/>
    <w:pPr>
      <w:pBdr>
        <w:top w:val="single" w:color="auto" w:sz="2" w:space="10"/>
        <w:left w:val="single" w:color="auto" w:sz="2" w:space="10"/>
        <w:bottom w:val="single" w:color="auto" w:sz="2" w:space="10"/>
        <w:right w:val="single" w:color="auto" w:sz="2" w:space="10"/>
      </w:pBdr>
      <w:ind w:left="1152" w:right="1152"/>
    </w:pPr>
    <w:rPr>
      <w:rFonts w:eastAsiaTheme="minorEastAsia"/>
      <w:i/>
      <w:iCs/>
    </w:rPr>
  </w:style>
  <w:style w:type="paragraph" w:styleId="EnvelopeReturn">
    <w:name w:val="envelope return"/>
    <w:basedOn w:val="Normal"/>
    <w:uiPriority w:val="94"/>
    <w:unhideWhenUsed/>
    <w:rsid w:val="004F6903"/>
    <w:pPr>
      <w:spacing w:before="120" w:after="120" w:line="240" w:lineRule="auto"/>
      <w:jc w:val="both"/>
    </w:pPr>
    <w:rPr>
      <w:rFonts w:ascii="Arial" w:hAnsi="Arial" w:eastAsiaTheme="majorEastAsia" w:cstheme="majorBidi"/>
      <w:sz w:val="20"/>
      <w:szCs w:val="20"/>
    </w:rPr>
  </w:style>
  <w:style w:type="paragraph" w:styleId="FootnoteText">
    <w:name w:val="footnote text"/>
    <w:basedOn w:val="Normal"/>
    <w:link w:val="FootnoteTextChar"/>
    <w:uiPriority w:val="99"/>
    <w:semiHidden/>
    <w:unhideWhenUsed/>
    <w:rsid w:val="002D54C4"/>
    <w:pPr>
      <w:spacing w:after="240"/>
    </w:pPr>
    <w:rPr>
      <w:sz w:val="18"/>
    </w:rPr>
  </w:style>
  <w:style w:type="character" w:styleId="FootnoteTextChar" w:customStyle="1">
    <w:name w:val="Footnote Text Char"/>
    <w:basedOn w:val="DefaultParagraphFont"/>
    <w:link w:val="FootnoteText"/>
    <w:uiPriority w:val="99"/>
    <w:semiHidden/>
    <w:rsid w:val="002D54C4"/>
    <w:rPr>
      <w:rFonts w:ascii="Arial" w:hAnsi="Arial" w:cs="Times New Roman"/>
      <w:sz w:val="18"/>
      <w:szCs w:val="20"/>
    </w:rPr>
  </w:style>
  <w:style w:type="character" w:styleId="zGTitle36CalibriChar" w:customStyle="1">
    <w:name w:val="zGTitle 36 (Calibri) Char"/>
    <w:basedOn w:val="DefaultParagraphFont"/>
    <w:link w:val="zGTitle36Calibri"/>
    <w:uiPriority w:val="4"/>
    <w:rsid w:val="00851C8F"/>
    <w:rPr>
      <w:rFonts w:ascii="Calibri" w:hAnsi="Calibri" w:eastAsia="Times New Roman" w:cstheme="minorHAnsi"/>
      <w:b/>
      <w:kern w:val="14"/>
      <w:sz w:val="72"/>
      <w:szCs w:val="72"/>
    </w:rPr>
  </w:style>
  <w:style w:type="paragraph" w:styleId="BodyText2">
    <w:name w:val="Body Text 2"/>
    <w:basedOn w:val="Normal"/>
    <w:link w:val="BodyText2Char"/>
    <w:qFormat/>
    <w:rsid w:val="002D54C4"/>
    <w:pPr>
      <w:spacing w:line="480" w:lineRule="auto"/>
    </w:pPr>
  </w:style>
  <w:style w:type="character" w:styleId="BodyText2Char" w:customStyle="1">
    <w:name w:val="Body Text 2 Char"/>
    <w:basedOn w:val="DefaultParagraphFont"/>
    <w:link w:val="BodyText2"/>
    <w:rsid w:val="002D54C4"/>
    <w:rPr>
      <w:rFonts w:ascii="Arial" w:hAnsi="Arial" w:cs="Times New Roman"/>
      <w:sz w:val="20"/>
      <w:szCs w:val="20"/>
    </w:rPr>
  </w:style>
  <w:style w:type="paragraph" w:styleId="BodyText3">
    <w:name w:val="Body Text 3"/>
    <w:basedOn w:val="Normal"/>
    <w:link w:val="BodyText3Char"/>
    <w:qFormat/>
    <w:rsid w:val="002D54C4"/>
  </w:style>
  <w:style w:type="character" w:styleId="BodyText3Char" w:customStyle="1">
    <w:name w:val="Body Text 3 Char"/>
    <w:basedOn w:val="DefaultParagraphFont"/>
    <w:link w:val="BodyText3"/>
    <w:rsid w:val="002D54C4"/>
    <w:rPr>
      <w:rFonts w:ascii="Arial" w:hAnsi="Arial" w:cs="Times New Roman"/>
      <w:sz w:val="20"/>
      <w:szCs w:val="20"/>
    </w:rPr>
  </w:style>
  <w:style w:type="paragraph" w:styleId="BodyText">
    <w:name w:val="Body Text"/>
    <w:basedOn w:val="Normal"/>
    <w:link w:val="BodyTextChar"/>
    <w:unhideWhenUsed/>
    <w:rsid w:val="002D54C4"/>
    <w:pPr>
      <w:spacing w:before="120" w:after="120" w:line="240" w:lineRule="auto"/>
      <w:jc w:val="both"/>
    </w:pPr>
    <w:rPr>
      <w:rFonts w:ascii="Arial" w:hAnsi="Arial" w:cs="Times New Roman"/>
      <w:sz w:val="20"/>
      <w:szCs w:val="20"/>
    </w:rPr>
  </w:style>
  <w:style w:type="character" w:styleId="BodyTextChar" w:customStyle="1">
    <w:name w:val="Body Text Char"/>
    <w:basedOn w:val="DefaultParagraphFont"/>
    <w:link w:val="BodyText"/>
    <w:rsid w:val="002D54C4"/>
    <w:rPr>
      <w:rFonts w:ascii="Arial" w:hAnsi="Arial" w:cs="Times New Roman"/>
      <w:sz w:val="20"/>
      <w:szCs w:val="20"/>
    </w:rPr>
  </w:style>
  <w:style w:type="paragraph" w:styleId="BodyTextFirstIndent">
    <w:name w:val="Body Text First Indent"/>
    <w:basedOn w:val="Normal"/>
    <w:link w:val="BodyTextFirstIndentChar"/>
    <w:uiPriority w:val="14"/>
    <w:semiHidden/>
    <w:qFormat/>
    <w:rsid w:val="002D54C4"/>
    <w:pPr>
      <w:spacing w:after="240"/>
      <w:ind w:firstLine="1440"/>
    </w:pPr>
  </w:style>
  <w:style w:type="character" w:styleId="BodyTextFirstIndentChar" w:customStyle="1">
    <w:name w:val="Body Text First Indent Char"/>
    <w:basedOn w:val="BodyTextChar"/>
    <w:link w:val="BodyTextFirstIndent"/>
    <w:uiPriority w:val="14"/>
    <w:semiHidden/>
    <w:rsid w:val="002D54C4"/>
    <w:rPr>
      <w:rFonts w:ascii="Arial" w:hAnsi="Arial" w:cs="Times New Roman"/>
      <w:sz w:val="20"/>
      <w:szCs w:val="20"/>
    </w:rPr>
  </w:style>
  <w:style w:type="paragraph" w:styleId="BodyTextIndent">
    <w:name w:val="Body Text Indent"/>
    <w:basedOn w:val="Normal"/>
    <w:link w:val="BodyTextIndentChar"/>
    <w:rsid w:val="002D54C4"/>
    <w:pPr>
      <w:spacing w:after="240"/>
      <w:ind w:left="1440"/>
    </w:pPr>
  </w:style>
  <w:style w:type="character" w:styleId="BodyTextIndentChar" w:customStyle="1">
    <w:name w:val="Body Text Indent Char"/>
    <w:basedOn w:val="DefaultParagraphFont"/>
    <w:link w:val="BodyTextIndent"/>
    <w:rsid w:val="002D54C4"/>
    <w:rPr>
      <w:rFonts w:ascii="Arial" w:hAnsi="Arial" w:cs="Times New Roman"/>
      <w:sz w:val="20"/>
      <w:szCs w:val="20"/>
    </w:rPr>
  </w:style>
  <w:style w:type="paragraph" w:styleId="BodyTextFirstIndent2">
    <w:name w:val="Body Text First Indent 2"/>
    <w:basedOn w:val="Normal"/>
    <w:link w:val="BodyTextFirstIndent2Char"/>
    <w:uiPriority w:val="14"/>
    <w:semiHidden/>
    <w:qFormat/>
    <w:rsid w:val="002D54C4"/>
    <w:pPr>
      <w:spacing w:line="480" w:lineRule="auto"/>
      <w:ind w:firstLine="1440"/>
    </w:pPr>
  </w:style>
  <w:style w:type="character" w:styleId="BodyTextFirstIndent2Char" w:customStyle="1">
    <w:name w:val="Body Text First Indent 2 Char"/>
    <w:basedOn w:val="BodyTextIndentChar"/>
    <w:link w:val="BodyTextFirstIndent2"/>
    <w:uiPriority w:val="14"/>
    <w:semiHidden/>
    <w:rsid w:val="002D54C4"/>
    <w:rPr>
      <w:rFonts w:ascii="Arial" w:hAnsi="Arial" w:cs="Times New Roman"/>
      <w:sz w:val="20"/>
      <w:szCs w:val="20"/>
    </w:rPr>
  </w:style>
  <w:style w:type="paragraph" w:styleId="BodyTextHangingIndent" w:customStyle="1">
    <w:name w:val="Body Text Hanging Indent"/>
    <w:basedOn w:val="Normal"/>
    <w:uiPriority w:val="14"/>
    <w:semiHidden/>
    <w:qFormat/>
    <w:rsid w:val="002D54C4"/>
    <w:pPr>
      <w:spacing w:after="240"/>
      <w:ind w:left="720" w:hanging="720"/>
    </w:pPr>
  </w:style>
  <w:style w:type="paragraph" w:styleId="EnvelopeAddress">
    <w:name w:val="envelope address"/>
    <w:basedOn w:val="Normal"/>
    <w:uiPriority w:val="94"/>
    <w:semiHidden/>
    <w:rsid w:val="002D54C4"/>
    <w:pPr>
      <w:framePr w:w="7920" w:h="1980" w:hSpace="180" w:wrap="auto" w:hAnchor="page" w:xAlign="center" w:yAlign="bottom" w:hRule="exact"/>
      <w:spacing w:before="120" w:after="120" w:line="240" w:lineRule="auto"/>
      <w:ind w:left="2880"/>
      <w:jc w:val="both"/>
    </w:pPr>
    <w:rPr>
      <w:rFonts w:ascii="Arial" w:hAnsi="Arial" w:cs="Arial"/>
      <w:smallCaps/>
      <w:sz w:val="20"/>
      <w:szCs w:val="20"/>
    </w:rPr>
  </w:style>
  <w:style w:type="paragraph" w:styleId="Footer">
    <w:name w:val="footer"/>
    <w:basedOn w:val="Normal"/>
    <w:link w:val="FooterChar"/>
    <w:uiPriority w:val="99"/>
    <w:rsid w:val="002D54C4"/>
    <w:pPr>
      <w:jc w:val="center"/>
    </w:pPr>
    <w:rPr>
      <w:sz w:val="18"/>
    </w:rPr>
  </w:style>
  <w:style w:type="character" w:styleId="FooterChar" w:customStyle="1">
    <w:name w:val="Footer Char"/>
    <w:basedOn w:val="DefaultParagraphFont"/>
    <w:link w:val="Footer"/>
    <w:uiPriority w:val="99"/>
    <w:rsid w:val="002D54C4"/>
    <w:rPr>
      <w:rFonts w:ascii="Arial" w:hAnsi="Arial" w:cs="Times New Roman"/>
      <w:sz w:val="18"/>
      <w:szCs w:val="20"/>
    </w:rPr>
  </w:style>
  <w:style w:type="paragraph" w:styleId="FooterDocID" w:customStyle="1">
    <w:name w:val="Footer DocID"/>
    <w:basedOn w:val="Normal"/>
    <w:uiPriority w:val="74"/>
    <w:semiHidden/>
    <w:rsid w:val="002D54C4"/>
    <w:pPr>
      <w:tabs>
        <w:tab w:val="right" w:pos="9360"/>
      </w:tabs>
    </w:pPr>
    <w:rPr>
      <w:sz w:val="14"/>
    </w:rPr>
  </w:style>
  <w:style w:type="paragraph" w:styleId="Footnote" w:customStyle="1">
    <w:name w:val="Footnote"/>
    <w:basedOn w:val="Normal"/>
    <w:uiPriority w:val="15"/>
    <w:semiHidden/>
    <w:rsid w:val="002D54C4"/>
  </w:style>
  <w:style w:type="character" w:styleId="FootnoteReference">
    <w:name w:val="footnote reference"/>
    <w:uiPriority w:val="99"/>
    <w:rsid w:val="002D54C4"/>
    <w:rPr>
      <w:vertAlign w:val="superscript"/>
    </w:rPr>
  </w:style>
  <w:style w:type="paragraph" w:styleId="Header">
    <w:name w:val="header"/>
    <w:aliases w:val="zGDRAFTHeader"/>
    <w:basedOn w:val="Normal"/>
    <w:next w:val="zGNormal"/>
    <w:link w:val="HeaderChar"/>
    <w:uiPriority w:val="99"/>
    <w:rsid w:val="002D54C4"/>
    <w:pPr>
      <w:tabs>
        <w:tab w:val="center" w:pos="4320"/>
        <w:tab w:val="right" w:pos="8640"/>
      </w:tabs>
      <w:jc w:val="right"/>
    </w:pPr>
    <w:rPr>
      <w:b/>
      <w:i/>
      <w:color w:val="FF0000"/>
    </w:rPr>
  </w:style>
  <w:style w:type="character" w:styleId="HeaderChar" w:customStyle="1">
    <w:name w:val="Header Char"/>
    <w:aliases w:val="zGDRAFTHeader Char"/>
    <w:basedOn w:val="DefaultParagraphFont"/>
    <w:link w:val="Header"/>
    <w:uiPriority w:val="99"/>
    <w:rsid w:val="002D54C4"/>
    <w:rPr>
      <w:rFonts w:ascii="Arial" w:hAnsi="Arial" w:cs="Times New Roman"/>
      <w:b/>
      <w:i/>
      <w:color w:val="FF0000"/>
      <w:sz w:val="20"/>
      <w:szCs w:val="20"/>
    </w:rPr>
  </w:style>
  <w:style w:type="paragraph" w:styleId="ListBullet">
    <w:name w:val="List Bullet"/>
    <w:basedOn w:val="Normal"/>
    <w:uiPriority w:val="94"/>
    <w:semiHidden/>
    <w:rsid w:val="00802935"/>
    <w:pPr>
      <w:numPr>
        <w:numId w:val="36"/>
      </w:numPr>
      <w:tabs>
        <w:tab w:val="num" w:pos="360"/>
        <w:tab w:val="num" w:pos="720"/>
        <w:tab w:val="num" w:pos="936"/>
      </w:tabs>
      <w:spacing w:after="240"/>
      <w:ind w:left="1440"/>
    </w:pPr>
  </w:style>
  <w:style w:type="paragraph" w:styleId="ListBullet2">
    <w:name w:val="List Bullet 2"/>
    <w:basedOn w:val="Normal"/>
    <w:uiPriority w:val="94"/>
    <w:semiHidden/>
    <w:rsid w:val="00500387"/>
    <w:pPr>
      <w:spacing w:after="240"/>
      <w:ind w:left="2160" w:hanging="360"/>
    </w:pPr>
  </w:style>
  <w:style w:type="paragraph" w:styleId="ListBullet3">
    <w:name w:val="List Bullet 3"/>
    <w:basedOn w:val="Normal"/>
    <w:uiPriority w:val="94"/>
    <w:semiHidden/>
    <w:qFormat/>
    <w:rsid w:val="00500387"/>
    <w:pPr>
      <w:tabs>
        <w:tab w:val="num" w:pos="360"/>
      </w:tabs>
      <w:spacing w:after="240"/>
      <w:ind w:left="1080" w:hanging="360"/>
      <w:contextualSpacing/>
    </w:pPr>
  </w:style>
  <w:style w:type="paragraph" w:styleId="ListNumber3">
    <w:name w:val="List Number 3"/>
    <w:basedOn w:val="Normal"/>
    <w:uiPriority w:val="94"/>
    <w:semiHidden/>
    <w:rsid w:val="0006058F"/>
    <w:pPr>
      <w:spacing w:line="480" w:lineRule="auto"/>
      <w:ind w:left="360" w:hanging="360"/>
    </w:pPr>
  </w:style>
  <w:style w:type="paragraph" w:styleId="PHPgNum" w:customStyle="1">
    <w:name w:val="PH PgNum"/>
    <w:basedOn w:val="Normal"/>
    <w:uiPriority w:val="99"/>
    <w:semiHidden/>
    <w:rsid w:val="002D54C4"/>
    <w:pPr>
      <w:jc w:val="center"/>
    </w:pPr>
  </w:style>
  <w:style w:type="paragraph" w:styleId="Signature">
    <w:name w:val="Signature"/>
    <w:basedOn w:val="Normal"/>
    <w:link w:val="SignatureChar"/>
    <w:uiPriority w:val="94"/>
    <w:semiHidden/>
    <w:rsid w:val="002D54C4"/>
    <w:pPr>
      <w:ind w:left="4320"/>
    </w:pPr>
  </w:style>
  <w:style w:type="character" w:styleId="SignatureChar" w:customStyle="1">
    <w:name w:val="Signature Char"/>
    <w:basedOn w:val="DefaultParagraphFont"/>
    <w:link w:val="Signature"/>
    <w:uiPriority w:val="94"/>
    <w:semiHidden/>
    <w:rsid w:val="002D54C4"/>
    <w:rPr>
      <w:rFonts w:ascii="Arial" w:hAnsi="Arial" w:cs="Times New Roman"/>
      <w:sz w:val="20"/>
      <w:szCs w:val="20"/>
    </w:rPr>
  </w:style>
  <w:style w:type="paragraph" w:styleId="Subtitle2" w:customStyle="1">
    <w:name w:val="Subtitle2"/>
    <w:basedOn w:val="Normal"/>
    <w:next w:val="BodyTextFirstIndent"/>
    <w:uiPriority w:val="94"/>
    <w:semiHidden/>
    <w:qFormat/>
    <w:rsid w:val="002D54C4"/>
    <w:pPr>
      <w:keepNext/>
      <w:spacing w:after="240"/>
    </w:pPr>
    <w:rPr>
      <w:u w:val="single"/>
    </w:rPr>
  </w:style>
  <w:style w:type="paragraph" w:styleId="Subtitle3" w:customStyle="1">
    <w:name w:val="Subtitle3"/>
    <w:basedOn w:val="Normal"/>
    <w:next w:val="BodyTextFirstIndent"/>
    <w:uiPriority w:val="94"/>
    <w:semiHidden/>
    <w:rsid w:val="002D54C4"/>
    <w:pPr>
      <w:keepNext/>
      <w:spacing w:after="240"/>
    </w:pPr>
    <w:rPr>
      <w:b/>
    </w:rPr>
  </w:style>
  <w:style w:type="paragraph" w:styleId="Title2" w:customStyle="1">
    <w:name w:val="Title2"/>
    <w:basedOn w:val="Normal"/>
    <w:next w:val="BodyTextFirstIndent"/>
    <w:uiPriority w:val="94"/>
    <w:semiHidden/>
    <w:qFormat/>
    <w:rsid w:val="002D54C4"/>
    <w:pPr>
      <w:keepNext/>
      <w:spacing w:after="240"/>
      <w:jc w:val="center"/>
    </w:pPr>
    <w:rPr>
      <w:b/>
      <w:caps/>
    </w:rPr>
  </w:style>
  <w:style w:type="paragraph" w:styleId="TOC1">
    <w:name w:val="toc 1"/>
    <w:aliases w:val="zGTOC 1"/>
    <w:basedOn w:val="zGNormal"/>
    <w:next w:val="zGNormal"/>
    <w:link w:val="TOC1Char"/>
    <w:uiPriority w:val="39"/>
    <w:rsid w:val="002D54C4"/>
    <w:pPr>
      <w:tabs>
        <w:tab w:val="left" w:leader="dot" w:pos="576"/>
        <w:tab w:val="left" w:pos="936"/>
        <w:tab w:val="left" w:pos="1152"/>
        <w:tab w:val="right" w:leader="dot" w:pos="9360"/>
      </w:tabs>
      <w:spacing w:before="60" w:after="60"/>
      <w:ind w:left="720" w:right="720" w:hanging="720"/>
    </w:pPr>
    <w:rPr>
      <w:rFonts w:ascii="Arial Bold" w:hAnsi="Arial Bold" w:eastAsia="Times New Roman"/>
      <w:b/>
      <w:caps/>
    </w:rPr>
  </w:style>
  <w:style w:type="paragraph" w:styleId="TOC2">
    <w:name w:val="toc 2"/>
    <w:aliases w:val="zgTOC 2"/>
    <w:basedOn w:val="Normal"/>
    <w:next w:val="Normal"/>
    <w:link w:val="TOC2Char"/>
    <w:uiPriority w:val="39"/>
    <w:rsid w:val="00C3776F"/>
    <w:pPr>
      <w:tabs>
        <w:tab w:val="left" w:pos="1440"/>
        <w:tab w:val="right" w:leader="dot" w:pos="9360"/>
      </w:tabs>
      <w:spacing w:after="0"/>
      <w:ind w:left="1440" w:right="720" w:hanging="720"/>
    </w:pPr>
    <w:rPr>
      <w:rFonts w:ascii="Arial" w:hAnsi="Arial" w:eastAsia="Times New Roman"/>
      <w:sz w:val="20"/>
    </w:rPr>
  </w:style>
  <w:style w:type="paragraph" w:styleId="TOC3">
    <w:name w:val="toc 3"/>
    <w:aliases w:val="zGTOC 3"/>
    <w:basedOn w:val="Normal"/>
    <w:next w:val="Normal"/>
    <w:uiPriority w:val="39"/>
    <w:rsid w:val="002D54C4"/>
    <w:pPr>
      <w:tabs>
        <w:tab w:val="left" w:pos="2160"/>
        <w:tab w:val="right" w:leader="dot" w:pos="9346"/>
      </w:tabs>
      <w:spacing w:after="60"/>
      <w:ind w:left="2160" w:right="720" w:hanging="720"/>
    </w:pPr>
    <w:rPr>
      <w:rFonts w:eastAsia="Times New Roman"/>
    </w:rPr>
  </w:style>
  <w:style w:type="paragraph" w:styleId="TOC4">
    <w:name w:val="toc 4"/>
    <w:basedOn w:val="Normal"/>
    <w:next w:val="Normal"/>
    <w:autoRedefine/>
    <w:uiPriority w:val="39"/>
    <w:rsid w:val="002D54C4"/>
    <w:pPr>
      <w:tabs>
        <w:tab w:val="left" w:pos="1440"/>
        <w:tab w:val="left" w:pos="2880"/>
        <w:tab w:val="right" w:leader="dot" w:pos="9350"/>
      </w:tabs>
      <w:ind w:left="2880" w:right="720" w:hanging="720"/>
    </w:pPr>
    <w:rPr>
      <w:rFonts w:eastAsia="Times New Roman"/>
    </w:rPr>
  </w:style>
  <w:style w:type="paragraph" w:styleId="TOC5">
    <w:name w:val="toc 5"/>
    <w:basedOn w:val="Normal"/>
    <w:next w:val="Normal"/>
    <w:autoRedefine/>
    <w:uiPriority w:val="39"/>
    <w:rsid w:val="002D54C4"/>
    <w:pPr>
      <w:tabs>
        <w:tab w:val="left" w:pos="3600"/>
        <w:tab w:val="right" w:leader="dot" w:pos="9350"/>
      </w:tabs>
      <w:ind w:left="3600" w:right="720" w:hanging="720"/>
    </w:pPr>
    <w:rPr>
      <w:rFonts w:eastAsia="Times New Roman"/>
    </w:rPr>
  </w:style>
  <w:style w:type="paragraph" w:styleId="TOC6">
    <w:name w:val="toc 6"/>
    <w:basedOn w:val="Normal"/>
    <w:next w:val="Normal"/>
    <w:autoRedefine/>
    <w:uiPriority w:val="39"/>
    <w:rsid w:val="002D54C4"/>
    <w:pPr>
      <w:ind w:left="1200"/>
    </w:pPr>
    <w:rPr>
      <w:rFonts w:eastAsia="Times New Roman"/>
    </w:rPr>
  </w:style>
  <w:style w:type="paragraph" w:styleId="TOC7">
    <w:name w:val="toc 7"/>
    <w:basedOn w:val="Normal"/>
    <w:next w:val="Normal"/>
    <w:autoRedefine/>
    <w:uiPriority w:val="39"/>
    <w:rsid w:val="002D54C4"/>
    <w:pPr>
      <w:ind w:left="1440"/>
    </w:pPr>
    <w:rPr>
      <w:rFonts w:eastAsia="Times New Roman"/>
    </w:rPr>
  </w:style>
  <w:style w:type="paragraph" w:styleId="TOC8">
    <w:name w:val="toc 8"/>
    <w:basedOn w:val="Normal"/>
    <w:next w:val="Normal"/>
    <w:autoRedefine/>
    <w:uiPriority w:val="39"/>
    <w:rsid w:val="002D54C4"/>
    <w:pPr>
      <w:ind w:left="1680"/>
    </w:pPr>
    <w:rPr>
      <w:rFonts w:eastAsia="Times New Roman"/>
    </w:rPr>
  </w:style>
  <w:style w:type="paragraph" w:styleId="TOC9">
    <w:name w:val="toc 9"/>
    <w:basedOn w:val="Normal"/>
    <w:next w:val="Normal"/>
    <w:autoRedefine/>
    <w:uiPriority w:val="39"/>
    <w:rsid w:val="002D54C4"/>
    <w:pPr>
      <w:ind w:left="1920"/>
    </w:pPr>
    <w:rPr>
      <w:rFonts w:eastAsia="Times New Roman"/>
    </w:rPr>
  </w:style>
  <w:style w:type="paragraph" w:styleId="BodyTextFirstIndent25" w:customStyle="1">
    <w:name w:val="Body Text First Indent 2 .5"/>
    <w:basedOn w:val="Normal"/>
    <w:uiPriority w:val="14"/>
    <w:semiHidden/>
    <w:rsid w:val="002D54C4"/>
    <w:pPr>
      <w:spacing w:line="480" w:lineRule="auto"/>
      <w:ind w:firstLine="720"/>
    </w:pPr>
    <w:rPr>
      <w:color w:val="000000" w:themeColor="text1"/>
    </w:rPr>
  </w:style>
  <w:style w:type="paragraph" w:styleId="Subtitle-Bold" w:customStyle="1">
    <w:name w:val="Subtitle - Bold"/>
    <w:basedOn w:val="Subtitle"/>
    <w:uiPriority w:val="94"/>
    <w:semiHidden/>
    <w:rsid w:val="002D54C4"/>
    <w:pPr>
      <w:keepNext/>
      <w:numPr>
        <w:ilvl w:val="0"/>
      </w:numPr>
      <w:spacing w:after="240"/>
      <w:jc w:val="center"/>
    </w:pPr>
    <w:rPr>
      <w:rFonts w:cs="Times New Roman" w:eastAsiaTheme="minorHAnsi"/>
      <w:b/>
      <w:bCs/>
      <w:i w:val="0"/>
      <w:iCs w:val="0"/>
      <w:spacing w:val="0"/>
    </w:rPr>
  </w:style>
  <w:style w:type="table" w:styleId="TableGrid">
    <w:name w:val="Table Grid"/>
    <w:basedOn w:val="TableNormal"/>
    <w:rsid w:val="002D54C4"/>
    <w:pPr>
      <w:spacing w:before="120" w:after="0" w:line="240" w:lineRule="auto"/>
      <w:jc w:val="both"/>
    </w:pPr>
    <w:rPr>
      <w:rFonts w:ascii="Arial" w:hAnsi="Arial"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Bullet4" w:customStyle="1">
    <w:name w:val="List Bullet4"/>
    <w:basedOn w:val="ListBullet3"/>
    <w:uiPriority w:val="94"/>
    <w:semiHidden/>
    <w:rsid w:val="00500387"/>
    <w:pPr>
      <w:tabs>
        <w:tab w:val="clear" w:pos="360"/>
      </w:tabs>
      <w:ind w:left="1440"/>
    </w:pPr>
  </w:style>
  <w:style w:type="character" w:styleId="DeltaViewDeletion" w:customStyle="1">
    <w:name w:val="DeltaView Deletion"/>
    <w:rsid w:val="002D54C4"/>
    <w:rPr>
      <w:strike/>
      <w:color w:val="FF0000"/>
    </w:rPr>
  </w:style>
  <w:style w:type="paragraph" w:styleId="ListBullet5" w:customStyle="1">
    <w:name w:val="List Bullet5"/>
    <w:basedOn w:val="ListBullet2"/>
    <w:uiPriority w:val="94"/>
    <w:semiHidden/>
    <w:rsid w:val="00772385"/>
    <w:pPr>
      <w:ind w:left="0" w:firstLine="0"/>
    </w:pPr>
  </w:style>
  <w:style w:type="paragraph" w:styleId="BodyTextIndent15" w:customStyle="1">
    <w:name w:val="Body Text Indent 1.5"/>
    <w:basedOn w:val="BodyTextIndent"/>
    <w:uiPriority w:val="14"/>
    <w:semiHidden/>
    <w:rsid w:val="002D54C4"/>
    <w:pPr>
      <w:ind w:left="2160"/>
    </w:pPr>
  </w:style>
  <w:style w:type="character" w:styleId="Hyperlink">
    <w:name w:val="Hyperlink"/>
    <w:aliases w:val="zGHyperlink"/>
    <w:basedOn w:val="DefaultParagraphFont"/>
    <w:uiPriority w:val="99"/>
    <w:rsid w:val="002D54C4"/>
    <w:rPr>
      <w:rFonts w:ascii="Arial" w:hAnsi="Arial"/>
      <w:color w:val="0000FF" w:themeColor="hyperlink"/>
      <w:sz w:val="20"/>
      <w:u w:val="single"/>
    </w:rPr>
  </w:style>
  <w:style w:type="character" w:styleId="PageNumber">
    <w:name w:val="page number"/>
    <w:basedOn w:val="DefaultParagraphFont"/>
    <w:rsid w:val="002D54C4"/>
  </w:style>
  <w:style w:type="character" w:styleId="zzmpTrailerItem" w:customStyle="1">
    <w:name w:val="zzmpTrailerItem"/>
    <w:basedOn w:val="DefaultParagraphFont"/>
    <w:uiPriority w:val="94"/>
    <w:rsid w:val="00997759"/>
    <w:rPr>
      <w:rFonts w:ascii="Arial" w:hAnsi="Arial" w:cs="Arial"/>
      <w:dstrike w:val="0"/>
      <w:noProof/>
      <w:color w:val="auto"/>
      <w:spacing w:val="0"/>
      <w:position w:val="0"/>
      <w:sz w:val="16"/>
      <w:szCs w:val="16"/>
      <w:u w:val="none"/>
      <w:effect w:val="none"/>
      <w:vertAlign w:val="baseline"/>
    </w:rPr>
  </w:style>
  <w:style w:type="character" w:styleId="CommentReference">
    <w:name w:val="annotation reference"/>
    <w:basedOn w:val="DefaultParagraphFont"/>
    <w:uiPriority w:val="99"/>
    <w:unhideWhenUsed/>
    <w:rsid w:val="002D54C4"/>
    <w:rPr>
      <w:sz w:val="16"/>
      <w:szCs w:val="16"/>
    </w:rPr>
  </w:style>
  <w:style w:type="paragraph" w:styleId="CommentText">
    <w:name w:val="annotation text"/>
    <w:basedOn w:val="Normal"/>
    <w:link w:val="CommentTextChar"/>
    <w:uiPriority w:val="99"/>
    <w:unhideWhenUsed/>
    <w:rsid w:val="002D54C4"/>
    <w:rPr>
      <w:sz w:val="18"/>
    </w:rPr>
  </w:style>
  <w:style w:type="character" w:styleId="CommentTextChar" w:customStyle="1">
    <w:name w:val="Comment Text Char"/>
    <w:basedOn w:val="DefaultParagraphFont"/>
    <w:link w:val="CommentText"/>
    <w:uiPriority w:val="99"/>
    <w:rsid w:val="002D54C4"/>
    <w:rPr>
      <w:rFonts w:ascii="Arial" w:hAnsi="Arial" w:cs="Times New Roman"/>
      <w:sz w:val="18"/>
      <w:szCs w:val="20"/>
    </w:rPr>
  </w:style>
  <w:style w:type="paragraph" w:styleId="CommentSubject">
    <w:name w:val="annotation subject"/>
    <w:basedOn w:val="CommentText"/>
    <w:next w:val="CommentText"/>
    <w:link w:val="CommentSubjectChar"/>
    <w:semiHidden/>
    <w:unhideWhenUsed/>
    <w:rsid w:val="002D54C4"/>
    <w:rPr>
      <w:b/>
      <w:bCs/>
    </w:rPr>
  </w:style>
  <w:style w:type="character" w:styleId="CommentSubjectChar" w:customStyle="1">
    <w:name w:val="Comment Subject Char"/>
    <w:basedOn w:val="CommentTextChar"/>
    <w:link w:val="CommentSubject"/>
    <w:semiHidden/>
    <w:rsid w:val="002D54C4"/>
    <w:rPr>
      <w:rFonts w:ascii="Arial" w:hAnsi="Arial" w:cs="Times New Roman"/>
      <w:b/>
      <w:bCs/>
      <w:sz w:val="18"/>
      <w:szCs w:val="20"/>
    </w:rPr>
  </w:style>
  <w:style w:type="paragraph" w:styleId="NoSpacing">
    <w:name w:val="No Spacing"/>
    <w:uiPriority w:val="94"/>
    <w:qFormat/>
    <w:rsid w:val="002D54C4"/>
    <w:pPr>
      <w:spacing w:before="120" w:after="0" w:line="240" w:lineRule="auto"/>
      <w:jc w:val="both"/>
    </w:pPr>
    <w:rPr>
      <w:rFonts w:ascii="Arial" w:hAnsi="Arial" w:eastAsia="Calibri" w:cs="Times New Roman"/>
      <w:sz w:val="20"/>
      <w:szCs w:val="20"/>
    </w:rPr>
  </w:style>
  <w:style w:type="character" w:styleId="UnresolvedMention1" w:customStyle="1">
    <w:name w:val="Unresolved Mention1"/>
    <w:basedOn w:val="DefaultParagraphFont"/>
    <w:uiPriority w:val="99"/>
    <w:semiHidden/>
    <w:rsid w:val="002D54C4"/>
    <w:rPr>
      <w:color w:val="605E5C"/>
      <w:shd w:val="clear" w:color="auto" w:fill="E1DFDD"/>
    </w:rPr>
  </w:style>
  <w:style w:type="character" w:styleId="Mention1" w:customStyle="1">
    <w:name w:val="Mention1"/>
    <w:basedOn w:val="DefaultParagraphFont"/>
    <w:uiPriority w:val="99"/>
    <w:semiHidden/>
    <w:rsid w:val="002D54C4"/>
    <w:rPr>
      <w:color w:val="2B579A"/>
      <w:shd w:val="clear" w:color="auto" w:fill="E1DFDD"/>
    </w:rPr>
  </w:style>
  <w:style w:type="character" w:styleId="UnresolvedMention2" w:customStyle="1">
    <w:name w:val="Unresolved Mention2"/>
    <w:basedOn w:val="DefaultParagraphFont"/>
    <w:uiPriority w:val="99"/>
    <w:semiHidden/>
    <w:rsid w:val="002D54C4"/>
    <w:rPr>
      <w:color w:val="605E5C"/>
      <w:shd w:val="clear" w:color="auto" w:fill="E1DFDD"/>
    </w:rPr>
  </w:style>
  <w:style w:type="character" w:styleId="SmartLink1" w:customStyle="1">
    <w:name w:val="SmartLink1"/>
    <w:basedOn w:val="DefaultParagraphFont"/>
    <w:uiPriority w:val="99"/>
    <w:rsid w:val="002D54C4"/>
    <w:rPr>
      <w:color w:val="0000FF"/>
      <w:u w:val="single"/>
      <w:shd w:val="clear" w:color="auto" w:fill="F3F2F1"/>
    </w:rPr>
  </w:style>
  <w:style w:type="paragraph" w:styleId="Revision">
    <w:name w:val="Revision"/>
    <w:hidden/>
    <w:uiPriority w:val="99"/>
    <w:semiHidden/>
    <w:rsid w:val="002D54C4"/>
    <w:pPr>
      <w:spacing w:before="120" w:after="0" w:line="240" w:lineRule="auto"/>
      <w:jc w:val="both"/>
    </w:pPr>
    <w:rPr>
      <w:rFonts w:ascii="Arial" w:hAnsi="Arial" w:eastAsia="Calibri" w:cs="Times New Roman"/>
      <w:sz w:val="20"/>
      <w:szCs w:val="20"/>
    </w:rPr>
  </w:style>
  <w:style w:type="character" w:styleId="normaltextrun" w:customStyle="1">
    <w:name w:val="normaltextrun"/>
    <w:basedOn w:val="DefaultParagraphFont"/>
    <w:rsid w:val="002D54C4"/>
  </w:style>
  <w:style w:type="character" w:styleId="eop" w:customStyle="1">
    <w:name w:val="eop"/>
    <w:basedOn w:val="DefaultParagraphFont"/>
    <w:rsid w:val="002D54C4"/>
  </w:style>
  <w:style w:type="character" w:styleId="Mention2" w:customStyle="1">
    <w:name w:val="Mention2"/>
    <w:basedOn w:val="DefaultParagraphFont"/>
    <w:uiPriority w:val="99"/>
    <w:semiHidden/>
    <w:rsid w:val="002D54C4"/>
    <w:rPr>
      <w:color w:val="2B579A"/>
      <w:shd w:val="clear" w:color="auto" w:fill="E6E6E6"/>
    </w:rPr>
  </w:style>
  <w:style w:type="character" w:styleId="UnresolvedMention3" w:customStyle="1">
    <w:name w:val="Unresolved Mention3"/>
    <w:basedOn w:val="DefaultParagraphFont"/>
    <w:uiPriority w:val="99"/>
    <w:semiHidden/>
    <w:rsid w:val="002D54C4"/>
    <w:rPr>
      <w:color w:val="605E5C"/>
      <w:shd w:val="clear" w:color="auto" w:fill="E1DFDD"/>
    </w:rPr>
  </w:style>
  <w:style w:type="paragraph" w:styleId="EndnoteText">
    <w:name w:val="endnote text"/>
    <w:basedOn w:val="Normal"/>
    <w:link w:val="EndnoteTextChar"/>
    <w:unhideWhenUsed/>
    <w:rsid w:val="002D54C4"/>
  </w:style>
  <w:style w:type="character" w:styleId="EndnoteTextChar" w:customStyle="1">
    <w:name w:val="Endnote Text Char"/>
    <w:basedOn w:val="DefaultParagraphFont"/>
    <w:link w:val="EndnoteText"/>
    <w:rsid w:val="002D54C4"/>
    <w:rPr>
      <w:rFonts w:ascii="Arial" w:hAnsi="Arial" w:cs="Times New Roman"/>
      <w:sz w:val="20"/>
      <w:szCs w:val="20"/>
    </w:rPr>
  </w:style>
  <w:style w:type="paragraph" w:styleId="zG01" w:customStyle="1">
    <w:name w:val="zG01"/>
    <w:basedOn w:val="Normal"/>
    <w:next w:val="Normal"/>
    <w:uiPriority w:val="24"/>
    <w:rsid w:val="00851C8F"/>
    <w:pPr>
      <w:keepNext/>
      <w:widowControl w:val="0"/>
      <w:numPr>
        <w:numId w:val="28"/>
      </w:numPr>
      <w:autoSpaceDE w:val="0"/>
      <w:autoSpaceDN w:val="0"/>
      <w:adjustRightInd w:val="0"/>
      <w:spacing w:before="240" w:after="60" w:line="240" w:lineRule="auto"/>
      <w:jc w:val="both"/>
      <w:outlineLvl w:val="0"/>
    </w:pPr>
    <w:rPr>
      <w:rFonts w:ascii="Arial" w:hAnsi="Arial" w:cs="Arial" w:eastAsiaTheme="minorEastAsia"/>
      <w:b/>
      <w:caps/>
      <w:spacing w:val="-6"/>
      <w:kern w:val="14"/>
      <w:sz w:val="20"/>
      <w:szCs w:val="20"/>
    </w:rPr>
  </w:style>
  <w:style w:type="character" w:styleId="zG01Char" w:customStyle="1">
    <w:name w:val="zG01 Char"/>
    <w:basedOn w:val="DefaultParagraphFont"/>
    <w:uiPriority w:val="49"/>
    <w:semiHidden/>
    <w:rsid w:val="00851C8F"/>
    <w:rPr>
      <w:rFonts w:cs="Arial"/>
      <w:b/>
      <w:caps/>
    </w:rPr>
  </w:style>
  <w:style w:type="paragraph" w:styleId="zG02" w:customStyle="1">
    <w:name w:val="zG02"/>
    <w:basedOn w:val="Normal"/>
    <w:uiPriority w:val="24"/>
    <w:rsid w:val="00802935"/>
    <w:pPr>
      <w:widowControl w:val="0"/>
      <w:numPr>
        <w:ilvl w:val="1"/>
        <w:numId w:val="40"/>
      </w:numPr>
      <w:tabs>
        <w:tab w:val="left" w:pos="576"/>
        <w:tab w:val="num" w:pos="1440"/>
      </w:tabs>
      <w:autoSpaceDE w:val="0"/>
      <w:autoSpaceDN w:val="0"/>
      <w:adjustRightInd w:val="0"/>
      <w:spacing w:before="120" w:after="0" w:line="240" w:lineRule="auto"/>
      <w:ind w:left="1440" w:hanging="360"/>
      <w:jc w:val="both"/>
      <w:outlineLvl w:val="1"/>
    </w:pPr>
    <w:rPr>
      <w:rFonts w:ascii="Arial" w:hAnsi="Arial" w:cs="Arial" w:eastAsiaTheme="minorEastAsia"/>
      <w:spacing w:val="-6"/>
      <w:kern w:val="14"/>
      <w:sz w:val="20"/>
      <w:szCs w:val="20"/>
    </w:rPr>
  </w:style>
  <w:style w:type="character" w:styleId="zG02Char" w:customStyle="1">
    <w:name w:val="zG02 Char"/>
    <w:basedOn w:val="zG01Char"/>
    <w:uiPriority w:val="49"/>
    <w:semiHidden/>
    <w:rsid w:val="00851C8F"/>
    <w:rPr>
      <w:rFonts w:cs="Arial"/>
      <w:b w:val="0"/>
      <w:caps w:val="0"/>
    </w:rPr>
  </w:style>
  <w:style w:type="paragraph" w:styleId="zG03" w:customStyle="1">
    <w:name w:val="zG03"/>
    <w:basedOn w:val="Normal"/>
    <w:uiPriority w:val="24"/>
    <w:rsid w:val="00851C8F"/>
    <w:pPr>
      <w:widowControl w:val="0"/>
      <w:numPr>
        <w:ilvl w:val="2"/>
        <w:numId w:val="28"/>
      </w:numPr>
      <w:tabs>
        <w:tab w:val="left" w:pos="576"/>
      </w:tabs>
      <w:autoSpaceDE w:val="0"/>
      <w:autoSpaceDN w:val="0"/>
      <w:adjustRightInd w:val="0"/>
      <w:spacing w:before="120" w:after="0" w:line="240" w:lineRule="auto"/>
      <w:jc w:val="both"/>
      <w:outlineLvl w:val="2"/>
    </w:pPr>
    <w:rPr>
      <w:rFonts w:ascii="Arial" w:hAnsi="Arial" w:cs="Arial" w:eastAsiaTheme="minorEastAsia"/>
      <w:spacing w:val="-6"/>
      <w:kern w:val="14"/>
      <w:sz w:val="20"/>
      <w:szCs w:val="20"/>
    </w:rPr>
  </w:style>
  <w:style w:type="paragraph" w:styleId="zG04" w:customStyle="1">
    <w:name w:val="zG04"/>
    <w:basedOn w:val="Normal"/>
    <w:uiPriority w:val="24"/>
    <w:rsid w:val="00802935"/>
    <w:pPr>
      <w:widowControl w:val="0"/>
      <w:numPr>
        <w:ilvl w:val="3"/>
        <w:numId w:val="28"/>
      </w:numPr>
      <w:tabs>
        <w:tab w:val="clear" w:pos="936"/>
        <w:tab w:val="left" w:pos="1008"/>
        <w:tab w:val="left" w:pos="1080"/>
        <w:tab w:val="num" w:pos="1728"/>
        <w:tab w:val="num" w:pos="2880"/>
      </w:tabs>
      <w:autoSpaceDE w:val="0"/>
      <w:autoSpaceDN w:val="0"/>
      <w:adjustRightInd w:val="0"/>
      <w:spacing w:before="60" w:after="0" w:line="240" w:lineRule="auto"/>
      <w:ind w:left="2880" w:hanging="360"/>
      <w:jc w:val="both"/>
      <w:outlineLvl w:val="3"/>
    </w:pPr>
    <w:rPr>
      <w:rFonts w:ascii="Arial" w:hAnsi="Arial" w:cs="Arial" w:eastAsiaTheme="minorEastAsia"/>
      <w:spacing w:val="-6"/>
      <w:kern w:val="14"/>
      <w:sz w:val="20"/>
      <w:szCs w:val="20"/>
    </w:rPr>
  </w:style>
  <w:style w:type="paragraph" w:styleId="zG05" w:customStyle="1">
    <w:name w:val="zG05"/>
    <w:basedOn w:val="Normal"/>
    <w:uiPriority w:val="24"/>
    <w:rsid w:val="00802935"/>
    <w:pPr>
      <w:widowControl w:val="0"/>
      <w:numPr>
        <w:ilvl w:val="4"/>
        <w:numId w:val="28"/>
      </w:numPr>
      <w:tabs>
        <w:tab w:val="left" w:pos="1368"/>
        <w:tab w:val="num" w:pos="2304"/>
        <w:tab w:val="num" w:pos="3600"/>
      </w:tabs>
      <w:autoSpaceDE w:val="0"/>
      <w:autoSpaceDN w:val="0"/>
      <w:adjustRightInd w:val="0"/>
      <w:spacing w:before="60" w:after="0" w:line="240" w:lineRule="auto"/>
      <w:ind w:left="3600" w:hanging="360"/>
      <w:jc w:val="both"/>
      <w:outlineLvl w:val="4"/>
    </w:pPr>
    <w:rPr>
      <w:rFonts w:ascii="Arial" w:hAnsi="Arial" w:cs="Arial" w:eastAsiaTheme="minorEastAsia"/>
      <w:spacing w:val="-6"/>
      <w:kern w:val="14"/>
      <w:sz w:val="20"/>
      <w:szCs w:val="20"/>
    </w:rPr>
  </w:style>
  <w:style w:type="paragraph" w:styleId="zGBorder" w:customStyle="1">
    <w:name w:val="zGBorder"/>
    <w:uiPriority w:val="4"/>
    <w:rsid w:val="00851C8F"/>
    <w:pPr>
      <w:widowControl w:val="0"/>
      <w:pBdr>
        <w:top w:val="single" w:color="auto" w:sz="18" w:space="5"/>
        <w:bottom w:val="single" w:color="auto" w:sz="18" w:space="5"/>
      </w:pBdr>
      <w:tabs>
        <w:tab w:val="right" w:pos="9864"/>
      </w:tabs>
      <w:autoSpaceDE w:val="0"/>
      <w:autoSpaceDN w:val="0"/>
      <w:adjustRightInd w:val="0"/>
      <w:spacing w:before="120" w:after="120" w:line="240" w:lineRule="auto"/>
    </w:pPr>
    <w:rPr>
      <w:rFonts w:ascii="Arial" w:hAnsi="Arial" w:cs="Arial" w:eastAsiaTheme="minorEastAsia"/>
      <w:spacing w:val="-6"/>
      <w:kern w:val="14"/>
      <w:sz w:val="20"/>
      <w:szCs w:val="24"/>
    </w:rPr>
  </w:style>
  <w:style w:type="paragraph" w:styleId="zGFooterLine" w:customStyle="1">
    <w:name w:val="zGFooterLine"/>
    <w:basedOn w:val="Normal"/>
    <w:uiPriority w:val="5"/>
    <w:rsid w:val="00851C8F"/>
    <w:pPr>
      <w:widowControl w:val="0"/>
      <w:pBdr>
        <w:bottom w:val="single" w:color="auto" w:sz="2" w:space="1"/>
      </w:pBdr>
      <w:tabs>
        <w:tab w:val="center" w:pos="5040"/>
        <w:tab w:val="right" w:pos="8630"/>
      </w:tabs>
      <w:autoSpaceDE w:val="0"/>
      <w:autoSpaceDN w:val="0"/>
      <w:adjustRightInd w:val="0"/>
      <w:spacing w:after="80" w:line="240" w:lineRule="auto"/>
      <w:jc w:val="both"/>
    </w:pPr>
    <w:rPr>
      <w:rFonts w:ascii="Arial" w:hAnsi="Arial" w:cs="Times New Roman" w:eastAsiaTheme="minorEastAsia"/>
      <w:spacing w:val="-6"/>
      <w:kern w:val="14"/>
      <w:sz w:val="8"/>
      <w:szCs w:val="24"/>
    </w:rPr>
  </w:style>
  <w:style w:type="paragraph" w:styleId="zGHeaderDraft" w:customStyle="1">
    <w:name w:val="zGHeaderDraft"/>
    <w:next w:val="Normal"/>
    <w:uiPriority w:val="99"/>
    <w:semiHidden/>
    <w:qFormat/>
    <w:rsid w:val="00851C8F"/>
    <w:pPr>
      <w:widowControl w:val="0"/>
      <w:tabs>
        <w:tab w:val="right" w:pos="9936"/>
      </w:tabs>
      <w:autoSpaceDE w:val="0"/>
      <w:autoSpaceDN w:val="0"/>
      <w:adjustRightInd w:val="0"/>
      <w:spacing w:after="0" w:line="240" w:lineRule="auto"/>
      <w:jc w:val="right"/>
    </w:pPr>
    <w:rPr>
      <w:rFonts w:ascii="Arial Bold" w:hAnsi="Arial Bold" w:cs="Arial" w:eastAsiaTheme="minorEastAsia"/>
      <w:b/>
      <w:i/>
      <w:color w:val="FF0000"/>
      <w:spacing w:val="-6"/>
      <w:kern w:val="14"/>
      <w:sz w:val="18"/>
      <w:szCs w:val="20"/>
    </w:rPr>
  </w:style>
  <w:style w:type="paragraph" w:styleId="zGHiddenTitle" w:customStyle="1">
    <w:name w:val="zGHiddenTitle"/>
    <w:uiPriority w:val="9"/>
    <w:semiHidden/>
    <w:rsid w:val="00851C8F"/>
    <w:pPr>
      <w:keepNext/>
      <w:widowControl w:val="0"/>
      <w:autoSpaceDE w:val="0"/>
      <w:autoSpaceDN w:val="0"/>
      <w:adjustRightInd w:val="0"/>
      <w:spacing w:after="0" w:line="240" w:lineRule="auto"/>
    </w:pPr>
    <w:rPr>
      <w:rFonts w:ascii="Arial" w:hAnsi="Arial" w:cs="Arial" w:eastAsiaTheme="minorEastAsia"/>
      <w:color w:val="FFFFFF"/>
      <w:spacing w:val="-6"/>
      <w:kern w:val="14"/>
      <w:sz w:val="2"/>
      <w:szCs w:val="20"/>
    </w:rPr>
  </w:style>
  <w:style w:type="paragraph" w:styleId="zGListi" w:customStyle="1">
    <w:name w:val="zGList(i)"/>
    <w:uiPriority w:val="6"/>
    <w:qFormat/>
    <w:rsid w:val="00851C8F"/>
    <w:pPr>
      <w:widowControl w:val="0"/>
      <w:numPr>
        <w:numId w:val="29"/>
      </w:numPr>
      <w:autoSpaceDE w:val="0"/>
      <w:autoSpaceDN w:val="0"/>
      <w:adjustRightInd w:val="0"/>
      <w:spacing w:before="120" w:after="0" w:line="240" w:lineRule="auto"/>
      <w:jc w:val="both"/>
    </w:pPr>
    <w:rPr>
      <w:rFonts w:ascii="Arial" w:hAnsi="Arial" w:cs="Arial" w:eastAsiaTheme="minorEastAsia"/>
      <w:spacing w:val="-6"/>
      <w:kern w:val="14"/>
      <w:sz w:val="20"/>
      <w:szCs w:val="20"/>
    </w:rPr>
  </w:style>
  <w:style w:type="paragraph" w:styleId="zGListBullet" w:customStyle="1">
    <w:name w:val="zGListBullet"/>
    <w:uiPriority w:val="6"/>
    <w:qFormat/>
    <w:rsid w:val="00802935"/>
    <w:pPr>
      <w:widowControl w:val="0"/>
      <w:numPr>
        <w:numId w:val="30"/>
      </w:numPr>
      <w:tabs>
        <w:tab w:val="num" w:pos="1152"/>
      </w:tabs>
      <w:autoSpaceDE w:val="0"/>
      <w:autoSpaceDN w:val="0"/>
      <w:adjustRightInd w:val="0"/>
      <w:spacing w:before="60" w:after="0" w:line="240" w:lineRule="auto"/>
      <w:ind w:left="1152" w:hanging="1152"/>
      <w:jc w:val="both"/>
    </w:pPr>
    <w:rPr>
      <w:rFonts w:ascii="Arial" w:hAnsi="Arial" w:cs="Arial" w:eastAsiaTheme="minorEastAsia"/>
      <w:spacing w:val="-6"/>
      <w:kern w:val="14"/>
      <w:sz w:val="20"/>
      <w:szCs w:val="20"/>
    </w:rPr>
  </w:style>
  <w:style w:type="paragraph" w:styleId="zGListBullet2" w:customStyle="1">
    <w:name w:val="zGListBullet2"/>
    <w:uiPriority w:val="6"/>
    <w:qFormat/>
    <w:rsid w:val="00802935"/>
    <w:pPr>
      <w:widowControl w:val="0"/>
      <w:numPr>
        <w:numId w:val="31"/>
      </w:numPr>
      <w:tabs>
        <w:tab w:val="num" w:pos="1152"/>
      </w:tabs>
      <w:autoSpaceDE w:val="0"/>
      <w:autoSpaceDN w:val="0"/>
      <w:adjustRightInd w:val="0"/>
      <w:spacing w:before="60" w:after="0" w:line="240" w:lineRule="auto"/>
      <w:ind w:left="1152" w:hanging="1152"/>
    </w:pPr>
    <w:rPr>
      <w:rFonts w:ascii="Arial" w:hAnsi="Arial" w:cs="Arial" w:eastAsiaTheme="minorEastAsia"/>
      <w:spacing w:val="-6"/>
      <w:kern w:val="14"/>
      <w:sz w:val="20"/>
      <w:szCs w:val="20"/>
    </w:rPr>
  </w:style>
  <w:style w:type="paragraph" w:styleId="zGListNum" w:customStyle="1">
    <w:name w:val="zGListNum"/>
    <w:uiPriority w:val="6"/>
    <w:rsid w:val="00851C8F"/>
    <w:pPr>
      <w:widowControl w:val="0"/>
      <w:numPr>
        <w:numId w:val="32"/>
      </w:numPr>
      <w:tabs>
        <w:tab w:val="left" w:pos="360"/>
      </w:tabs>
      <w:autoSpaceDE w:val="0"/>
      <w:autoSpaceDN w:val="0"/>
      <w:adjustRightInd w:val="0"/>
      <w:spacing w:before="120" w:after="0" w:line="240" w:lineRule="auto"/>
      <w:jc w:val="both"/>
    </w:pPr>
    <w:rPr>
      <w:rFonts w:ascii="Arial" w:hAnsi="Arial" w:cs="Arial" w:eastAsiaTheme="minorEastAsia"/>
      <w:spacing w:val="-6"/>
      <w:kern w:val="14"/>
      <w:sz w:val="20"/>
      <w:szCs w:val="20"/>
    </w:rPr>
  </w:style>
  <w:style w:type="paragraph" w:styleId="zGTableHeading1" w:customStyle="1">
    <w:name w:val="zGTableHeading1"/>
    <w:uiPriority w:val="7"/>
    <w:rsid w:val="00851C8F"/>
    <w:pPr>
      <w:keepNext/>
      <w:keepLines/>
      <w:widowControl w:val="0"/>
      <w:autoSpaceDE w:val="0"/>
      <w:autoSpaceDN w:val="0"/>
      <w:adjustRightInd w:val="0"/>
      <w:spacing w:after="0" w:line="240" w:lineRule="auto"/>
      <w:jc w:val="center"/>
      <w:outlineLvl w:val="0"/>
    </w:pPr>
    <w:rPr>
      <w:rFonts w:ascii="Arial" w:hAnsi="Arial" w:cs="Arial" w:eastAsiaTheme="minorEastAsia"/>
      <w:b/>
      <w:smallCaps/>
      <w:color w:val="000000"/>
      <w:spacing w:val="-6"/>
      <w:kern w:val="14"/>
      <w:sz w:val="20"/>
      <w:szCs w:val="24"/>
    </w:rPr>
  </w:style>
  <w:style w:type="paragraph" w:styleId="zGTableHeading2" w:customStyle="1">
    <w:name w:val="zGTableHeading2"/>
    <w:uiPriority w:val="7"/>
    <w:qFormat/>
    <w:rsid w:val="00851C8F"/>
    <w:pPr>
      <w:keepNext/>
      <w:widowControl w:val="0"/>
      <w:autoSpaceDE w:val="0"/>
      <w:autoSpaceDN w:val="0"/>
      <w:adjustRightInd w:val="0"/>
      <w:spacing w:after="0" w:line="240" w:lineRule="auto"/>
      <w:jc w:val="center"/>
      <w:outlineLvl w:val="0"/>
    </w:pPr>
    <w:rPr>
      <w:rFonts w:ascii="Arial" w:hAnsi="Arial" w:cs="Arial" w:eastAsiaTheme="minorEastAsia"/>
      <w:b/>
      <w:spacing w:val="-6"/>
      <w:kern w:val="14"/>
      <w:sz w:val="18"/>
      <w:szCs w:val="20"/>
    </w:rPr>
  </w:style>
  <w:style w:type="paragraph" w:styleId="zGTableHeading3" w:customStyle="1">
    <w:name w:val="zGTableHeading3"/>
    <w:uiPriority w:val="7"/>
    <w:qFormat/>
    <w:rsid w:val="00851C8F"/>
    <w:pPr>
      <w:widowControl w:val="0"/>
      <w:autoSpaceDE w:val="0"/>
      <w:autoSpaceDN w:val="0"/>
      <w:adjustRightInd w:val="0"/>
      <w:spacing w:after="0" w:line="240" w:lineRule="auto"/>
      <w:jc w:val="center"/>
      <w:outlineLvl w:val="0"/>
    </w:pPr>
    <w:rPr>
      <w:rFonts w:ascii="Arial" w:hAnsi="Arial" w:cs="Arial" w:eastAsiaTheme="minorEastAsia"/>
      <w:b/>
      <w:smallCaps/>
      <w:color w:val="000000"/>
      <w:spacing w:val="-6"/>
      <w:kern w:val="14"/>
      <w:sz w:val="18"/>
      <w:szCs w:val="20"/>
    </w:rPr>
  </w:style>
  <w:style w:type="paragraph" w:styleId="zGTableSig12" w:customStyle="1">
    <w:name w:val="zGTableSig12"/>
    <w:uiPriority w:val="7"/>
    <w:rsid w:val="00851C8F"/>
    <w:pPr>
      <w:keepNext/>
      <w:keepLines/>
      <w:widowControl w:val="0"/>
      <w:autoSpaceDE w:val="0"/>
      <w:autoSpaceDN w:val="0"/>
      <w:adjustRightInd w:val="0"/>
      <w:spacing w:after="0" w:line="240" w:lineRule="auto"/>
    </w:pPr>
    <w:rPr>
      <w:rFonts w:ascii="Arial" w:hAnsi="Arial" w:cs="Arial" w:eastAsiaTheme="minorEastAsia"/>
      <w:b/>
      <w:spacing w:val="-6"/>
      <w:kern w:val="14"/>
      <w:sz w:val="24"/>
      <w:szCs w:val="20"/>
    </w:rPr>
  </w:style>
  <w:style w:type="paragraph" w:styleId="zGTC01" w:customStyle="1">
    <w:name w:val="zGTC01"/>
    <w:basedOn w:val="zGNormal"/>
    <w:next w:val="Normal"/>
    <w:link w:val="zGTC01Char"/>
    <w:uiPriority w:val="1"/>
    <w:qFormat/>
    <w:rsid w:val="00851C8F"/>
    <w:pPr>
      <w:keepNext/>
      <w:numPr>
        <w:numId w:val="62"/>
      </w:numPr>
      <w:autoSpaceDE/>
      <w:autoSpaceDN/>
      <w:adjustRightInd/>
      <w:spacing w:before="240" w:after="120"/>
      <w:outlineLvl w:val="0"/>
    </w:pPr>
    <w:rPr>
      <w:rFonts w:ascii="Arial Bold" w:hAnsi="Arial Bold" w:eastAsia="Times New Roman"/>
      <w:b/>
      <w:caps/>
      <w:szCs w:val="24"/>
    </w:rPr>
  </w:style>
  <w:style w:type="character" w:styleId="zGTC01Char" w:customStyle="1">
    <w:name w:val="zGTC01 Char"/>
    <w:basedOn w:val="DefaultParagraphFont"/>
    <w:link w:val="zGTC01"/>
    <w:uiPriority w:val="1"/>
    <w:rsid w:val="00851C8F"/>
    <w:rPr>
      <w:rFonts w:ascii="Arial Bold" w:hAnsi="Arial Bold" w:eastAsia="Times New Roman" w:cs="Arial"/>
      <w:b/>
      <w:caps/>
      <w:kern w:val="14"/>
      <w:sz w:val="20"/>
      <w:szCs w:val="24"/>
    </w:rPr>
  </w:style>
  <w:style w:type="paragraph" w:styleId="zGTC02" w:customStyle="1">
    <w:name w:val="zGTC02"/>
    <w:basedOn w:val="zGNormal"/>
    <w:link w:val="zGTC02Char"/>
    <w:uiPriority w:val="1"/>
    <w:qFormat/>
    <w:rsid w:val="00851C8F"/>
    <w:pPr>
      <w:numPr>
        <w:ilvl w:val="1"/>
        <w:numId w:val="62"/>
      </w:numPr>
      <w:autoSpaceDE/>
      <w:autoSpaceDN/>
      <w:adjustRightInd/>
      <w:spacing w:before="120"/>
    </w:pPr>
    <w:rPr>
      <w:rFonts w:ascii="Arial Bold" w:hAnsi="Arial Bold" w:eastAsia="Times New Roman" w:cs="Times New Roman"/>
      <w:b/>
      <w:szCs w:val="24"/>
    </w:rPr>
  </w:style>
  <w:style w:type="character" w:styleId="zGTC02Char" w:customStyle="1">
    <w:name w:val="zGTC02 Char"/>
    <w:basedOn w:val="DefaultParagraphFont"/>
    <w:link w:val="zGTC02"/>
    <w:uiPriority w:val="1"/>
    <w:rsid w:val="00851C8F"/>
    <w:rPr>
      <w:rFonts w:ascii="Arial Bold" w:hAnsi="Arial Bold" w:eastAsia="Times New Roman" w:cs="Times New Roman"/>
      <w:b/>
      <w:kern w:val="14"/>
      <w:sz w:val="20"/>
      <w:szCs w:val="24"/>
    </w:rPr>
  </w:style>
  <w:style w:type="paragraph" w:styleId="zGTC03" w:customStyle="1">
    <w:name w:val="zGTC03"/>
    <w:basedOn w:val="zGNormal"/>
    <w:link w:val="zGTC03Char"/>
    <w:qFormat/>
    <w:rsid w:val="00851C8F"/>
    <w:pPr>
      <w:numPr>
        <w:ilvl w:val="2"/>
        <w:numId w:val="62"/>
      </w:numPr>
      <w:autoSpaceDE/>
      <w:autoSpaceDN/>
      <w:adjustRightInd/>
      <w:spacing w:before="120"/>
    </w:pPr>
    <w:rPr>
      <w:rFonts w:eastAsia="Times New Roman" w:cs="Times New Roman"/>
      <w:szCs w:val="24"/>
    </w:rPr>
  </w:style>
  <w:style w:type="paragraph" w:styleId="zGTC04" w:customStyle="1">
    <w:name w:val="zGTC04"/>
    <w:basedOn w:val="zGNormal"/>
    <w:link w:val="zGTC04Char"/>
    <w:qFormat/>
    <w:rsid w:val="00802935"/>
    <w:pPr>
      <w:numPr>
        <w:ilvl w:val="3"/>
        <w:numId w:val="62"/>
      </w:numPr>
      <w:autoSpaceDE/>
      <w:autoSpaceDN/>
      <w:adjustRightInd/>
      <w:spacing w:before="120"/>
    </w:pPr>
    <w:rPr>
      <w:rFonts w:eastAsia="Times New Roman" w:cs="Times New Roman"/>
      <w:szCs w:val="24"/>
    </w:rPr>
  </w:style>
  <w:style w:type="paragraph" w:styleId="zGTC05" w:customStyle="1">
    <w:name w:val="zGTC05"/>
    <w:basedOn w:val="zGNormal"/>
    <w:link w:val="zGTC05Char"/>
    <w:uiPriority w:val="1"/>
    <w:qFormat/>
    <w:rsid w:val="00802935"/>
    <w:pPr>
      <w:numPr>
        <w:ilvl w:val="4"/>
        <w:numId w:val="62"/>
      </w:numPr>
      <w:autoSpaceDE/>
      <w:autoSpaceDN/>
      <w:adjustRightInd/>
      <w:spacing w:before="60"/>
    </w:pPr>
    <w:rPr>
      <w:rFonts w:eastAsia="Times New Roman" w:cs="Times New Roman"/>
      <w:szCs w:val="24"/>
    </w:rPr>
  </w:style>
  <w:style w:type="paragraph" w:styleId="zGTitle11" w:customStyle="1">
    <w:name w:val="zGTitle11"/>
    <w:link w:val="zGTitle11Char"/>
    <w:uiPriority w:val="4"/>
    <w:qFormat/>
    <w:rsid w:val="00851C8F"/>
    <w:pPr>
      <w:spacing w:before="240" w:after="240" w:line="240" w:lineRule="auto"/>
      <w:jc w:val="center"/>
    </w:pPr>
    <w:rPr>
      <w:rFonts w:ascii="Arial" w:hAnsi="Arial" w:eastAsia="Times New Roman" w:cs="Times New Roman"/>
      <w:b/>
      <w:spacing w:val="-6"/>
      <w:kern w:val="14"/>
      <w:szCs w:val="20"/>
    </w:rPr>
  </w:style>
  <w:style w:type="character" w:styleId="zGTitle11Char" w:customStyle="1">
    <w:name w:val="zGTitle11 Char"/>
    <w:basedOn w:val="DefaultParagraphFont"/>
    <w:link w:val="zGTitle11"/>
    <w:uiPriority w:val="4"/>
    <w:rsid w:val="00851C8F"/>
    <w:rPr>
      <w:rFonts w:ascii="Arial" w:hAnsi="Arial" w:eastAsia="Times New Roman" w:cs="Times New Roman"/>
      <w:b/>
      <w:spacing w:val="-6"/>
      <w:kern w:val="14"/>
      <w:szCs w:val="20"/>
    </w:rPr>
  </w:style>
  <w:style w:type="paragraph" w:styleId="zGBody1" w:customStyle="1">
    <w:name w:val="zGBody 1"/>
    <w:basedOn w:val="zGNormal"/>
    <w:next w:val="zGBody2"/>
    <w:link w:val="zGBody1Char"/>
    <w:uiPriority w:val="3"/>
    <w:qFormat/>
    <w:rsid w:val="00FD72E8"/>
    <w:pPr>
      <w:keepNext/>
      <w:spacing w:before="480" w:after="240"/>
    </w:pPr>
    <w:rPr>
      <w:rFonts w:ascii="Arial Bold" w:hAnsi="Arial Bold"/>
      <w:b/>
      <w:caps/>
      <w:u w:val="single"/>
    </w:rPr>
  </w:style>
  <w:style w:type="paragraph" w:styleId="zGBody2" w:customStyle="1">
    <w:name w:val="zGBody 2"/>
    <w:basedOn w:val="zGNormal"/>
    <w:link w:val="zGBody2Char"/>
    <w:uiPriority w:val="3"/>
    <w:qFormat/>
    <w:rsid w:val="00FD72E8"/>
    <w:pPr>
      <w:keepNext/>
      <w:spacing w:before="360" w:after="120"/>
    </w:pPr>
    <w:rPr>
      <w:rFonts w:ascii="Arial Bold" w:hAnsi="Arial Bold"/>
      <w:b/>
    </w:rPr>
  </w:style>
  <w:style w:type="paragraph" w:styleId="zGBody3" w:customStyle="1">
    <w:name w:val="zGBody 3"/>
    <w:basedOn w:val="zGNormal"/>
    <w:link w:val="zGBody3Char"/>
    <w:uiPriority w:val="3"/>
    <w:qFormat/>
    <w:rsid w:val="00FD72E8"/>
    <w:pPr>
      <w:spacing w:before="120" w:after="240"/>
    </w:pPr>
  </w:style>
  <w:style w:type="paragraph" w:styleId="zGBody4" w:customStyle="1">
    <w:name w:val="zGBody 4"/>
    <w:basedOn w:val="Normal"/>
    <w:link w:val="zGBody4Char"/>
    <w:uiPriority w:val="3"/>
    <w:rsid w:val="00FD72E8"/>
    <w:pPr>
      <w:spacing w:before="120" w:after="120" w:line="240" w:lineRule="auto"/>
    </w:pPr>
    <w:rPr>
      <w:rFonts w:ascii="Arial" w:hAnsi="Arial" w:cs="Times New Roman"/>
      <w:sz w:val="20"/>
      <w:szCs w:val="20"/>
    </w:rPr>
  </w:style>
  <w:style w:type="paragraph" w:styleId="zGZ1" w:customStyle="1">
    <w:name w:val="zGZ1"/>
    <w:uiPriority w:val="6"/>
    <w:rsid w:val="00851C8F"/>
    <w:pPr>
      <w:numPr>
        <w:numId w:val="41"/>
      </w:numPr>
      <w:tabs>
        <w:tab w:val="left" w:pos="576"/>
        <w:tab w:val="num" w:pos="720"/>
      </w:tabs>
      <w:spacing w:before="120" w:after="120" w:line="240" w:lineRule="auto"/>
      <w:ind w:left="720"/>
      <w:jc w:val="both"/>
    </w:pPr>
    <w:rPr>
      <w:rFonts w:ascii="Arial" w:hAnsi="Arial" w:eastAsia="Times New Roman" w:cs="Times New Roman"/>
      <w:sz w:val="20"/>
      <w:szCs w:val="24"/>
    </w:rPr>
  </w:style>
  <w:style w:type="paragraph" w:styleId="zGZ2" w:customStyle="1">
    <w:name w:val="zGZ2"/>
    <w:uiPriority w:val="6"/>
    <w:rsid w:val="00802935"/>
    <w:pPr>
      <w:numPr>
        <w:ilvl w:val="1"/>
        <w:numId w:val="35"/>
      </w:numPr>
      <w:tabs>
        <w:tab w:val="clear" w:pos="576"/>
      </w:tabs>
      <w:spacing w:before="120" w:after="120" w:line="240" w:lineRule="auto"/>
      <w:ind w:left="1800" w:hanging="360"/>
      <w:jc w:val="both"/>
    </w:pPr>
    <w:rPr>
      <w:rFonts w:ascii="Arial" w:hAnsi="Arial" w:eastAsia="Times New Roman" w:cs="Times New Roman"/>
      <w:sz w:val="20"/>
      <w:szCs w:val="24"/>
    </w:rPr>
  </w:style>
  <w:style w:type="paragraph" w:styleId="zGZ3" w:customStyle="1">
    <w:name w:val="zGZ3"/>
    <w:basedOn w:val="Normal"/>
    <w:uiPriority w:val="6"/>
    <w:rsid w:val="00802935"/>
    <w:pPr>
      <w:numPr>
        <w:ilvl w:val="2"/>
        <w:numId w:val="35"/>
      </w:numPr>
      <w:tabs>
        <w:tab w:val="clear" w:pos="1080"/>
      </w:tabs>
      <w:spacing w:before="80" w:after="0" w:line="240" w:lineRule="auto"/>
      <w:ind w:left="2520" w:hanging="360"/>
      <w:jc w:val="both"/>
    </w:pPr>
    <w:rPr>
      <w:rFonts w:ascii="Arial" w:hAnsi="Arial" w:eastAsia="Times New Roman" w:cs="Times New Roman"/>
      <w:sz w:val="20"/>
      <w:szCs w:val="24"/>
    </w:rPr>
  </w:style>
  <w:style w:type="numbering" w:styleId="zGzListStyle1" w:customStyle="1">
    <w:name w:val="zGzListStyle1"/>
    <w:uiPriority w:val="99"/>
    <w:rsid w:val="00851C8F"/>
    <w:pPr>
      <w:numPr>
        <w:numId w:val="3"/>
      </w:numPr>
    </w:pPr>
  </w:style>
  <w:style w:type="numbering" w:styleId="zGzListStyle2" w:customStyle="1">
    <w:name w:val="zGzListStyle2"/>
    <w:uiPriority w:val="99"/>
    <w:rsid w:val="00851C8F"/>
    <w:pPr>
      <w:numPr>
        <w:numId w:val="42"/>
      </w:numPr>
    </w:pPr>
  </w:style>
  <w:style w:type="numbering" w:styleId="zGzListStyle3" w:customStyle="1">
    <w:name w:val="zGzListStyle3"/>
    <w:uiPriority w:val="99"/>
    <w:rsid w:val="00851C8F"/>
    <w:pPr>
      <w:numPr>
        <w:numId w:val="19"/>
      </w:numPr>
    </w:pPr>
  </w:style>
  <w:style w:type="character" w:styleId="EndnoteReference">
    <w:name w:val="endnote reference"/>
    <w:basedOn w:val="DefaultParagraphFont"/>
    <w:semiHidden/>
    <w:unhideWhenUsed/>
    <w:rsid w:val="002D54C4"/>
    <w:rPr>
      <w:vertAlign w:val="superscript"/>
    </w:rPr>
  </w:style>
  <w:style w:type="paragraph" w:styleId="zGBody5" w:customStyle="1">
    <w:name w:val="zGBody 5"/>
    <w:basedOn w:val="Normal"/>
    <w:link w:val="zGBody5Char"/>
    <w:uiPriority w:val="3"/>
    <w:rsid w:val="00FD72E8"/>
    <w:pPr>
      <w:spacing w:after="0" w:line="240" w:lineRule="auto"/>
    </w:pPr>
    <w:rPr>
      <w:rFonts w:ascii="Arial" w:hAnsi="Arial" w:cs="Times New Roman"/>
      <w:sz w:val="20"/>
      <w:szCs w:val="20"/>
    </w:rPr>
  </w:style>
  <w:style w:type="character" w:styleId="zGNormalChar" w:customStyle="1">
    <w:name w:val="zGNormal Char"/>
    <w:basedOn w:val="DefaultParagraphFont"/>
    <w:link w:val="zGNormal"/>
    <w:rsid w:val="00851C8F"/>
    <w:rPr>
      <w:rFonts w:ascii="Arial" w:hAnsi="Arial" w:cs="Arial" w:eastAsiaTheme="minorEastAsia"/>
      <w:kern w:val="14"/>
      <w:sz w:val="20"/>
      <w:szCs w:val="20"/>
    </w:rPr>
  </w:style>
  <w:style w:type="paragraph" w:styleId="zGBody6" w:customStyle="1">
    <w:name w:val="zGBody 6"/>
    <w:basedOn w:val="Normal"/>
    <w:link w:val="zGBody6Char"/>
    <w:uiPriority w:val="3"/>
    <w:rsid w:val="00FD72E8"/>
    <w:pPr>
      <w:spacing w:after="0" w:line="240" w:lineRule="auto"/>
    </w:pPr>
    <w:rPr>
      <w:rFonts w:ascii="Arial" w:hAnsi="Arial" w:cs="Times New Roman"/>
      <w:sz w:val="20"/>
      <w:szCs w:val="20"/>
    </w:rPr>
  </w:style>
  <w:style w:type="character" w:styleId="zGBody1Char" w:customStyle="1">
    <w:name w:val="zGBody 1 Char"/>
    <w:basedOn w:val="zGNormalChar"/>
    <w:link w:val="zGBody1"/>
    <w:uiPriority w:val="3"/>
    <w:rsid w:val="00851C8F"/>
    <w:rPr>
      <w:rFonts w:ascii="Arial Bold" w:hAnsi="Arial Bold" w:cs="Arial" w:eastAsiaTheme="minorEastAsia"/>
      <w:b/>
      <w:caps/>
      <w:kern w:val="14"/>
      <w:sz w:val="20"/>
      <w:szCs w:val="20"/>
      <w:u w:val="single"/>
    </w:rPr>
  </w:style>
  <w:style w:type="character" w:styleId="zGBody2Char" w:customStyle="1">
    <w:name w:val="zGBody 2 Char"/>
    <w:basedOn w:val="zGNormalChar"/>
    <w:link w:val="zGBody2"/>
    <w:uiPriority w:val="3"/>
    <w:rsid w:val="00851C8F"/>
    <w:rPr>
      <w:rFonts w:ascii="Arial Bold" w:hAnsi="Arial Bold" w:cs="Arial" w:eastAsiaTheme="minorEastAsia"/>
      <w:b/>
      <w:kern w:val="14"/>
      <w:sz w:val="20"/>
      <w:szCs w:val="20"/>
    </w:rPr>
  </w:style>
  <w:style w:type="character" w:styleId="zGBody3Char" w:customStyle="1">
    <w:name w:val="zGBody 3 Char"/>
    <w:basedOn w:val="zGNormalChar"/>
    <w:link w:val="zGBody3"/>
    <w:uiPriority w:val="3"/>
    <w:rsid w:val="00851C8F"/>
    <w:rPr>
      <w:rFonts w:ascii="Arial" w:hAnsi="Arial" w:cs="Arial" w:eastAsiaTheme="minorEastAsia"/>
      <w:kern w:val="14"/>
      <w:sz w:val="20"/>
      <w:szCs w:val="20"/>
    </w:rPr>
  </w:style>
  <w:style w:type="paragraph" w:styleId="zGTitle36Calibri" w:customStyle="1">
    <w:name w:val="zGTitle 36 (Calibri)"/>
    <w:link w:val="zGTitle36CalibriChar"/>
    <w:uiPriority w:val="4"/>
    <w:rsid w:val="00851C8F"/>
    <w:pPr>
      <w:widowControl w:val="0"/>
      <w:spacing w:after="360" w:line="259" w:lineRule="auto"/>
      <w:jc w:val="center"/>
    </w:pPr>
    <w:rPr>
      <w:rFonts w:ascii="Calibri" w:hAnsi="Calibri" w:eastAsia="Times New Roman" w:cstheme="minorHAnsi"/>
      <w:b/>
      <w:kern w:val="14"/>
      <w:sz w:val="72"/>
      <w:szCs w:val="72"/>
    </w:rPr>
  </w:style>
  <w:style w:type="paragraph" w:styleId="zGNormal" w:customStyle="1">
    <w:name w:val="zGNormal"/>
    <w:link w:val="zGNormalChar"/>
    <w:qFormat/>
    <w:rsid w:val="00851C8F"/>
    <w:pPr>
      <w:autoSpaceDE w:val="0"/>
      <w:autoSpaceDN w:val="0"/>
      <w:adjustRightInd w:val="0"/>
      <w:spacing w:after="0" w:line="240" w:lineRule="auto"/>
      <w:jc w:val="both"/>
    </w:pPr>
    <w:rPr>
      <w:rFonts w:ascii="Arial" w:hAnsi="Arial" w:cs="Arial" w:eastAsiaTheme="minorEastAsia"/>
      <w:kern w:val="14"/>
      <w:sz w:val="20"/>
      <w:szCs w:val="20"/>
    </w:rPr>
  </w:style>
  <w:style w:type="paragraph" w:styleId="zGNormal6" w:customStyle="1">
    <w:name w:val="zGNormal+6"/>
    <w:qFormat/>
    <w:rsid w:val="00851C8F"/>
    <w:pPr>
      <w:autoSpaceDE w:val="0"/>
      <w:autoSpaceDN w:val="0"/>
      <w:adjustRightInd w:val="0"/>
      <w:spacing w:before="120" w:after="120" w:line="240" w:lineRule="auto"/>
      <w:jc w:val="both"/>
    </w:pPr>
    <w:rPr>
      <w:rFonts w:ascii="Arial" w:hAnsi="Arial" w:cs="Arial" w:eastAsiaTheme="minorEastAsia"/>
      <w:kern w:val="14"/>
      <w:sz w:val="20"/>
      <w:szCs w:val="20"/>
    </w:rPr>
  </w:style>
  <w:style w:type="paragraph" w:styleId="zGTitle14" w:customStyle="1">
    <w:name w:val="zGTitle14"/>
    <w:link w:val="zGTitle14Char"/>
    <w:uiPriority w:val="3"/>
    <w:qFormat/>
    <w:rsid w:val="00851C8F"/>
    <w:pPr>
      <w:spacing w:after="120" w:line="240" w:lineRule="auto"/>
      <w:jc w:val="center"/>
    </w:pPr>
    <w:rPr>
      <w:rFonts w:ascii="Arial" w:hAnsi="Arial" w:eastAsia="Times New Roman" w:cs="Times New Roman"/>
      <w:b/>
      <w:spacing w:val="-6"/>
      <w:kern w:val="14"/>
      <w:sz w:val="28"/>
      <w:szCs w:val="24"/>
    </w:rPr>
  </w:style>
  <w:style w:type="character" w:styleId="zGTitle14Char" w:customStyle="1">
    <w:name w:val="zGTitle14 Char"/>
    <w:basedOn w:val="DefaultParagraphFont"/>
    <w:link w:val="zGTitle14"/>
    <w:uiPriority w:val="3"/>
    <w:rsid w:val="00851C8F"/>
    <w:rPr>
      <w:rFonts w:ascii="Arial" w:hAnsi="Arial" w:eastAsia="Times New Roman" w:cs="Times New Roman"/>
      <w:b/>
      <w:spacing w:val="-6"/>
      <w:kern w:val="14"/>
      <w:sz w:val="28"/>
      <w:szCs w:val="24"/>
    </w:rPr>
  </w:style>
  <w:style w:type="character" w:styleId="DeltaViewInsertion" w:customStyle="1">
    <w:name w:val="DeltaView Insertion"/>
    <w:uiPriority w:val="99"/>
    <w:rsid w:val="002D54C4"/>
    <w:rPr>
      <w:color w:val="0000FF"/>
      <w:u w:val="double"/>
    </w:rPr>
  </w:style>
  <w:style w:type="character" w:styleId="zGEditorNote" w:customStyle="1">
    <w:name w:val="zGEditorNote"/>
    <w:uiPriority w:val="5"/>
    <w:rsid w:val="00851C8F"/>
    <w:rPr>
      <w:rFonts w:ascii="Arial" w:hAnsi="Arial"/>
      <w:b/>
      <w:i/>
      <w:color w:val="FFFFFF"/>
      <w:spacing w:val="-4"/>
      <w:sz w:val="20"/>
      <w:shd w:val="clear" w:color="auto" w:fill="006600"/>
    </w:rPr>
  </w:style>
  <w:style w:type="paragraph" w:styleId="zGFooter" w:customStyle="1">
    <w:name w:val="zGFooter"/>
    <w:next w:val="Normal"/>
    <w:uiPriority w:val="5"/>
    <w:qFormat/>
    <w:rsid w:val="00851C8F"/>
    <w:pPr>
      <w:widowControl w:val="0"/>
      <w:tabs>
        <w:tab w:val="center" w:pos="5040"/>
        <w:tab w:val="right" w:pos="8630"/>
      </w:tabs>
      <w:autoSpaceDE w:val="0"/>
      <w:autoSpaceDN w:val="0"/>
      <w:adjustRightInd w:val="0"/>
      <w:spacing w:after="0" w:line="240" w:lineRule="auto"/>
    </w:pPr>
    <w:rPr>
      <w:rFonts w:ascii="Arial" w:hAnsi="Arial" w:cs="Arial" w:eastAsiaTheme="minorEastAsia"/>
      <w:spacing w:val="-6"/>
      <w:kern w:val="14"/>
      <w:sz w:val="16"/>
      <w:szCs w:val="20"/>
    </w:rPr>
  </w:style>
  <w:style w:type="paragraph" w:styleId="zGTableBullet" w:customStyle="1">
    <w:name w:val="zGTableBullet"/>
    <w:uiPriority w:val="8"/>
    <w:qFormat/>
    <w:rsid w:val="00802935"/>
    <w:pPr>
      <w:widowControl w:val="0"/>
      <w:numPr>
        <w:numId w:val="33"/>
      </w:numPr>
      <w:tabs>
        <w:tab w:val="num" w:pos="936"/>
      </w:tabs>
      <w:autoSpaceDE w:val="0"/>
      <w:autoSpaceDN w:val="0"/>
      <w:adjustRightInd w:val="0"/>
      <w:spacing w:after="0" w:line="240" w:lineRule="auto"/>
      <w:ind w:left="720" w:hanging="936"/>
    </w:pPr>
    <w:rPr>
      <w:rFonts w:ascii="Arial" w:hAnsi="Arial" w:cs="Arial" w:eastAsiaTheme="minorEastAsia"/>
      <w:spacing w:val="-6"/>
      <w:kern w:val="14"/>
      <w:sz w:val="18"/>
      <w:szCs w:val="20"/>
    </w:rPr>
  </w:style>
  <w:style w:type="paragraph" w:styleId="zGTableTxt09" w:customStyle="1">
    <w:name w:val="zGTableTxt09"/>
    <w:uiPriority w:val="7"/>
    <w:qFormat/>
    <w:rsid w:val="00851C8F"/>
    <w:pPr>
      <w:widowControl w:val="0"/>
      <w:autoSpaceDE w:val="0"/>
      <w:autoSpaceDN w:val="0"/>
      <w:adjustRightInd w:val="0"/>
      <w:spacing w:after="0" w:line="240" w:lineRule="auto"/>
    </w:pPr>
    <w:rPr>
      <w:rFonts w:ascii="Arial" w:hAnsi="Arial" w:cs="Arial" w:eastAsiaTheme="minorEastAsia"/>
      <w:spacing w:val="-6"/>
      <w:kern w:val="14"/>
      <w:sz w:val="18"/>
      <w:szCs w:val="20"/>
    </w:rPr>
  </w:style>
  <w:style w:type="paragraph" w:styleId="zGTableTxt10" w:customStyle="1">
    <w:name w:val="zGTableTxt10"/>
    <w:uiPriority w:val="7"/>
    <w:qFormat/>
    <w:rsid w:val="00851C8F"/>
    <w:pPr>
      <w:widowControl w:val="0"/>
      <w:autoSpaceDE w:val="0"/>
      <w:autoSpaceDN w:val="0"/>
      <w:adjustRightInd w:val="0"/>
      <w:spacing w:after="0" w:line="240" w:lineRule="auto"/>
    </w:pPr>
    <w:rPr>
      <w:rFonts w:ascii="Arial" w:hAnsi="Arial" w:cs="Arial" w:eastAsiaTheme="minorEastAsia"/>
      <w:spacing w:val="-6"/>
      <w:kern w:val="14"/>
      <w:sz w:val="20"/>
      <w:szCs w:val="20"/>
    </w:rPr>
  </w:style>
  <w:style w:type="paragraph" w:styleId="zGTitle12" w:customStyle="1">
    <w:name w:val="zGTitle12"/>
    <w:uiPriority w:val="4"/>
    <w:rsid w:val="00851C8F"/>
    <w:pPr>
      <w:spacing w:after="120" w:line="240" w:lineRule="auto"/>
      <w:jc w:val="center"/>
    </w:pPr>
    <w:rPr>
      <w:rFonts w:ascii="Arial" w:hAnsi="Arial" w:eastAsia="Times New Roman" w:cs="Times New Roman"/>
      <w:b/>
      <w:spacing w:val="-6"/>
      <w:kern w:val="14"/>
      <w:sz w:val="24"/>
      <w:szCs w:val="24"/>
    </w:rPr>
  </w:style>
  <w:style w:type="paragraph" w:styleId="zGTitleExhibit" w:customStyle="1">
    <w:name w:val="zGTitleExhibit"/>
    <w:next w:val="zGTitle12"/>
    <w:uiPriority w:val="4"/>
    <w:qFormat/>
    <w:rsid w:val="00851C8F"/>
    <w:pPr>
      <w:spacing w:after="120" w:line="240" w:lineRule="auto"/>
      <w:jc w:val="center"/>
      <w:outlineLvl w:val="0"/>
    </w:pPr>
    <w:rPr>
      <w:rFonts w:ascii="Arial" w:hAnsi="Arial" w:eastAsia="Times New Roman" w:cs="Times New Roman"/>
      <w:b/>
      <w:bCs/>
      <w:caps/>
      <w:kern w:val="32"/>
      <w:szCs w:val="32"/>
      <w:u w:val="single"/>
    </w:rPr>
  </w:style>
  <w:style w:type="character" w:styleId="zGTC03Char" w:customStyle="1">
    <w:name w:val="zGTC03 Char"/>
    <w:basedOn w:val="zGNormalChar"/>
    <w:link w:val="zGTC03"/>
    <w:uiPriority w:val="1"/>
    <w:rsid w:val="00DE593D"/>
    <w:rPr>
      <w:rFonts w:ascii="Arial" w:hAnsi="Arial" w:eastAsia="Times New Roman" w:cs="Times New Roman"/>
      <w:kern w:val="14"/>
      <w:sz w:val="20"/>
      <w:szCs w:val="24"/>
    </w:rPr>
  </w:style>
  <w:style w:type="character" w:styleId="zGTC04Char" w:customStyle="1">
    <w:name w:val="zGTC04 Char"/>
    <w:basedOn w:val="zGNormalChar"/>
    <w:link w:val="zGTC04"/>
    <w:uiPriority w:val="1"/>
    <w:rsid w:val="0055230F"/>
    <w:rPr>
      <w:rFonts w:ascii="Arial" w:hAnsi="Arial" w:eastAsia="Times New Roman" w:cs="Times New Roman"/>
      <w:kern w:val="14"/>
      <w:sz w:val="20"/>
      <w:szCs w:val="24"/>
    </w:rPr>
  </w:style>
  <w:style w:type="character" w:styleId="zGTC05Char" w:customStyle="1">
    <w:name w:val="zGTC05 Char"/>
    <w:basedOn w:val="zGNormalChar"/>
    <w:link w:val="zGTC05"/>
    <w:uiPriority w:val="1"/>
    <w:rsid w:val="0055230F"/>
    <w:rPr>
      <w:rFonts w:ascii="Arial" w:hAnsi="Arial" w:eastAsia="Times New Roman" w:cs="Times New Roman"/>
      <w:kern w:val="14"/>
      <w:sz w:val="20"/>
      <w:szCs w:val="24"/>
    </w:rPr>
  </w:style>
  <w:style w:type="character" w:styleId="zGBody4Char" w:customStyle="1">
    <w:name w:val="zGBody 4 Char"/>
    <w:basedOn w:val="DefaultParagraphFont"/>
    <w:link w:val="zGBody4"/>
    <w:uiPriority w:val="3"/>
    <w:rsid w:val="002D54C4"/>
    <w:rPr>
      <w:rFonts w:ascii="Arial" w:hAnsi="Arial" w:cs="Times New Roman"/>
      <w:sz w:val="20"/>
      <w:szCs w:val="20"/>
    </w:rPr>
  </w:style>
  <w:style w:type="character" w:styleId="zGBody5Char" w:customStyle="1">
    <w:name w:val="zGBody 5 Char"/>
    <w:basedOn w:val="DefaultParagraphFont"/>
    <w:link w:val="zGBody5"/>
    <w:uiPriority w:val="3"/>
    <w:rsid w:val="002D54C4"/>
    <w:rPr>
      <w:rFonts w:ascii="Arial" w:hAnsi="Arial" w:cs="Times New Roman"/>
      <w:sz w:val="20"/>
      <w:szCs w:val="20"/>
    </w:rPr>
  </w:style>
  <w:style w:type="character" w:styleId="zGBody6Char" w:customStyle="1">
    <w:name w:val="zGBody 6 Char"/>
    <w:basedOn w:val="DefaultParagraphFont"/>
    <w:link w:val="zGBody6"/>
    <w:uiPriority w:val="3"/>
    <w:rsid w:val="002D54C4"/>
    <w:rPr>
      <w:rFonts w:ascii="Arial" w:hAnsi="Arial" w:cs="Times New Roman"/>
      <w:sz w:val="20"/>
      <w:szCs w:val="20"/>
    </w:rPr>
  </w:style>
  <w:style w:type="character" w:styleId="TOC1Char" w:customStyle="1">
    <w:name w:val="TOC 1 Char"/>
    <w:aliases w:val="zGTOC 1 Char"/>
    <w:basedOn w:val="zGNormalChar"/>
    <w:link w:val="TOC1"/>
    <w:uiPriority w:val="39"/>
    <w:rsid w:val="002D54C4"/>
    <w:rPr>
      <w:rFonts w:ascii="Arial Bold" w:hAnsi="Arial Bold" w:eastAsia="Times New Roman" w:cs="Arial"/>
      <w:b/>
      <w:caps/>
      <w:kern w:val="14"/>
      <w:sz w:val="20"/>
      <w:szCs w:val="20"/>
    </w:rPr>
  </w:style>
  <w:style w:type="character" w:styleId="TOC2Char" w:customStyle="1">
    <w:name w:val="TOC 2 Char"/>
    <w:aliases w:val="zgTOC 2 Char"/>
    <w:basedOn w:val="DefaultParagraphFont"/>
    <w:link w:val="TOC2"/>
    <w:uiPriority w:val="39"/>
    <w:rsid w:val="002D54C4"/>
    <w:rPr>
      <w:rFonts w:ascii="Arial" w:hAnsi="Arial" w:eastAsia="Times New Roman"/>
      <w:sz w:val="20"/>
    </w:rPr>
  </w:style>
  <w:style w:type="paragraph" w:styleId="DocID" w:customStyle="1">
    <w:name w:val="DocID"/>
    <w:basedOn w:val="Normal"/>
    <w:rsid w:val="00C82038"/>
    <w:pPr>
      <w:spacing w:after="160" w:line="259" w:lineRule="auto"/>
      <w:jc w:val="right"/>
    </w:pPr>
    <w:rPr>
      <w:rFonts w:ascii="Times New Roman" w:hAnsi="Times New Roman" w:eastAsiaTheme="minorEastAsia"/>
      <w:sz w:val="16"/>
      <w:lang w:eastAsia="zh-CN"/>
    </w:rPr>
  </w:style>
  <w:style w:type="character" w:styleId="a1" w:customStyle="1">
    <w:name w:val="a1"/>
    <w:basedOn w:val="DefaultParagraphFont"/>
    <w:rsid w:val="002D54C4"/>
    <w:rPr>
      <w:rFonts w:ascii="Courier New" w:hAnsi="Courier New"/>
      <w:noProof w:val="0"/>
      <w:sz w:val="24"/>
      <w:lang w:val="en-US"/>
    </w:rPr>
  </w:style>
  <w:style w:type="character" w:styleId="Heading" w:customStyle="1">
    <w:name w:val="Heading"/>
    <w:basedOn w:val="DefaultParagraphFont"/>
    <w:rsid w:val="002D54C4"/>
  </w:style>
  <w:style w:type="character" w:styleId="RightPar" w:customStyle="1">
    <w:name w:val="Right Par"/>
    <w:basedOn w:val="DefaultParagraphFont"/>
    <w:rsid w:val="002D54C4"/>
  </w:style>
  <w:style w:type="character" w:styleId="Bibliogrphy" w:customStyle="1">
    <w:name w:val="Bibliogrphy"/>
    <w:basedOn w:val="DefaultParagraphFont"/>
    <w:rsid w:val="002D54C4"/>
  </w:style>
  <w:style w:type="character" w:styleId="Subheading" w:customStyle="1">
    <w:name w:val="Subheading"/>
    <w:basedOn w:val="DefaultParagraphFont"/>
    <w:rsid w:val="002D54C4"/>
  </w:style>
  <w:style w:type="character" w:styleId="DefaultParagraphFo" w:customStyle="1">
    <w:name w:val="Default Paragraph Fo"/>
    <w:basedOn w:val="DefaultParagraphFont"/>
    <w:rsid w:val="002D54C4"/>
  </w:style>
  <w:style w:type="character" w:styleId="DefaultPara" w:customStyle="1">
    <w:name w:val="Default Para"/>
    <w:basedOn w:val="DefaultParagraphFont"/>
    <w:rsid w:val="002D54C4"/>
    <w:rPr>
      <w:rFonts w:ascii="Times New Roman" w:hAnsi="Times New Roman"/>
      <w:noProof w:val="0"/>
      <w:sz w:val="20"/>
      <w:lang w:val="en-US"/>
    </w:rPr>
  </w:style>
  <w:style w:type="paragraph" w:styleId="Index1">
    <w:name w:val="index 1"/>
    <w:basedOn w:val="Normal"/>
    <w:next w:val="Normal"/>
    <w:semiHidden/>
    <w:rsid w:val="00960870"/>
    <w:pPr>
      <w:widowControl w:val="0"/>
      <w:tabs>
        <w:tab w:val="right" w:leader="dot" w:pos="9360"/>
      </w:tabs>
      <w:suppressAutoHyphens/>
      <w:adjustRightInd w:val="0"/>
      <w:spacing w:after="0" w:line="360" w:lineRule="atLeast"/>
      <w:ind w:left="1440" w:right="720" w:hanging="1440"/>
      <w:textAlignment w:val="baseline"/>
    </w:pPr>
    <w:rPr>
      <w:rFonts w:ascii="Times New Roman" w:hAnsi="Times New Roman" w:eastAsia="Times New Roman"/>
      <w:sz w:val="24"/>
    </w:rPr>
  </w:style>
  <w:style w:type="paragraph" w:styleId="Index2">
    <w:name w:val="index 2"/>
    <w:basedOn w:val="Normal"/>
    <w:next w:val="Normal"/>
    <w:semiHidden/>
    <w:rsid w:val="00960870"/>
    <w:pPr>
      <w:widowControl w:val="0"/>
      <w:tabs>
        <w:tab w:val="right" w:leader="dot" w:pos="9360"/>
      </w:tabs>
      <w:suppressAutoHyphens/>
      <w:adjustRightInd w:val="0"/>
      <w:spacing w:after="0" w:line="360" w:lineRule="atLeast"/>
      <w:ind w:left="1440" w:right="720" w:hanging="720"/>
      <w:textAlignment w:val="baseline"/>
    </w:pPr>
    <w:rPr>
      <w:rFonts w:ascii="Times New Roman" w:hAnsi="Times New Roman" w:eastAsia="Times New Roman"/>
      <w:sz w:val="24"/>
    </w:rPr>
  </w:style>
  <w:style w:type="paragraph" w:styleId="TOAHeading">
    <w:name w:val="toa heading"/>
    <w:basedOn w:val="Normal"/>
    <w:next w:val="Normal"/>
    <w:semiHidden/>
    <w:rsid w:val="00960870"/>
    <w:pPr>
      <w:widowControl w:val="0"/>
      <w:tabs>
        <w:tab w:val="right" w:pos="9360"/>
      </w:tabs>
      <w:suppressAutoHyphens/>
      <w:adjustRightInd w:val="0"/>
      <w:spacing w:after="0" w:line="360" w:lineRule="atLeast"/>
      <w:textAlignment w:val="baseline"/>
    </w:pPr>
    <w:rPr>
      <w:rFonts w:ascii="Times New Roman" w:hAnsi="Times New Roman" w:eastAsia="Times New Roman"/>
      <w:sz w:val="24"/>
    </w:rPr>
  </w:style>
  <w:style w:type="character" w:styleId="EquationCaption" w:customStyle="1">
    <w:name w:val="_Equation Caption"/>
    <w:rsid w:val="002D54C4"/>
  </w:style>
  <w:style w:type="paragraph" w:styleId="BodyTextIndent2">
    <w:name w:val="Body Text Indent 2"/>
    <w:basedOn w:val="Normal"/>
    <w:link w:val="BodyTextIndent2Char"/>
    <w:rsid w:val="00960870"/>
    <w:pPr>
      <w:widowControl w:val="0"/>
      <w:adjustRightInd w:val="0"/>
      <w:spacing w:after="0" w:line="360" w:lineRule="atLeast"/>
      <w:ind w:left="2160"/>
      <w:textAlignment w:val="baseline"/>
    </w:pPr>
    <w:rPr>
      <w:rFonts w:ascii="Times New Roman" w:hAnsi="Times New Roman" w:eastAsia="Times New Roman"/>
    </w:rPr>
  </w:style>
  <w:style w:type="character" w:styleId="BodyTextIndent2Char" w:customStyle="1">
    <w:name w:val="Body Text Indent 2 Char"/>
    <w:basedOn w:val="DefaultParagraphFont"/>
    <w:link w:val="BodyTextIndent2"/>
    <w:rsid w:val="002D54C4"/>
    <w:rPr>
      <w:rFonts w:ascii="Times New Roman" w:hAnsi="Times New Roman" w:eastAsia="Times New Roman"/>
    </w:rPr>
  </w:style>
  <w:style w:type="paragraph" w:styleId="BodyTextIndent3">
    <w:name w:val="Body Text Indent 3"/>
    <w:basedOn w:val="Normal"/>
    <w:link w:val="BodyTextIndent3Char"/>
    <w:rsid w:val="00960870"/>
    <w:pPr>
      <w:keepNext/>
      <w:keepLines/>
      <w:widowControl w:val="0"/>
      <w:tabs>
        <w:tab w:val="left" w:pos="-1440"/>
        <w:tab w:val="left" w:pos="-720"/>
        <w:tab w:val="left" w:pos="0"/>
        <w:tab w:val="left" w:pos="576"/>
        <w:tab w:val="left" w:pos="2160"/>
      </w:tabs>
      <w:suppressAutoHyphens/>
      <w:adjustRightInd w:val="0"/>
      <w:spacing w:after="0" w:line="360" w:lineRule="atLeast"/>
      <w:ind w:left="576" w:hanging="576"/>
      <w:textAlignment w:val="baseline"/>
    </w:pPr>
    <w:rPr>
      <w:rFonts w:ascii="Times New Roman" w:hAnsi="Times New Roman" w:eastAsia="Times New Roman"/>
      <w:sz w:val="24"/>
    </w:rPr>
  </w:style>
  <w:style w:type="character" w:styleId="BodyTextIndent3Char" w:customStyle="1">
    <w:name w:val="Body Text Indent 3 Char"/>
    <w:basedOn w:val="DefaultParagraphFont"/>
    <w:link w:val="BodyTextIndent3"/>
    <w:rsid w:val="002D54C4"/>
    <w:rPr>
      <w:rFonts w:ascii="Times New Roman" w:hAnsi="Times New Roman" w:eastAsia="Times New Roman"/>
      <w:sz w:val="24"/>
    </w:rPr>
  </w:style>
  <w:style w:type="paragraph" w:styleId="DocumentMap">
    <w:name w:val="Document Map"/>
    <w:basedOn w:val="Normal"/>
    <w:link w:val="DocumentMapChar"/>
    <w:semiHidden/>
    <w:rsid w:val="00960870"/>
    <w:pPr>
      <w:widowControl w:val="0"/>
      <w:shd w:val="clear" w:color="auto" w:fill="000080"/>
      <w:adjustRightInd w:val="0"/>
      <w:spacing w:after="0" w:line="360" w:lineRule="atLeast"/>
      <w:textAlignment w:val="baseline"/>
    </w:pPr>
    <w:rPr>
      <w:rFonts w:ascii="Tahoma" w:hAnsi="Tahoma" w:eastAsia="Times New Roman"/>
      <w:sz w:val="24"/>
    </w:rPr>
  </w:style>
  <w:style w:type="character" w:styleId="DocumentMapChar" w:customStyle="1">
    <w:name w:val="Document Map Char"/>
    <w:basedOn w:val="DefaultParagraphFont"/>
    <w:link w:val="DocumentMap"/>
    <w:semiHidden/>
    <w:rsid w:val="002D54C4"/>
    <w:rPr>
      <w:rFonts w:ascii="Tahoma" w:hAnsi="Tahoma" w:eastAsia="Times New Roman"/>
      <w:sz w:val="24"/>
      <w:shd w:val="clear" w:color="auto" w:fill="000080"/>
    </w:rPr>
  </w:style>
  <w:style w:type="character" w:styleId="FollowedHyperlink">
    <w:name w:val="FollowedHyperlink"/>
    <w:basedOn w:val="DefaultParagraphFont"/>
    <w:rsid w:val="002D54C4"/>
    <w:rPr>
      <w:color w:val="800080"/>
      <w:u w:val="single"/>
    </w:rPr>
  </w:style>
  <w:style w:type="paragraph" w:styleId="BalloonText">
    <w:name w:val="Balloon Text"/>
    <w:basedOn w:val="Normal"/>
    <w:link w:val="BalloonTextChar"/>
    <w:semiHidden/>
    <w:rsid w:val="00960870"/>
    <w:pPr>
      <w:widowControl w:val="0"/>
      <w:adjustRightInd w:val="0"/>
      <w:spacing w:after="0" w:line="360" w:lineRule="atLeast"/>
      <w:textAlignment w:val="baseline"/>
    </w:pPr>
    <w:rPr>
      <w:rFonts w:ascii="Tahoma" w:hAnsi="Tahoma" w:eastAsia="Times New Roman" w:cs="Tahoma"/>
      <w:sz w:val="16"/>
      <w:szCs w:val="16"/>
    </w:rPr>
  </w:style>
  <w:style w:type="character" w:styleId="BalloonTextChar" w:customStyle="1">
    <w:name w:val="Balloon Text Char"/>
    <w:basedOn w:val="DefaultParagraphFont"/>
    <w:link w:val="BalloonText"/>
    <w:semiHidden/>
    <w:rsid w:val="002D54C4"/>
    <w:rPr>
      <w:rFonts w:ascii="Tahoma" w:hAnsi="Tahoma" w:eastAsia="Times New Roman" w:cs="Tahoma"/>
      <w:sz w:val="16"/>
      <w:szCs w:val="16"/>
    </w:rPr>
  </w:style>
  <w:style w:type="paragraph" w:styleId="DeltaViewTableHeading" w:customStyle="1">
    <w:name w:val="DeltaView Table Heading"/>
    <w:basedOn w:val="Normal"/>
    <w:rsid w:val="00960870"/>
    <w:pPr>
      <w:autoSpaceDE w:val="0"/>
      <w:autoSpaceDN w:val="0"/>
      <w:adjustRightInd w:val="0"/>
      <w:spacing w:line="360" w:lineRule="atLeast"/>
      <w:textAlignment w:val="baseline"/>
    </w:pPr>
    <w:rPr>
      <w:rFonts w:eastAsia="Times New Roman" w:cs="Arial"/>
      <w:b/>
      <w:bCs/>
      <w:sz w:val="24"/>
      <w:szCs w:val="24"/>
    </w:rPr>
  </w:style>
  <w:style w:type="paragraph" w:styleId="DeltaViewTableBody" w:customStyle="1">
    <w:name w:val="DeltaView Table Body"/>
    <w:basedOn w:val="Normal"/>
    <w:rsid w:val="00960870"/>
    <w:pPr>
      <w:autoSpaceDE w:val="0"/>
      <w:autoSpaceDN w:val="0"/>
      <w:adjustRightInd w:val="0"/>
      <w:spacing w:after="0" w:line="360" w:lineRule="atLeast"/>
      <w:textAlignment w:val="baseline"/>
    </w:pPr>
    <w:rPr>
      <w:rFonts w:eastAsia="Times New Roman" w:cs="Arial"/>
      <w:sz w:val="24"/>
      <w:szCs w:val="24"/>
    </w:rPr>
  </w:style>
  <w:style w:type="paragraph" w:styleId="DeltaViewAnnounce" w:customStyle="1">
    <w:name w:val="DeltaView Announce"/>
    <w:rsid w:val="002D54C4"/>
    <w:pPr>
      <w:widowControl w:val="0"/>
      <w:autoSpaceDE w:val="0"/>
      <w:autoSpaceDN w:val="0"/>
      <w:adjustRightInd w:val="0"/>
      <w:spacing w:after="240" w:line="360" w:lineRule="atLeast"/>
      <w:jc w:val="both"/>
      <w:textAlignment w:val="baseline"/>
    </w:pPr>
    <w:rPr>
      <w:rFonts w:ascii="Arial" w:hAnsi="Arial" w:eastAsia="Times New Roman" w:cs="Arial"/>
      <w:sz w:val="24"/>
      <w:szCs w:val="24"/>
    </w:rPr>
  </w:style>
  <w:style w:type="character" w:styleId="DeltaViewMoveSource" w:customStyle="1">
    <w:name w:val="DeltaView Move Source"/>
    <w:rsid w:val="002D54C4"/>
    <w:rPr>
      <w:strike/>
      <w:color w:val="00C000"/>
      <w:spacing w:val="0"/>
    </w:rPr>
  </w:style>
  <w:style w:type="character" w:styleId="DeltaViewMoveDestination" w:customStyle="1">
    <w:name w:val="DeltaView Move Destination"/>
    <w:rsid w:val="002D54C4"/>
    <w:rPr>
      <w:color w:val="00C000"/>
      <w:spacing w:val="0"/>
      <w:u w:val="double"/>
    </w:rPr>
  </w:style>
  <w:style w:type="character" w:styleId="DeltaViewChangeNumber" w:customStyle="1">
    <w:name w:val="DeltaView Change Number"/>
    <w:rsid w:val="002D54C4"/>
    <w:rPr>
      <w:color w:val="000000"/>
      <w:spacing w:val="0"/>
      <w:vertAlign w:val="superscript"/>
    </w:rPr>
  </w:style>
  <w:style w:type="character" w:styleId="DeltaViewDelimiter" w:customStyle="1">
    <w:name w:val="DeltaView Delimiter"/>
    <w:rsid w:val="002D54C4"/>
    <w:rPr>
      <w:spacing w:val="0"/>
    </w:rPr>
  </w:style>
  <w:style w:type="character" w:styleId="DeltaViewFormatChange" w:customStyle="1">
    <w:name w:val="DeltaView Format Change"/>
    <w:rsid w:val="002D54C4"/>
    <w:rPr>
      <w:color w:val="000000"/>
      <w:spacing w:val="0"/>
    </w:rPr>
  </w:style>
  <w:style w:type="character" w:styleId="DeltaViewMovedDeletion" w:customStyle="1">
    <w:name w:val="DeltaView Moved Deletion"/>
    <w:rsid w:val="002D54C4"/>
    <w:rPr>
      <w:strike/>
      <w:color w:val="C08080"/>
      <w:spacing w:val="0"/>
    </w:rPr>
  </w:style>
  <w:style w:type="character" w:styleId="DeltaViewEditorComment" w:customStyle="1">
    <w:name w:val="DeltaView Editor Comment"/>
    <w:basedOn w:val="DefaultParagraphFont"/>
    <w:rsid w:val="002D54C4"/>
    <w:rPr>
      <w:color w:val="0000FF"/>
      <w:spacing w:val="0"/>
      <w:u w:val="double"/>
    </w:rPr>
  </w:style>
  <w:style w:type="paragraph" w:styleId="secondsub" w:customStyle="1">
    <w:name w:val="secondsub"/>
    <w:basedOn w:val="Normal"/>
    <w:rsid w:val="00960870"/>
    <w:pPr>
      <w:tabs>
        <w:tab w:val="left" w:pos="-720"/>
      </w:tabs>
      <w:adjustRightInd w:val="0"/>
      <w:spacing w:after="0" w:line="360" w:lineRule="atLeast"/>
      <w:ind w:left="720" w:hanging="720"/>
      <w:textAlignment w:val="baseline"/>
    </w:pPr>
    <w:rPr>
      <w:rFonts w:ascii="Times New Roman" w:hAnsi="Times New Roman" w:eastAsia="Times New Roman"/>
      <w:sz w:val="24"/>
    </w:rPr>
  </w:style>
  <w:style w:type="paragraph" w:styleId="5indent" w:customStyle="1">
    <w:name w:val=".5&quot; indent"/>
    <w:basedOn w:val="Normal"/>
    <w:rsid w:val="00960870"/>
    <w:pPr>
      <w:spacing w:after="240"/>
      <w:ind w:left="720"/>
    </w:pPr>
    <w:rPr>
      <w:rFonts w:ascii="Times New Roman" w:hAnsi="Times New Roman" w:eastAsia="Times New Roman"/>
      <w:sz w:val="24"/>
      <w:szCs w:val="24"/>
    </w:rPr>
  </w:style>
  <w:style w:type="paragraph" w:styleId="BodyTextSingleSpaceNoIndent" w:customStyle="1">
    <w:name w:val="Body Text Single Space No Indent"/>
    <w:basedOn w:val="Normal"/>
    <w:rsid w:val="00960870"/>
    <w:pPr>
      <w:spacing w:after="240"/>
    </w:pPr>
    <w:rPr>
      <w:rFonts w:ascii="Times New Roman" w:hAnsi="Times New Roman" w:eastAsia="Times New Roman"/>
      <w:sz w:val="24"/>
      <w:szCs w:val="24"/>
    </w:rPr>
  </w:style>
  <w:style w:type="character" w:styleId="Char" w:customStyle="1">
    <w:name w:val="Char"/>
    <w:basedOn w:val="DefaultParagraphFont"/>
    <w:rsid w:val="002D54C4"/>
    <w:rPr>
      <w:spacing w:val="0"/>
      <w:sz w:val="24"/>
      <w:szCs w:val="24"/>
      <w:lang w:val="en-US"/>
    </w:rPr>
  </w:style>
  <w:style w:type="character" w:styleId="CharChar" w:customStyle="1">
    <w:name w:val="Char Char"/>
    <w:basedOn w:val="DefaultParagraphFont"/>
    <w:rsid w:val="002D54C4"/>
    <w:rPr>
      <w:sz w:val="24"/>
      <w:lang w:val="en-US" w:eastAsia="en-US" w:bidi="ar-SA"/>
    </w:rPr>
  </w:style>
  <w:style w:type="character" w:styleId="Char1" w:customStyle="1">
    <w:name w:val="Char1"/>
    <w:basedOn w:val="DefaultParagraphFont"/>
    <w:rsid w:val="002D54C4"/>
    <w:rPr>
      <w:lang w:val="en-US" w:eastAsia="en-US" w:bidi="ar-SA"/>
    </w:rPr>
  </w:style>
  <w:style w:type="character" w:styleId="Char2" w:customStyle="1">
    <w:name w:val="Char2"/>
    <w:basedOn w:val="DefaultParagraphFont"/>
    <w:rsid w:val="002D54C4"/>
    <w:rPr>
      <w:sz w:val="24"/>
      <w:lang w:val="en-US" w:eastAsia="en-US" w:bidi="ar-SA"/>
    </w:rPr>
  </w:style>
  <w:style w:type="paragraph" w:styleId="HeadingPara2" w:customStyle="1">
    <w:name w:val="Heading Para 2"/>
    <w:basedOn w:val="Heading2"/>
    <w:next w:val="Normal"/>
    <w:rsid w:val="002D54C4"/>
    <w:pPr>
      <w:keepNext w:val="0"/>
      <w:keepLines w:val="0"/>
      <w:widowControl w:val="0"/>
      <w:adjustRightInd w:val="0"/>
      <w:spacing w:before="0" w:line="480" w:lineRule="auto"/>
      <w:ind w:left="-720"/>
      <w:textAlignment w:val="baseline"/>
      <w:outlineLvl w:val="9"/>
    </w:pPr>
    <w:rPr>
      <w:rFonts w:eastAsia="Times New Roman" w:cs="Times New Roman"/>
      <w:b w:val="0"/>
      <w:bCs w:val="0"/>
      <w:snapToGrid w:val="0"/>
      <w:sz w:val="24"/>
      <w:szCs w:val="20"/>
    </w:rPr>
  </w:style>
  <w:style w:type="paragraph" w:styleId="TableofAuthorities">
    <w:name w:val="table of authorities"/>
    <w:basedOn w:val="Normal"/>
    <w:next w:val="Normal"/>
    <w:uiPriority w:val="99"/>
    <w:semiHidden/>
    <w:unhideWhenUsed/>
    <w:rsid w:val="00960870"/>
    <w:pPr>
      <w:widowControl w:val="0"/>
      <w:adjustRightInd w:val="0"/>
      <w:spacing w:after="0" w:line="360" w:lineRule="atLeast"/>
      <w:ind w:left="240" w:hanging="240"/>
      <w:textAlignment w:val="baseline"/>
    </w:pPr>
    <w:rPr>
      <w:rFonts w:ascii="Times New Roman" w:hAnsi="Times New Roman" w:eastAsia="Times New Roman"/>
      <w:sz w:val="24"/>
    </w:rPr>
  </w:style>
  <w:style w:type="paragraph" w:styleId="Article5L1" w:customStyle="1">
    <w:name w:val="Article5_L1"/>
    <w:basedOn w:val="Normal"/>
    <w:next w:val="BodyText"/>
    <w:rsid w:val="002D54C4"/>
    <w:pPr>
      <w:keepNext/>
      <w:tabs>
        <w:tab w:val="num" w:pos="720"/>
      </w:tabs>
      <w:spacing w:after="240"/>
      <w:ind w:left="1080" w:hanging="360"/>
      <w:jc w:val="center"/>
      <w:outlineLvl w:val="0"/>
    </w:pPr>
    <w:rPr>
      <w:rFonts w:ascii="Times New Roman" w:hAnsi="Times New Roman" w:eastAsia="Times New Roman"/>
      <w:caps/>
      <w:sz w:val="24"/>
    </w:rPr>
  </w:style>
  <w:style w:type="paragraph" w:styleId="Article5L2" w:customStyle="1">
    <w:name w:val="Article5_L2"/>
    <w:basedOn w:val="Article5L1"/>
    <w:next w:val="BodyText"/>
    <w:rsid w:val="00960870"/>
    <w:pPr>
      <w:keepNext w:val="0"/>
      <w:tabs>
        <w:tab w:val="clear" w:pos="720"/>
      </w:tabs>
      <w:ind w:left="1800"/>
      <w:jc w:val="both"/>
      <w:outlineLvl w:val="1"/>
    </w:pPr>
    <w:rPr>
      <w:caps w:val="0"/>
    </w:rPr>
  </w:style>
  <w:style w:type="paragraph" w:styleId="Article5L3" w:customStyle="1">
    <w:name w:val="Article5_L3"/>
    <w:basedOn w:val="Article5L2"/>
    <w:next w:val="BodyText"/>
    <w:rsid w:val="002D54C4"/>
    <w:pPr>
      <w:tabs>
        <w:tab w:val="num" w:pos="1440"/>
        <w:tab w:val="num" w:pos="2160"/>
      </w:tabs>
      <w:ind w:left="2520"/>
      <w:outlineLvl w:val="2"/>
    </w:pPr>
  </w:style>
  <w:style w:type="paragraph" w:styleId="Article5L4" w:customStyle="1">
    <w:name w:val="Article5_L4"/>
    <w:basedOn w:val="Article5L3"/>
    <w:next w:val="BodyText"/>
    <w:rsid w:val="002D54C4"/>
    <w:pPr>
      <w:tabs>
        <w:tab w:val="clear" w:pos="1440"/>
        <w:tab w:val="clear" w:pos="2160"/>
      </w:tabs>
      <w:ind w:left="3240"/>
      <w:outlineLvl w:val="3"/>
    </w:pPr>
  </w:style>
  <w:style w:type="paragraph" w:styleId="Article5L5" w:customStyle="1">
    <w:name w:val="Article5_L5"/>
    <w:basedOn w:val="Article5L4"/>
    <w:next w:val="BodyText"/>
    <w:rsid w:val="002D54C4"/>
    <w:pPr>
      <w:tabs>
        <w:tab w:val="num" w:pos="3168"/>
      </w:tabs>
      <w:ind w:left="3960"/>
      <w:jc w:val="left"/>
      <w:outlineLvl w:val="4"/>
    </w:pPr>
  </w:style>
  <w:style w:type="paragraph" w:styleId="Article5L6" w:customStyle="1">
    <w:name w:val="Article5_L6"/>
    <w:basedOn w:val="Article5L5"/>
    <w:next w:val="BodyText"/>
    <w:rsid w:val="00960870"/>
    <w:pPr>
      <w:tabs>
        <w:tab w:val="clear" w:pos="3168"/>
      </w:tabs>
      <w:ind w:left="4680"/>
      <w:jc w:val="both"/>
      <w:outlineLvl w:val="5"/>
    </w:pPr>
  </w:style>
  <w:style w:type="paragraph" w:styleId="Article5L7" w:customStyle="1">
    <w:name w:val="Article5_L7"/>
    <w:basedOn w:val="Article5L6"/>
    <w:next w:val="BodyText"/>
    <w:rsid w:val="00960870"/>
    <w:pPr>
      <w:ind w:left="5400"/>
      <w:outlineLvl w:val="6"/>
    </w:pPr>
  </w:style>
  <w:style w:type="paragraph" w:styleId="Article5L8" w:customStyle="1">
    <w:name w:val="Article5_L8"/>
    <w:basedOn w:val="Article5L7"/>
    <w:next w:val="BodyText"/>
    <w:rsid w:val="002D54C4"/>
    <w:pPr>
      <w:tabs>
        <w:tab w:val="num" w:pos="4320"/>
      </w:tabs>
      <w:ind w:left="6120"/>
      <w:jc w:val="left"/>
      <w:outlineLvl w:val="7"/>
    </w:pPr>
  </w:style>
  <w:style w:type="table" w:styleId="TableGrid1" w:customStyle="1">
    <w:name w:val="Table Grid1"/>
    <w:basedOn w:val="TableNormal"/>
    <w:next w:val="TableGrid"/>
    <w:rsid w:val="002D54C4"/>
    <w:pPr>
      <w:spacing w:after="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 w:customStyle="1">
    <w:name w:val="paragraph"/>
    <w:basedOn w:val="Normal"/>
    <w:rsid w:val="000F2B61"/>
    <w:pPr>
      <w:spacing w:before="100" w:beforeAutospacing="1" w:after="100" w:afterAutospacing="1"/>
    </w:pPr>
    <w:rPr>
      <w:rFonts w:ascii="Times New Roman" w:hAnsi="Times New Roman" w:eastAsia="Times New Roman"/>
      <w:sz w:val="24"/>
      <w:szCs w:val="24"/>
    </w:rPr>
  </w:style>
  <w:style w:type="character" w:styleId="Mention3" w:customStyle="1">
    <w:name w:val="Mention3"/>
    <w:basedOn w:val="DefaultParagraphFont"/>
    <w:uiPriority w:val="99"/>
    <w:unhideWhenUsed/>
    <w:rsid w:val="002D54C4"/>
    <w:rPr>
      <w:color w:val="2B579A"/>
      <w:shd w:val="clear" w:color="auto" w:fill="E1DFDD"/>
    </w:rPr>
  </w:style>
  <w:style w:type="character" w:styleId="Mention">
    <w:name w:val="Mention"/>
    <w:basedOn w:val="DefaultParagraphFont"/>
    <w:uiPriority w:val="99"/>
    <w:unhideWhenUsed/>
    <w:rsid w:val="002D54C4"/>
    <w:rPr>
      <w:color w:val="2B579A"/>
      <w:shd w:val="clear" w:color="auto" w:fill="E1DFDD"/>
    </w:rPr>
  </w:style>
  <w:style w:type="character" w:styleId="UnresolvedMention">
    <w:name w:val="Unresolved Mention"/>
    <w:basedOn w:val="DefaultParagraphFont"/>
    <w:uiPriority w:val="99"/>
    <w:semiHidden/>
    <w:unhideWhenUsed/>
    <w:rsid w:val="002D54C4"/>
    <w:rPr>
      <w:color w:val="605E5C"/>
      <w:shd w:val="clear" w:color="auto" w:fill="E1DFDD"/>
    </w:rPr>
  </w:style>
  <w:style w:type="character" w:styleId="ArticleL2Char" w:customStyle="1">
    <w:name w:val="Article_L2 Char"/>
    <w:basedOn w:val="DefaultParagraphFont"/>
    <w:link w:val="ArticleL2"/>
    <w:locked/>
    <w:rsid w:val="002D54C4"/>
    <w:rPr>
      <w:rFonts w:ascii="Times New Roman" w:hAnsi="Times New Roman" w:eastAsia="Times New Roman"/>
    </w:rPr>
  </w:style>
  <w:style w:type="paragraph" w:styleId="ArticleL2" w:customStyle="1">
    <w:name w:val="Article_L2"/>
    <w:basedOn w:val="Normal"/>
    <w:next w:val="BodyText"/>
    <w:link w:val="ArticleL2Char"/>
    <w:rsid w:val="002D54C4"/>
    <w:pPr>
      <w:spacing w:after="240" w:line="240" w:lineRule="auto"/>
      <w:jc w:val="both"/>
      <w:outlineLvl w:val="1"/>
    </w:pPr>
    <w:rPr>
      <w:rFonts w:ascii="Times New Roman" w:hAnsi="Times New Roman" w:eastAsia="Times New Roman"/>
    </w:rPr>
  </w:style>
  <w:style w:type="character" w:styleId="PlaceholderText">
    <w:name w:val="Placeholder Text"/>
    <w:basedOn w:val="DefaultParagraphFont"/>
    <w:uiPriority w:val="99"/>
    <w:semiHidden/>
    <w:rsid w:val="002D54C4"/>
    <w:rPr>
      <w:color w:val="808080"/>
    </w:rPr>
  </w:style>
  <w:style w:type="numbering" w:styleId="Style2" w:customStyle="1">
    <w:name w:val="Style2"/>
    <w:uiPriority w:val="99"/>
    <w:rsid w:val="002D54C4"/>
    <w:pPr>
      <w:numPr>
        <w:numId w:val="33"/>
      </w:numPr>
    </w:pPr>
  </w:style>
  <w:style w:type="paragraph" w:styleId="ListParagraph">
    <w:name w:val="List Paragraph"/>
    <w:basedOn w:val="Normal"/>
    <w:uiPriority w:val="34"/>
    <w:qFormat/>
    <w:rsid w:val="00684E85"/>
    <w:pPr>
      <w:spacing w:after="0"/>
      <w:ind w:left="720"/>
      <w:jc w:val="center"/>
    </w:pPr>
    <w:rPr>
      <w:rFonts w:ascii="Times New Roman" w:hAnsi="Times New Roman" w:eastAsia="Calibri"/>
      <w:sz w:val="24"/>
      <w:szCs w:val="24"/>
    </w:rPr>
  </w:style>
  <w:style w:type="character" w:styleId="cf01" w:customStyle="1">
    <w:name w:val="cf01"/>
    <w:basedOn w:val="DefaultParagraphFont"/>
    <w:rsid w:val="002D54C4"/>
    <w:rPr>
      <w:rFonts w:hint="default" w:ascii="Segoe UI" w:hAnsi="Segoe UI" w:cs="Segoe UI"/>
      <w:sz w:val="18"/>
      <w:szCs w:val="18"/>
    </w:rPr>
  </w:style>
  <w:style w:type="character" w:styleId="ui-provider" w:customStyle="1">
    <w:name w:val="ui-provider"/>
    <w:basedOn w:val="DefaultParagraphFont"/>
    <w:rsid w:val="002D54C4"/>
  </w:style>
  <w:style w:type="character" w:styleId="Strong">
    <w:name w:val="Strong"/>
    <w:basedOn w:val="DefaultParagraphFont"/>
    <w:uiPriority w:val="22"/>
    <w:qFormat/>
    <w:rsid w:val="002D54C4"/>
    <w:rPr>
      <w:b/>
      <w:bCs/>
    </w:rPr>
  </w:style>
  <w:style w:type="paragraph" w:styleId="pf0" w:customStyle="1">
    <w:name w:val="pf0"/>
    <w:basedOn w:val="Normal"/>
    <w:rsid w:val="007841D6"/>
    <w:pPr>
      <w:spacing w:before="100" w:beforeAutospacing="1" w:after="100" w:afterAutospacing="1"/>
    </w:pPr>
    <w:rPr>
      <w:rFonts w:ascii="Times New Roman" w:hAnsi="Times New Roman" w:eastAsia="Times New Roman"/>
      <w:sz w:val="24"/>
      <w:szCs w:val="24"/>
    </w:rPr>
  </w:style>
  <w:style w:type="character" w:styleId="cf11" w:customStyle="1">
    <w:name w:val="cf11"/>
    <w:basedOn w:val="DefaultParagraphFont"/>
    <w:rsid w:val="002D54C4"/>
    <w:rPr>
      <w:rFonts w:hint="default" w:ascii="Segoe UI" w:hAnsi="Segoe UI" w:cs="Segoe UI"/>
      <w:b/>
      <w:bCs/>
      <w:sz w:val="18"/>
      <w:szCs w:val="18"/>
    </w:rPr>
  </w:style>
  <w:style w:type="character" w:styleId="cf21" w:customStyle="1">
    <w:name w:val="cf21"/>
    <w:basedOn w:val="DefaultParagraphFont"/>
    <w:rsid w:val="002D54C4"/>
    <w:rPr>
      <w:rFonts w:hint="default" w:ascii="Segoe UI" w:hAnsi="Segoe UI" w:cs="Segoe UI"/>
      <w:sz w:val="18"/>
      <w:szCs w:val="18"/>
    </w:rPr>
  </w:style>
  <w:style w:type="paragraph" w:styleId="BBBodyText2" w:customStyle="1">
    <w:name w:val="BB Body Text 2"/>
    <w:basedOn w:val="Normal"/>
    <w:link w:val="BBBodyText2Char"/>
    <w:qFormat/>
    <w:rsid w:val="001E7EC8"/>
    <w:pPr>
      <w:spacing w:after="0" w:line="480" w:lineRule="auto"/>
      <w:ind w:firstLine="720"/>
    </w:pPr>
    <w:rPr>
      <w:rFonts w:ascii="Arial" w:hAnsi="Arial" w:eastAsia="Times New Roman"/>
      <w:sz w:val="20"/>
      <w:szCs w:val="24"/>
    </w:rPr>
  </w:style>
  <w:style w:type="character" w:styleId="BBBodyText2Char" w:customStyle="1">
    <w:name w:val="BB Body Text 2 Char"/>
    <w:link w:val="BBBodyText2"/>
    <w:rsid w:val="001E7EC8"/>
    <w:rPr>
      <w:rFonts w:ascii="Arial" w:hAnsi="Arial" w:eastAsia="Times New Roman"/>
      <w:sz w:val="20"/>
      <w:szCs w:val="24"/>
    </w:rPr>
  </w:style>
  <w:style w:type="paragraph" w:styleId="ArticleL3" w:customStyle="1">
    <w:name w:val="Article_L3"/>
    <w:basedOn w:val="ArticleL2"/>
    <w:next w:val="BodyText"/>
    <w:rsid w:val="002D54C4"/>
    <w:pPr>
      <w:tabs>
        <w:tab w:val="num" w:pos="990"/>
      </w:tabs>
      <w:ind w:left="-1440" w:firstLine="1440"/>
      <w:outlineLvl w:val="2"/>
    </w:pPr>
    <w:rPr>
      <w:rFonts w:ascii="Arial" w:hAnsi="Arial"/>
    </w:rPr>
  </w:style>
  <w:style w:type="paragraph" w:styleId="ArticleL4" w:customStyle="1">
    <w:name w:val="Article_L4"/>
    <w:basedOn w:val="ArticleL3"/>
    <w:next w:val="BodyText"/>
    <w:link w:val="ArticleL4Char"/>
    <w:rsid w:val="002D54C4"/>
    <w:pPr>
      <w:tabs>
        <w:tab w:val="clear" w:pos="990"/>
        <w:tab w:val="num" w:pos="2880"/>
      </w:tabs>
      <w:ind w:left="0" w:firstLine="2160"/>
      <w:outlineLvl w:val="3"/>
    </w:pPr>
  </w:style>
  <w:style w:type="paragraph" w:styleId="ArticleL5" w:customStyle="1">
    <w:name w:val="Article_L5"/>
    <w:basedOn w:val="ArticleL4"/>
    <w:next w:val="BodyText"/>
    <w:rsid w:val="002D54C4"/>
    <w:pPr>
      <w:tabs>
        <w:tab w:val="clear" w:pos="2880"/>
        <w:tab w:val="num" w:pos="3600"/>
      </w:tabs>
      <w:ind w:firstLine="2880"/>
      <w:outlineLvl w:val="4"/>
    </w:pPr>
  </w:style>
  <w:style w:type="paragraph" w:styleId="ArticleL6" w:customStyle="1">
    <w:name w:val="Article_L6"/>
    <w:basedOn w:val="ArticleL5"/>
    <w:next w:val="BodyText"/>
    <w:rsid w:val="002D54C4"/>
    <w:pPr>
      <w:tabs>
        <w:tab w:val="clear" w:pos="3600"/>
        <w:tab w:val="num" w:pos="4320"/>
      </w:tabs>
      <w:ind w:firstLine="3600"/>
      <w:jc w:val="left"/>
      <w:outlineLvl w:val="5"/>
    </w:pPr>
  </w:style>
  <w:style w:type="paragraph" w:styleId="ArticleL7" w:customStyle="1">
    <w:name w:val="Article_L7"/>
    <w:basedOn w:val="ArticleL6"/>
    <w:next w:val="BodyText"/>
    <w:rsid w:val="002D54C4"/>
    <w:pPr>
      <w:tabs>
        <w:tab w:val="clear" w:pos="4320"/>
        <w:tab w:val="num" w:pos="5040"/>
      </w:tabs>
      <w:ind w:firstLine="4320"/>
      <w:outlineLvl w:val="6"/>
    </w:pPr>
  </w:style>
  <w:style w:type="paragraph" w:styleId="ArticleL8" w:customStyle="1">
    <w:name w:val="Article_L8"/>
    <w:basedOn w:val="ArticleL7"/>
    <w:next w:val="BodyText"/>
    <w:rsid w:val="002D54C4"/>
    <w:pPr>
      <w:tabs>
        <w:tab w:val="clear" w:pos="5040"/>
        <w:tab w:val="num" w:pos="5760"/>
      </w:tabs>
      <w:ind w:firstLine="5040"/>
      <w:outlineLvl w:val="7"/>
    </w:pPr>
  </w:style>
  <w:style w:type="paragraph" w:styleId="ArticleL9" w:customStyle="1">
    <w:name w:val="Article_L9"/>
    <w:basedOn w:val="ArticleL8"/>
    <w:next w:val="BodyText"/>
    <w:link w:val="ArticleL9Char"/>
    <w:rsid w:val="002D54C4"/>
    <w:pPr>
      <w:tabs>
        <w:tab w:val="clear" w:pos="5760"/>
        <w:tab w:val="num" w:pos="6480"/>
      </w:tabs>
      <w:ind w:firstLine="5760"/>
      <w:outlineLvl w:val="8"/>
    </w:pPr>
    <w:rPr>
      <w:rFonts w:ascii="Times New Roman" w:hAnsi="Times New Roman" w:cs="Times New Roman"/>
      <w:sz w:val="24"/>
      <w:szCs w:val="20"/>
    </w:rPr>
  </w:style>
  <w:style w:type="character" w:styleId="ArticleL9Char" w:customStyle="1">
    <w:name w:val="Article_L9 Char"/>
    <w:basedOn w:val="BodyTextChar"/>
    <w:link w:val="ArticleL9"/>
    <w:rsid w:val="002D54C4"/>
    <w:rPr>
      <w:rFonts w:ascii="Times New Roman" w:hAnsi="Times New Roman" w:eastAsia="Times New Roman" w:cs="Times New Roman"/>
      <w:sz w:val="24"/>
      <w:szCs w:val="20"/>
    </w:rPr>
  </w:style>
  <w:style w:type="paragraph" w:styleId="ArticleCont6" w:customStyle="1">
    <w:name w:val="Article Cont 6"/>
    <w:basedOn w:val="Normal"/>
    <w:link w:val="ArticleCont6Char"/>
    <w:rsid w:val="00A703B8"/>
    <w:pPr>
      <w:spacing w:after="240"/>
      <w:ind w:firstLine="4320"/>
      <w:jc w:val="center"/>
    </w:pPr>
    <w:rPr>
      <w:rFonts w:ascii="Times New Roman" w:hAnsi="Times New Roman" w:eastAsia="Times New Roman"/>
      <w:sz w:val="24"/>
    </w:rPr>
  </w:style>
  <w:style w:type="character" w:styleId="ArticleCont6Char" w:customStyle="1">
    <w:name w:val="Article Cont 6 Char"/>
    <w:basedOn w:val="BodyTextChar"/>
    <w:link w:val="ArticleCont6"/>
    <w:rsid w:val="002D54C4"/>
    <w:rPr>
      <w:rFonts w:ascii="Times New Roman" w:hAnsi="Times New Roman" w:eastAsia="Times New Roman" w:cs="Times New Roman"/>
      <w:sz w:val="24"/>
      <w:szCs w:val="20"/>
    </w:rPr>
  </w:style>
  <w:style w:type="numbering" w:styleId="zGList" w:customStyle="1">
    <w:name w:val="zGList"/>
    <w:rsid w:val="002D54C4"/>
    <w:pPr>
      <w:numPr>
        <w:numId w:val="6"/>
      </w:numPr>
    </w:pPr>
  </w:style>
  <w:style w:type="paragraph" w:styleId="ArticleCont7" w:customStyle="1">
    <w:name w:val="Article Cont 7"/>
    <w:basedOn w:val="ArticleCont6"/>
    <w:link w:val="ArticleCont7Char"/>
    <w:rsid w:val="002D54C4"/>
    <w:pPr>
      <w:ind w:firstLine="5040"/>
    </w:pPr>
  </w:style>
  <w:style w:type="character" w:styleId="ArticleCont7Char" w:customStyle="1">
    <w:name w:val="Article Cont 7 Char"/>
    <w:basedOn w:val="BodyTextChar"/>
    <w:link w:val="ArticleCont7"/>
    <w:rsid w:val="002D54C4"/>
    <w:rPr>
      <w:rFonts w:ascii="Times New Roman" w:hAnsi="Times New Roman" w:eastAsia="Times New Roman" w:cs="Times New Roman"/>
      <w:sz w:val="24"/>
      <w:szCs w:val="20"/>
    </w:rPr>
  </w:style>
  <w:style w:type="paragraph" w:styleId="NormalWeb">
    <w:name w:val="Normal (Web)"/>
    <w:basedOn w:val="Normal"/>
    <w:uiPriority w:val="99"/>
    <w:unhideWhenUsed/>
    <w:rsid w:val="00E86EC7"/>
    <w:pPr>
      <w:spacing w:before="100" w:beforeAutospacing="1" w:after="100" w:afterAutospacing="1"/>
    </w:pPr>
    <w:rPr>
      <w:rFonts w:ascii="Times New Roman" w:hAnsi="Times New Roman" w:eastAsia="Times New Roman"/>
      <w:sz w:val="24"/>
      <w:szCs w:val="24"/>
    </w:rPr>
  </w:style>
  <w:style w:type="paragraph" w:styleId="ArticleL1" w:customStyle="1">
    <w:name w:val="Article_L1"/>
    <w:basedOn w:val="Normal"/>
    <w:next w:val="BodyText"/>
    <w:link w:val="ArticleL1Char"/>
    <w:rsid w:val="00AA7F3C"/>
    <w:pPr>
      <w:spacing w:after="240"/>
      <w:jc w:val="center"/>
      <w:outlineLvl w:val="0"/>
    </w:pPr>
    <w:rPr>
      <w:rFonts w:ascii="Times New Roman" w:hAnsi="Times New Roman" w:eastAsia="Times New Roman"/>
      <w:b/>
      <w:caps/>
      <w:sz w:val="24"/>
    </w:rPr>
  </w:style>
  <w:style w:type="character" w:styleId="ArticleL1Char" w:customStyle="1">
    <w:name w:val="Article_L1 Char"/>
    <w:basedOn w:val="BodyTextChar"/>
    <w:link w:val="ArticleL1"/>
    <w:rsid w:val="002D54C4"/>
    <w:rPr>
      <w:rFonts w:ascii="Times New Roman" w:hAnsi="Times New Roman" w:eastAsia="Times New Roman" w:cs="Times New Roman"/>
      <w:b/>
      <w:caps/>
      <w:sz w:val="24"/>
      <w:szCs w:val="20"/>
    </w:rPr>
  </w:style>
  <w:style w:type="paragraph" w:styleId="Para2" w:customStyle="1">
    <w:name w:val="Para2"/>
    <w:basedOn w:val="Normal"/>
    <w:link w:val="Para2Char"/>
    <w:rsid w:val="002F6F9C"/>
    <w:pPr>
      <w:overflowPunct w:val="0"/>
      <w:autoSpaceDE w:val="0"/>
      <w:autoSpaceDN w:val="0"/>
      <w:adjustRightInd w:val="0"/>
      <w:spacing w:after="0" w:line="480" w:lineRule="auto"/>
      <w:ind w:firstLine="1440"/>
      <w:textAlignment w:val="baseline"/>
    </w:pPr>
    <w:rPr>
      <w:rFonts w:ascii="Times New Roman" w:hAnsi="Times New Roman" w:eastAsia="Times New Roman"/>
      <w:sz w:val="24"/>
    </w:rPr>
  </w:style>
  <w:style w:type="character" w:styleId="Para2Char" w:customStyle="1">
    <w:name w:val="Para2 Char"/>
    <w:basedOn w:val="DefaultParagraphFont"/>
    <w:link w:val="Para2"/>
    <w:rsid w:val="002D54C4"/>
    <w:rPr>
      <w:rFonts w:ascii="Times New Roman" w:hAnsi="Times New Roman" w:eastAsia="Times New Roman"/>
      <w:sz w:val="24"/>
    </w:rPr>
  </w:style>
  <w:style w:type="table" w:styleId="GridTable3">
    <w:name w:val="Grid Table 3"/>
    <w:basedOn w:val="TableNormal"/>
    <w:uiPriority w:val="48"/>
    <w:rsid w:val="00A05DFF"/>
    <w:pPr>
      <w:spacing w:after="0"/>
    </w:p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color="666666" w:themeColor="text1" w:themeTint="99" w:sz="4" w:space="0"/>
        </w:tcBorders>
      </w:tcPr>
    </w:tblStylePr>
    <w:tblStylePr w:type="nwCell">
      <w:tblPr/>
      <w:tcPr>
        <w:tcBorders>
          <w:bottom w:val="single" w:color="666666" w:themeColor="text1" w:themeTint="99" w:sz="4" w:space="0"/>
        </w:tcBorders>
      </w:tcPr>
    </w:tblStylePr>
    <w:tblStylePr w:type="seCell">
      <w:tblPr/>
      <w:tcPr>
        <w:tcBorders>
          <w:top w:val="single" w:color="666666" w:themeColor="text1" w:themeTint="99" w:sz="4" w:space="0"/>
        </w:tcBorders>
      </w:tcPr>
    </w:tblStylePr>
    <w:tblStylePr w:type="swCell">
      <w:tblPr/>
      <w:tcPr>
        <w:tcBorders>
          <w:top w:val="single" w:color="666666" w:themeColor="text1" w:themeTint="99" w:sz="4" w:space="0"/>
        </w:tcBorders>
      </w:tcPr>
    </w:tblStylePr>
  </w:style>
  <w:style w:type="paragraph" w:styleId="StandardCont5" w:customStyle="1">
    <w:name w:val="Standard Cont 5"/>
    <w:basedOn w:val="Normal"/>
    <w:rsid w:val="00A05DFF"/>
    <w:pPr>
      <w:widowControl w:val="0"/>
      <w:autoSpaceDE w:val="0"/>
      <w:autoSpaceDN w:val="0"/>
      <w:adjustRightInd w:val="0"/>
      <w:spacing w:after="240"/>
      <w:ind w:firstLine="3600"/>
    </w:pPr>
    <w:rPr>
      <w:rFonts w:cs="Arial" w:eastAsiaTheme="minorEastAsia"/>
    </w:rPr>
  </w:style>
  <w:style w:type="numbering" w:styleId="CurrentList1" w:customStyle="1">
    <w:name w:val="Current List1"/>
    <w:uiPriority w:val="99"/>
    <w:rsid w:val="00A05DFF"/>
    <w:pPr>
      <w:numPr>
        <w:numId w:val="20"/>
      </w:numPr>
    </w:pPr>
  </w:style>
  <w:style w:type="paragraph" w:styleId="zGTextHangingIndent10" w:customStyle="1">
    <w:name w:val="zGText Hanging Indent 1.0"/>
    <w:basedOn w:val="Normal"/>
    <w:uiPriority w:val="5"/>
    <w:unhideWhenUsed/>
    <w:rsid w:val="00851C8F"/>
    <w:pPr>
      <w:spacing w:after="240" w:line="240" w:lineRule="auto"/>
      <w:ind w:left="2160" w:hanging="720"/>
      <w:jc w:val="both"/>
    </w:pPr>
    <w:rPr>
      <w:rFonts w:ascii="Arial" w:hAnsi="Arial" w:cs="Times New Roman"/>
      <w:sz w:val="20"/>
      <w:szCs w:val="20"/>
    </w:rPr>
  </w:style>
  <w:style w:type="paragraph" w:styleId="zGTextHangingIndent15" w:customStyle="1">
    <w:name w:val="zGText Hanging Indent 1.5"/>
    <w:basedOn w:val="zGTextHangingIndent10"/>
    <w:uiPriority w:val="5"/>
    <w:unhideWhenUsed/>
    <w:rsid w:val="00851C8F"/>
    <w:pPr>
      <w:ind w:left="2880"/>
    </w:pPr>
  </w:style>
  <w:style w:type="character" w:styleId="ArticleL4Char" w:customStyle="1">
    <w:name w:val="Article_L4 Char"/>
    <w:basedOn w:val="BodyTextChar"/>
    <w:link w:val="ArticleL4"/>
    <w:rsid w:val="00301C41"/>
    <w:rPr>
      <w:rFonts w:ascii="Arial" w:hAnsi="Arial" w:eastAsia="Times New Roman" w:cs="Times New Roman"/>
      <w:sz w:val="20"/>
      <w:szCs w:val="20"/>
    </w:rPr>
  </w:style>
  <w:style w:type="paragraph" w:styleId="zGNormalDefinition" w:customStyle="1">
    <w:name w:val="zGNormalDefinition"/>
    <w:uiPriority w:val="3"/>
    <w:qFormat/>
    <w:rsid w:val="00B85D2E"/>
    <w:pPr>
      <w:spacing w:before="60" w:after="0" w:line="240" w:lineRule="auto"/>
      <w:jc w:val="both"/>
    </w:pPr>
    <w:rPr>
      <w:rFonts w:ascii="Arial" w:hAnsi="Arial" w:eastAsia="Times New Roman" w:cs="Times New Roman"/>
      <w:spacing w:val="-2"/>
      <w:sz w:val="18"/>
      <w:szCs w:val="20"/>
    </w:rPr>
  </w:style>
  <w:style w:type="numbering" w:styleId="CurrentList2" w:customStyle="1">
    <w:name w:val="Current List2"/>
    <w:uiPriority w:val="99"/>
    <w:rsid w:val="0025774E"/>
    <w:pPr>
      <w:numPr>
        <w:numId w:val="6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58284">
      <w:bodyDiv w:val="1"/>
      <w:marLeft w:val="0"/>
      <w:marRight w:val="0"/>
      <w:marTop w:val="0"/>
      <w:marBottom w:val="0"/>
      <w:divBdr>
        <w:top w:val="none" w:sz="0" w:space="0" w:color="auto"/>
        <w:left w:val="none" w:sz="0" w:space="0" w:color="auto"/>
        <w:bottom w:val="none" w:sz="0" w:space="0" w:color="auto"/>
        <w:right w:val="none" w:sz="0" w:space="0" w:color="auto"/>
      </w:divBdr>
    </w:div>
    <w:div w:id="52849497">
      <w:bodyDiv w:val="1"/>
      <w:marLeft w:val="0"/>
      <w:marRight w:val="0"/>
      <w:marTop w:val="0"/>
      <w:marBottom w:val="0"/>
      <w:divBdr>
        <w:top w:val="none" w:sz="0" w:space="0" w:color="auto"/>
        <w:left w:val="none" w:sz="0" w:space="0" w:color="auto"/>
        <w:bottom w:val="none" w:sz="0" w:space="0" w:color="auto"/>
        <w:right w:val="none" w:sz="0" w:space="0" w:color="auto"/>
      </w:divBdr>
    </w:div>
    <w:div w:id="95712320">
      <w:bodyDiv w:val="1"/>
      <w:marLeft w:val="0"/>
      <w:marRight w:val="0"/>
      <w:marTop w:val="0"/>
      <w:marBottom w:val="0"/>
      <w:divBdr>
        <w:top w:val="none" w:sz="0" w:space="0" w:color="auto"/>
        <w:left w:val="none" w:sz="0" w:space="0" w:color="auto"/>
        <w:bottom w:val="none" w:sz="0" w:space="0" w:color="auto"/>
        <w:right w:val="none" w:sz="0" w:space="0" w:color="auto"/>
      </w:divBdr>
    </w:div>
    <w:div w:id="138616554">
      <w:bodyDiv w:val="1"/>
      <w:marLeft w:val="0"/>
      <w:marRight w:val="0"/>
      <w:marTop w:val="0"/>
      <w:marBottom w:val="0"/>
      <w:divBdr>
        <w:top w:val="none" w:sz="0" w:space="0" w:color="auto"/>
        <w:left w:val="none" w:sz="0" w:space="0" w:color="auto"/>
        <w:bottom w:val="none" w:sz="0" w:space="0" w:color="auto"/>
        <w:right w:val="none" w:sz="0" w:space="0" w:color="auto"/>
      </w:divBdr>
    </w:div>
    <w:div w:id="458500619">
      <w:bodyDiv w:val="1"/>
      <w:marLeft w:val="0"/>
      <w:marRight w:val="0"/>
      <w:marTop w:val="0"/>
      <w:marBottom w:val="0"/>
      <w:divBdr>
        <w:top w:val="none" w:sz="0" w:space="0" w:color="auto"/>
        <w:left w:val="none" w:sz="0" w:space="0" w:color="auto"/>
        <w:bottom w:val="none" w:sz="0" w:space="0" w:color="auto"/>
        <w:right w:val="none" w:sz="0" w:space="0" w:color="auto"/>
      </w:divBdr>
    </w:div>
    <w:div w:id="496918980">
      <w:bodyDiv w:val="1"/>
      <w:marLeft w:val="0"/>
      <w:marRight w:val="0"/>
      <w:marTop w:val="0"/>
      <w:marBottom w:val="0"/>
      <w:divBdr>
        <w:top w:val="none" w:sz="0" w:space="0" w:color="auto"/>
        <w:left w:val="none" w:sz="0" w:space="0" w:color="auto"/>
        <w:bottom w:val="none" w:sz="0" w:space="0" w:color="auto"/>
        <w:right w:val="none" w:sz="0" w:space="0" w:color="auto"/>
      </w:divBdr>
    </w:div>
    <w:div w:id="557208458">
      <w:bodyDiv w:val="1"/>
      <w:marLeft w:val="0"/>
      <w:marRight w:val="0"/>
      <w:marTop w:val="0"/>
      <w:marBottom w:val="0"/>
      <w:divBdr>
        <w:top w:val="none" w:sz="0" w:space="0" w:color="auto"/>
        <w:left w:val="none" w:sz="0" w:space="0" w:color="auto"/>
        <w:bottom w:val="none" w:sz="0" w:space="0" w:color="auto"/>
        <w:right w:val="none" w:sz="0" w:space="0" w:color="auto"/>
      </w:divBdr>
    </w:div>
    <w:div w:id="615068568">
      <w:bodyDiv w:val="1"/>
      <w:marLeft w:val="0"/>
      <w:marRight w:val="0"/>
      <w:marTop w:val="0"/>
      <w:marBottom w:val="0"/>
      <w:divBdr>
        <w:top w:val="none" w:sz="0" w:space="0" w:color="auto"/>
        <w:left w:val="none" w:sz="0" w:space="0" w:color="auto"/>
        <w:bottom w:val="none" w:sz="0" w:space="0" w:color="auto"/>
        <w:right w:val="none" w:sz="0" w:space="0" w:color="auto"/>
      </w:divBdr>
    </w:div>
    <w:div w:id="633679065">
      <w:bodyDiv w:val="1"/>
      <w:marLeft w:val="0"/>
      <w:marRight w:val="0"/>
      <w:marTop w:val="0"/>
      <w:marBottom w:val="0"/>
      <w:divBdr>
        <w:top w:val="none" w:sz="0" w:space="0" w:color="auto"/>
        <w:left w:val="none" w:sz="0" w:space="0" w:color="auto"/>
        <w:bottom w:val="none" w:sz="0" w:space="0" w:color="auto"/>
        <w:right w:val="none" w:sz="0" w:space="0" w:color="auto"/>
      </w:divBdr>
      <w:divsChild>
        <w:div w:id="208689854">
          <w:marLeft w:val="0"/>
          <w:marRight w:val="0"/>
          <w:marTop w:val="0"/>
          <w:marBottom w:val="0"/>
          <w:divBdr>
            <w:top w:val="none" w:sz="0" w:space="0" w:color="auto"/>
            <w:left w:val="none" w:sz="0" w:space="0" w:color="auto"/>
            <w:bottom w:val="none" w:sz="0" w:space="0" w:color="auto"/>
            <w:right w:val="none" w:sz="0" w:space="0" w:color="auto"/>
          </w:divBdr>
          <w:divsChild>
            <w:div w:id="63990895">
              <w:marLeft w:val="0"/>
              <w:marRight w:val="0"/>
              <w:marTop w:val="0"/>
              <w:marBottom w:val="0"/>
              <w:divBdr>
                <w:top w:val="none" w:sz="0" w:space="0" w:color="auto"/>
                <w:left w:val="none" w:sz="0" w:space="0" w:color="auto"/>
                <w:bottom w:val="none" w:sz="0" w:space="0" w:color="auto"/>
                <w:right w:val="none" w:sz="0" w:space="0" w:color="auto"/>
              </w:divBdr>
            </w:div>
          </w:divsChild>
        </w:div>
        <w:div w:id="870805945">
          <w:marLeft w:val="0"/>
          <w:marRight w:val="0"/>
          <w:marTop w:val="0"/>
          <w:marBottom w:val="0"/>
          <w:divBdr>
            <w:top w:val="none" w:sz="0" w:space="0" w:color="auto"/>
            <w:left w:val="none" w:sz="0" w:space="0" w:color="auto"/>
            <w:bottom w:val="none" w:sz="0" w:space="0" w:color="auto"/>
            <w:right w:val="none" w:sz="0" w:space="0" w:color="auto"/>
          </w:divBdr>
          <w:divsChild>
            <w:div w:id="176235934">
              <w:marLeft w:val="0"/>
              <w:marRight w:val="0"/>
              <w:marTop w:val="0"/>
              <w:marBottom w:val="0"/>
              <w:divBdr>
                <w:top w:val="none" w:sz="0" w:space="0" w:color="auto"/>
                <w:left w:val="none" w:sz="0" w:space="0" w:color="auto"/>
                <w:bottom w:val="none" w:sz="0" w:space="0" w:color="auto"/>
                <w:right w:val="none" w:sz="0" w:space="0" w:color="auto"/>
              </w:divBdr>
            </w:div>
            <w:div w:id="527989423">
              <w:marLeft w:val="0"/>
              <w:marRight w:val="0"/>
              <w:marTop w:val="0"/>
              <w:marBottom w:val="0"/>
              <w:divBdr>
                <w:top w:val="none" w:sz="0" w:space="0" w:color="auto"/>
                <w:left w:val="none" w:sz="0" w:space="0" w:color="auto"/>
                <w:bottom w:val="none" w:sz="0" w:space="0" w:color="auto"/>
                <w:right w:val="none" w:sz="0" w:space="0" w:color="auto"/>
              </w:divBdr>
            </w:div>
            <w:div w:id="1039892406">
              <w:marLeft w:val="0"/>
              <w:marRight w:val="0"/>
              <w:marTop w:val="0"/>
              <w:marBottom w:val="0"/>
              <w:divBdr>
                <w:top w:val="none" w:sz="0" w:space="0" w:color="auto"/>
                <w:left w:val="none" w:sz="0" w:space="0" w:color="auto"/>
                <w:bottom w:val="none" w:sz="0" w:space="0" w:color="auto"/>
                <w:right w:val="none" w:sz="0" w:space="0" w:color="auto"/>
              </w:divBdr>
            </w:div>
            <w:div w:id="1202086554">
              <w:marLeft w:val="0"/>
              <w:marRight w:val="0"/>
              <w:marTop w:val="0"/>
              <w:marBottom w:val="0"/>
              <w:divBdr>
                <w:top w:val="none" w:sz="0" w:space="0" w:color="auto"/>
                <w:left w:val="none" w:sz="0" w:space="0" w:color="auto"/>
                <w:bottom w:val="none" w:sz="0" w:space="0" w:color="auto"/>
                <w:right w:val="none" w:sz="0" w:space="0" w:color="auto"/>
              </w:divBdr>
            </w:div>
            <w:div w:id="1244679588">
              <w:marLeft w:val="0"/>
              <w:marRight w:val="0"/>
              <w:marTop w:val="0"/>
              <w:marBottom w:val="0"/>
              <w:divBdr>
                <w:top w:val="none" w:sz="0" w:space="0" w:color="auto"/>
                <w:left w:val="none" w:sz="0" w:space="0" w:color="auto"/>
                <w:bottom w:val="none" w:sz="0" w:space="0" w:color="auto"/>
                <w:right w:val="none" w:sz="0" w:space="0" w:color="auto"/>
              </w:divBdr>
            </w:div>
          </w:divsChild>
        </w:div>
        <w:div w:id="1690445334">
          <w:marLeft w:val="0"/>
          <w:marRight w:val="0"/>
          <w:marTop w:val="0"/>
          <w:marBottom w:val="0"/>
          <w:divBdr>
            <w:top w:val="none" w:sz="0" w:space="0" w:color="auto"/>
            <w:left w:val="none" w:sz="0" w:space="0" w:color="auto"/>
            <w:bottom w:val="none" w:sz="0" w:space="0" w:color="auto"/>
            <w:right w:val="none" w:sz="0" w:space="0" w:color="auto"/>
          </w:divBdr>
        </w:div>
      </w:divsChild>
    </w:div>
    <w:div w:id="841050622">
      <w:bodyDiv w:val="1"/>
      <w:marLeft w:val="0"/>
      <w:marRight w:val="0"/>
      <w:marTop w:val="0"/>
      <w:marBottom w:val="0"/>
      <w:divBdr>
        <w:top w:val="none" w:sz="0" w:space="0" w:color="auto"/>
        <w:left w:val="none" w:sz="0" w:space="0" w:color="auto"/>
        <w:bottom w:val="none" w:sz="0" w:space="0" w:color="auto"/>
        <w:right w:val="none" w:sz="0" w:space="0" w:color="auto"/>
      </w:divBdr>
    </w:div>
    <w:div w:id="907766010">
      <w:bodyDiv w:val="1"/>
      <w:marLeft w:val="0"/>
      <w:marRight w:val="0"/>
      <w:marTop w:val="0"/>
      <w:marBottom w:val="0"/>
      <w:divBdr>
        <w:top w:val="none" w:sz="0" w:space="0" w:color="auto"/>
        <w:left w:val="none" w:sz="0" w:space="0" w:color="auto"/>
        <w:bottom w:val="none" w:sz="0" w:space="0" w:color="auto"/>
        <w:right w:val="none" w:sz="0" w:space="0" w:color="auto"/>
      </w:divBdr>
    </w:div>
    <w:div w:id="960959076">
      <w:bodyDiv w:val="1"/>
      <w:marLeft w:val="0"/>
      <w:marRight w:val="0"/>
      <w:marTop w:val="0"/>
      <w:marBottom w:val="0"/>
      <w:divBdr>
        <w:top w:val="none" w:sz="0" w:space="0" w:color="auto"/>
        <w:left w:val="none" w:sz="0" w:space="0" w:color="auto"/>
        <w:bottom w:val="none" w:sz="0" w:space="0" w:color="auto"/>
        <w:right w:val="none" w:sz="0" w:space="0" w:color="auto"/>
      </w:divBdr>
    </w:div>
    <w:div w:id="1014457267">
      <w:bodyDiv w:val="1"/>
      <w:marLeft w:val="0"/>
      <w:marRight w:val="0"/>
      <w:marTop w:val="0"/>
      <w:marBottom w:val="0"/>
      <w:divBdr>
        <w:top w:val="none" w:sz="0" w:space="0" w:color="auto"/>
        <w:left w:val="none" w:sz="0" w:space="0" w:color="auto"/>
        <w:bottom w:val="none" w:sz="0" w:space="0" w:color="auto"/>
        <w:right w:val="none" w:sz="0" w:space="0" w:color="auto"/>
      </w:divBdr>
    </w:div>
    <w:div w:id="1028025223">
      <w:bodyDiv w:val="1"/>
      <w:marLeft w:val="0"/>
      <w:marRight w:val="0"/>
      <w:marTop w:val="0"/>
      <w:marBottom w:val="0"/>
      <w:divBdr>
        <w:top w:val="none" w:sz="0" w:space="0" w:color="auto"/>
        <w:left w:val="none" w:sz="0" w:space="0" w:color="auto"/>
        <w:bottom w:val="none" w:sz="0" w:space="0" w:color="auto"/>
        <w:right w:val="none" w:sz="0" w:space="0" w:color="auto"/>
      </w:divBdr>
    </w:div>
    <w:div w:id="1142311641">
      <w:bodyDiv w:val="1"/>
      <w:marLeft w:val="0"/>
      <w:marRight w:val="0"/>
      <w:marTop w:val="0"/>
      <w:marBottom w:val="0"/>
      <w:divBdr>
        <w:top w:val="none" w:sz="0" w:space="0" w:color="auto"/>
        <w:left w:val="none" w:sz="0" w:space="0" w:color="auto"/>
        <w:bottom w:val="none" w:sz="0" w:space="0" w:color="auto"/>
        <w:right w:val="none" w:sz="0" w:space="0" w:color="auto"/>
      </w:divBdr>
    </w:div>
    <w:div w:id="1251819254">
      <w:bodyDiv w:val="1"/>
      <w:marLeft w:val="0"/>
      <w:marRight w:val="0"/>
      <w:marTop w:val="0"/>
      <w:marBottom w:val="0"/>
      <w:divBdr>
        <w:top w:val="none" w:sz="0" w:space="0" w:color="auto"/>
        <w:left w:val="none" w:sz="0" w:space="0" w:color="auto"/>
        <w:bottom w:val="none" w:sz="0" w:space="0" w:color="auto"/>
        <w:right w:val="none" w:sz="0" w:space="0" w:color="auto"/>
      </w:divBdr>
    </w:div>
    <w:div w:id="1298803394">
      <w:bodyDiv w:val="1"/>
      <w:marLeft w:val="0"/>
      <w:marRight w:val="0"/>
      <w:marTop w:val="0"/>
      <w:marBottom w:val="0"/>
      <w:divBdr>
        <w:top w:val="none" w:sz="0" w:space="0" w:color="auto"/>
        <w:left w:val="none" w:sz="0" w:space="0" w:color="auto"/>
        <w:bottom w:val="none" w:sz="0" w:space="0" w:color="auto"/>
        <w:right w:val="none" w:sz="0" w:space="0" w:color="auto"/>
      </w:divBdr>
    </w:div>
    <w:div w:id="1299185682">
      <w:bodyDiv w:val="1"/>
      <w:marLeft w:val="0"/>
      <w:marRight w:val="0"/>
      <w:marTop w:val="0"/>
      <w:marBottom w:val="0"/>
      <w:divBdr>
        <w:top w:val="none" w:sz="0" w:space="0" w:color="auto"/>
        <w:left w:val="none" w:sz="0" w:space="0" w:color="auto"/>
        <w:bottom w:val="none" w:sz="0" w:space="0" w:color="auto"/>
        <w:right w:val="none" w:sz="0" w:space="0" w:color="auto"/>
      </w:divBdr>
    </w:div>
    <w:div w:id="1622958300">
      <w:bodyDiv w:val="1"/>
      <w:marLeft w:val="0"/>
      <w:marRight w:val="0"/>
      <w:marTop w:val="0"/>
      <w:marBottom w:val="0"/>
      <w:divBdr>
        <w:top w:val="none" w:sz="0" w:space="0" w:color="auto"/>
        <w:left w:val="none" w:sz="0" w:space="0" w:color="auto"/>
        <w:bottom w:val="none" w:sz="0" w:space="0" w:color="auto"/>
        <w:right w:val="none" w:sz="0" w:space="0" w:color="auto"/>
      </w:divBdr>
    </w:div>
    <w:div w:id="1672024826">
      <w:bodyDiv w:val="1"/>
      <w:marLeft w:val="0"/>
      <w:marRight w:val="0"/>
      <w:marTop w:val="0"/>
      <w:marBottom w:val="0"/>
      <w:divBdr>
        <w:top w:val="none" w:sz="0" w:space="0" w:color="auto"/>
        <w:left w:val="none" w:sz="0" w:space="0" w:color="auto"/>
        <w:bottom w:val="none" w:sz="0" w:space="0" w:color="auto"/>
        <w:right w:val="none" w:sz="0" w:space="0" w:color="auto"/>
      </w:divBdr>
    </w:div>
    <w:div w:id="1702970456">
      <w:bodyDiv w:val="1"/>
      <w:marLeft w:val="0"/>
      <w:marRight w:val="0"/>
      <w:marTop w:val="0"/>
      <w:marBottom w:val="0"/>
      <w:divBdr>
        <w:top w:val="none" w:sz="0" w:space="0" w:color="auto"/>
        <w:left w:val="none" w:sz="0" w:space="0" w:color="auto"/>
        <w:bottom w:val="none" w:sz="0" w:space="0" w:color="auto"/>
        <w:right w:val="none" w:sz="0" w:space="0" w:color="auto"/>
      </w:divBdr>
    </w:div>
    <w:div w:id="1708483266">
      <w:bodyDiv w:val="1"/>
      <w:marLeft w:val="0"/>
      <w:marRight w:val="0"/>
      <w:marTop w:val="0"/>
      <w:marBottom w:val="0"/>
      <w:divBdr>
        <w:top w:val="none" w:sz="0" w:space="0" w:color="auto"/>
        <w:left w:val="none" w:sz="0" w:space="0" w:color="auto"/>
        <w:bottom w:val="none" w:sz="0" w:space="0" w:color="auto"/>
        <w:right w:val="none" w:sz="0" w:space="0" w:color="auto"/>
      </w:divBdr>
    </w:div>
    <w:div w:id="1736850484">
      <w:bodyDiv w:val="1"/>
      <w:marLeft w:val="0"/>
      <w:marRight w:val="0"/>
      <w:marTop w:val="0"/>
      <w:marBottom w:val="0"/>
      <w:divBdr>
        <w:top w:val="none" w:sz="0" w:space="0" w:color="auto"/>
        <w:left w:val="none" w:sz="0" w:space="0" w:color="auto"/>
        <w:bottom w:val="none" w:sz="0" w:space="0" w:color="auto"/>
        <w:right w:val="none" w:sz="0" w:space="0" w:color="auto"/>
      </w:divBdr>
    </w:div>
    <w:div w:id="1763842256">
      <w:bodyDiv w:val="1"/>
      <w:marLeft w:val="0"/>
      <w:marRight w:val="0"/>
      <w:marTop w:val="0"/>
      <w:marBottom w:val="0"/>
      <w:divBdr>
        <w:top w:val="none" w:sz="0" w:space="0" w:color="auto"/>
        <w:left w:val="none" w:sz="0" w:space="0" w:color="auto"/>
        <w:bottom w:val="none" w:sz="0" w:space="0" w:color="auto"/>
        <w:right w:val="none" w:sz="0" w:space="0" w:color="auto"/>
      </w:divBdr>
    </w:div>
    <w:div w:id="1870332828">
      <w:bodyDiv w:val="1"/>
      <w:marLeft w:val="0"/>
      <w:marRight w:val="0"/>
      <w:marTop w:val="0"/>
      <w:marBottom w:val="0"/>
      <w:divBdr>
        <w:top w:val="none" w:sz="0" w:space="0" w:color="auto"/>
        <w:left w:val="none" w:sz="0" w:space="0" w:color="auto"/>
        <w:bottom w:val="none" w:sz="0" w:space="0" w:color="auto"/>
        <w:right w:val="none" w:sz="0" w:space="0" w:color="auto"/>
      </w:divBdr>
    </w:div>
    <w:div w:id="1883864249">
      <w:bodyDiv w:val="1"/>
      <w:marLeft w:val="0"/>
      <w:marRight w:val="0"/>
      <w:marTop w:val="0"/>
      <w:marBottom w:val="0"/>
      <w:divBdr>
        <w:top w:val="none" w:sz="0" w:space="0" w:color="auto"/>
        <w:left w:val="none" w:sz="0" w:space="0" w:color="auto"/>
        <w:bottom w:val="none" w:sz="0" w:space="0" w:color="auto"/>
        <w:right w:val="none" w:sz="0" w:space="0" w:color="auto"/>
      </w:divBdr>
    </w:div>
    <w:div w:id="1918127710">
      <w:bodyDiv w:val="1"/>
      <w:marLeft w:val="0"/>
      <w:marRight w:val="0"/>
      <w:marTop w:val="0"/>
      <w:marBottom w:val="0"/>
      <w:divBdr>
        <w:top w:val="none" w:sz="0" w:space="0" w:color="auto"/>
        <w:left w:val="none" w:sz="0" w:space="0" w:color="auto"/>
        <w:bottom w:val="none" w:sz="0" w:space="0" w:color="auto"/>
        <w:right w:val="none" w:sz="0" w:space="0" w:color="auto"/>
      </w:divBdr>
    </w:div>
    <w:div w:id="1947351058">
      <w:bodyDiv w:val="1"/>
      <w:marLeft w:val="0"/>
      <w:marRight w:val="0"/>
      <w:marTop w:val="0"/>
      <w:marBottom w:val="0"/>
      <w:divBdr>
        <w:top w:val="none" w:sz="0" w:space="0" w:color="auto"/>
        <w:left w:val="none" w:sz="0" w:space="0" w:color="auto"/>
        <w:bottom w:val="none" w:sz="0" w:space="0" w:color="auto"/>
        <w:right w:val="none" w:sz="0" w:space="0" w:color="auto"/>
      </w:divBdr>
    </w:div>
    <w:div w:id="2138330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openxmlformats.org/officeDocument/2006/relationships/hyperlink" Target="https://gadnr.org" TargetMode="External" Id="rId18" /><Relationship Type="http://schemas.openxmlformats.org/officeDocument/2006/relationships/styles" Target="styles.xml" Id="rId3" /><Relationship Type="http://schemas.openxmlformats.org/officeDocument/2006/relationships/hyperlink" Target="mailto:G2GPCERG@southernco.com" TargetMode="External" Id="rId21"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hyperlink" Target="https://www.nerc.com/pa/Stand/Reliability%20Standards/EOP-012-1.pdf" TargetMode="External" Id="rId17" /><Relationship Type="http://schemas.openxmlformats.org/officeDocument/2006/relationships/numbering" Target="numbering.xml" Id="rId2" /><Relationship Type="http://schemas.openxmlformats.org/officeDocument/2006/relationships/footer" Target="footer5.xml" Id="rId16" /><Relationship Type="http://schemas.openxmlformats.org/officeDocument/2006/relationships/hyperlink" Target="http://www.oasis.oati.com/soco/index.html" TargetMode="External" Id="rId20"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footer" Target="footer4.xml" Id="rId15" /><Relationship Type="http://schemas.openxmlformats.org/officeDocument/2006/relationships/theme" Target="theme/theme1.xml" Id="rId23" /><Relationship Type="http://schemas.openxmlformats.org/officeDocument/2006/relationships/footer" Target="footer1.xml" Id="rId10" /><Relationship Type="http://schemas.openxmlformats.org/officeDocument/2006/relationships/header" Target="header5.xml" Id="rId19"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header" Target="header4.xml" Id="rId14" /><Relationship Type="http://schemas.openxmlformats.org/officeDocument/2006/relationships/fontTable" Target="fontTable.xml" Id="rId2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file>

<file path=docProps/core.xml><?xml version="1.0" encoding="utf-8"?>
<coreProperties xmlns:dc="http://purl.org/dc/elements/1.1/" xmlns:dcterms="http://purl.org/dc/terms/" xmlns:xsi="http://www.w3.org/2001/XMLSchema-instance" xmlns="http://schemas.openxmlformats.org/package/2006/metadata/core-properties">
  <dcterms:created xsi:type="dcterms:W3CDTF">1900-01-01T05:00:00.0000000Z</dcterms:created>
  <dcterms:modified xsi:type="dcterms:W3CDTF">1900-01-01T05:00:00.0000000Z</dcterms:modified>
</coreProperties>
</file>

<file path=docProps/custom.xml><?xml version="1.0" encoding="utf-8"?>
<op:Properties xmlns:vt="http://schemas.openxmlformats.org/officeDocument/2006/docPropsVTypes" xmlns:op="http://schemas.openxmlformats.org/officeDocument/2006/custom-properties"/>
</file>